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e62ca4a1df996ee7b415ebd8f33a0300219d887"/>
    <w:p>
      <w:pPr>
        <w:pStyle w:val="Heading1"/>
      </w:pPr>
      <w:r>
        <w:t xml:space="preserve">Offre commerciale — Pièces pour [Nom de l'entreprise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PCS-VTC-2026-06-001 · Date : 3 juin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20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VTC]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dépannage).</w:t>
      </w:r>
    </w:p>
    <w:p>
      <w:pPr>
        <w:pStyle w:val="BodyText"/>
      </w:pPr>
      <w:r>
        <w:t xml:space="preserve">Le périmètre Flotte Pro inclut désormais la</w:t>
      </w:r>
      <w:r>
        <w:t xml:space="preserve"> </w:t>
      </w:r>
      <w:r>
        <w:rPr>
          <w:b/>
          <w:bCs/>
        </w:rPr>
        <w:t xml:space="preserve">gestion complète des chauffeurs</w:t>
      </w:r>
      <w:r>
        <w:t xml:space="preserve"> </w:t>
      </w:r>
      <w:r>
        <w:t xml:space="preserve">(enrôlement, affectation, recette quotidienne, incidents, KPIs et espace self-service) — voir §2.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20"/>
    <w:bookmarkStart w:id="23" w:name="X41205badc3a7b23791db7f49e7edbc863d464e1"/>
    <w:p>
      <w:pPr>
        <w:pStyle w:val="Heading2"/>
      </w:pPr>
      <w:r>
        <w:t xml:space="preserve">2. Périmètre fonctionnel inclus</w:t>
      </w:r>
    </w:p>
    <w:bookmarkStart w:id="21" w:name="flotte-pro-300-m-fcfa-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structurés, cascade marque/modèle/année/motorisation,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Calendrier d'entretien prédictif par véhicule + 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Gestion des chauffeurs (nouveau)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Enrôlement chauffeur (nom, téléphone, permis, photo) + activation par OTP</w:t>
      </w:r>
    </w:p>
    <w:p>
      <w:pPr>
        <w:pStyle w:val="Compact"/>
        <w:numPr>
          <w:ilvl w:val="1"/>
          <w:numId w:val="1002"/>
        </w:numPr>
      </w:pPr>
      <w:r>
        <w:t xml:space="preserve">Affectation chauffeur ↔ véhicule avec historique complet des rotations</w:t>
      </w:r>
    </w:p>
    <w:p>
      <w:pPr>
        <w:pStyle w:val="Compact"/>
        <w:numPr>
          <w:ilvl w:val="1"/>
          <w:numId w:val="1002"/>
        </w:numPr>
      </w:pPr>
      <w:r>
        <w:t xml:space="preserve">Recette quotidienne tracée : CA du jour, carburant, autres dépenses, kilométrage, résultat net calculé</w:t>
      </w:r>
    </w:p>
    <w:p>
      <w:pPr>
        <w:pStyle w:val="Compact"/>
        <w:numPr>
          <w:ilvl w:val="1"/>
          <w:numId w:val="1002"/>
        </w:numPr>
      </w:pPr>
      <w:r>
        <w:t xml:space="preserve">Suivi des incidents (accident, infraction, panne, plainte) qualifiés par gravité et chiffrés</w:t>
      </w:r>
    </w:p>
    <w:p>
      <w:pPr>
        <w:pStyle w:val="Compact"/>
        <w:numPr>
          <w:ilvl w:val="1"/>
          <w:numId w:val="1002"/>
        </w:numPr>
      </w:pPr>
      <w:r>
        <w:t xml:space="preserve">KPIs chauffeur : rentabilité nette, tendance, classement entre chauffeurs et véhicules</w:t>
      </w:r>
    </w:p>
    <w:p>
      <w:pPr>
        <w:pStyle w:val="Compact"/>
        <w:numPr>
          <w:ilvl w:val="1"/>
          <w:numId w:val="1002"/>
        </w:numPr>
      </w:pPr>
      <w:r>
        <w:t xml:space="preserve">Espace chauffeur self-service confidentiel (chaque chauffeur ne voit que ses propres données)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Devis PDF professionnels</w:t>
      </w:r>
      <w:r>
        <w:t xml:space="preserve"> </w:t>
      </w:r>
      <w:r>
        <w:t xml:space="preserve">signés Pièces, générés à la demande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21"/>
    <w:bookmarkStart w:id="22" w:name="X281ec84328788a431b5f760f4773465272ea242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</w:t>
      </w:r>
    </w:p>
    <w:p>
      <w:pPr>
        <w:pStyle w:val="Compact"/>
        <w:numPr>
          <w:ilvl w:val="0"/>
          <w:numId w:val="1003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4fd05c05e744338b6a491ba4214e3db9be1386"/>
    <w:p>
      <w:pPr>
        <w:pStyle w:val="Heading2"/>
      </w:pPr>
      <w:r>
        <w:t xml:space="preserve">3. Modalités de paiement et de facturation</w:t>
      </w:r>
    </w:p>
    <w:bookmarkStart w:id="24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du cashflow.</w:t>
      </w:r>
    </w:p>
    <w:bookmarkEnd w:id="24"/>
    <w:bookmarkStart w:id="25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5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5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5"/>
        </w:numPr>
      </w:pPr>
      <w:r>
        <w:t xml:space="preserve">Cartes bancaires entreprise via CinetPay (à la mise en service du paiement automatisé, Q3 2026)</w:t>
      </w:r>
    </w:p>
    <w:bookmarkEnd w:id="25"/>
    <w:bookmarkStart w:id="26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6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6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6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fa1c9b16fb8a169cf4d652fdd737e56450bacea"/>
    <w:p>
      <w:pPr>
        <w:pStyle w:val="Heading2"/>
      </w:pPr>
      <w:r>
        <w:t xml:space="preserve">4. Engagements de service</w:t>
      </w:r>
    </w:p>
    <w:bookmarkStart w:id="28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28"/>
    <w:bookmarkStart w:id="29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VTC]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7"/>
        </w:numPr>
      </w:pPr>
      <w:r>
        <w:t xml:space="preserve">L'entreprise doit avoir importé l'intégralité de sa flotte dans Pièces dans les 30 premiers jours.</w:t>
      </w:r>
    </w:p>
    <w:p>
      <w:pPr>
        <w:pStyle w:val="Compact"/>
        <w:numPr>
          <w:ilvl w:val="0"/>
          <w:numId w:val="1007"/>
        </w:numPr>
      </w:pPr>
      <w:r>
        <w:t xml:space="preserve">Les commandes pièces doivent être passées exclusivement via la plateforme Pièces sur la période d'évaluation.</w:t>
      </w:r>
    </w:p>
    <w:p>
      <w:pPr>
        <w:pStyle w:val="Compact"/>
        <w:numPr>
          <w:ilvl w:val="0"/>
          <w:numId w:val="1007"/>
        </w:numPr>
      </w:pPr>
      <w:r>
        <w:t xml:space="preserve">Le calcul d'économies est partagé contradictoirement avec l'équipe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31"/>
    <w:bookmarkStart w:id="35" w:name="Xee5dd07076a208332078d5dd8a5e2e94ecbfae1"/>
    <w:p>
      <w:pPr>
        <w:pStyle w:val="Heading2"/>
      </w:pPr>
      <w:r>
        <w:t xml:space="preserve">6. Mise en service</w:t>
      </w:r>
    </w:p>
    <w:bookmarkStart w:id="32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8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l'entreprise VTC]</w:t>
      </w:r>
    </w:p>
    <w:p>
      <w:pPr>
        <w:pStyle w:val="Compact"/>
        <w:numPr>
          <w:ilvl w:val="0"/>
          <w:numId w:val="1008"/>
        </w:numPr>
      </w:pPr>
      <w:r>
        <w:t xml:space="preserve">Toutes les fonctionnalités Flotte Pro (ou Flotte Pro +) activées, gestion des chauffeurs comprise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8"/>
        </w:numPr>
      </w:pPr>
      <w:r>
        <w:t xml:space="preserve">Accompagnement par un Liaison senior + un membre de l'équipe produit Pièces</w:t>
      </w:r>
    </w:p>
    <w:bookmarkEnd w:id="32"/>
    <w:bookmarkStart w:id="33" w:name="phase-roll-out-t0--30-à-t0-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9"/>
        </w:numPr>
      </w:pPr>
      <w:r>
        <w:t xml:space="preserve">Import CSV de la flotte complète (6 000 véhicules) — format simple : marque, modèle, année, immatriculation, km, type d'usage</w:t>
      </w:r>
    </w:p>
    <w:p>
      <w:pPr>
        <w:pStyle w:val="Compact"/>
        <w:numPr>
          <w:ilvl w:val="0"/>
          <w:numId w:val="1009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9"/>
        </w:numPr>
      </w:pPr>
      <w:r>
        <w:t xml:space="preserve">Enrôlement des chauffeurs et affectation aux véhicules (activation OTP, ~5 min par chauffeur)</w:t>
      </w:r>
    </w:p>
    <w:p>
      <w:pPr>
        <w:pStyle w:val="Compact"/>
        <w:numPr>
          <w:ilvl w:val="0"/>
          <w:numId w:val="1009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9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9"/>
        </w:numPr>
      </w:pPr>
      <w:r>
        <w:t xml:space="preserve">Bascule des chauffeurs sur l'application et saisie de la recette quotidienne dès le premier jour (formation rapide, ~10 min par chauffeur)</w:t>
      </w:r>
    </w:p>
    <w:bookmarkEnd w:id="33"/>
    <w:bookmarkStart w:id="34" w:name="Xb0ced382163cee83ab30c3b80b33566607caed7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10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10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10"/>
        </w:numPr>
      </w:pPr>
      <w:r>
        <w:t xml:space="preserve">Optimisation continue (ajout de centres, ajout de SKU critiques, ajustement seuils alertes, suivi des KPIs chauffeurs)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1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1"/>
        </w:numPr>
      </w:pPr>
      <w:r>
        <w:t xml:space="preserve">Données : export complet CSV / FEC à la sortie (historique commandes, factures, fiches véhicules, alertes maintenance, recettes et incidents chauffeurs).</w:t>
      </w:r>
    </w:p>
    <w:p>
      <w:pPr>
        <w:pStyle w:val="Compact"/>
        <w:numPr>
          <w:ilvl w:val="0"/>
          <w:numId w:val="1011"/>
        </w:numPr>
      </w:pPr>
      <w:r>
        <w:t xml:space="preserve">Aucune clause d'exclusivité — [Nom de l'entreprise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36"/>
    <w:bookmarkStart w:id="37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La gestion des chauffeurs étant incluse dès Flotte Pro, le ROI se joue sur deux dimensions simultanées dès le premier mois : économie pièces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recette mieux suivie. À 12 mois, basculer 1 000 à 2 000 véhicules les plus exposés à l'immobilisation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de la livraison express 3 h (6 h max) — soit un mix à environ 350–400 M FCFA/an, avec un ROI confortable sur les trois dimensions (économie pièces + recette + économie immobilisation).</w:t>
      </w:r>
    </w:p>
    <w:p>
      <w:pPr>
        <w:pStyle w:val="BodyText"/>
      </w:pPr>
      <w:r>
        <w:t xml:space="preserve">Cette approche progressive permet de valider l'économie réelle avant d'engager le tier supérieur sur tout le parc.</w:t>
      </w:r>
    </w:p>
    <w:p>
      <w:r>
        <w:pict>
          <v:rect style="width:0;height:1.5pt" o:hralign="center" o:hrstd="t" o:hr="t"/>
        </w:pict>
      </w:r>
    </w:p>
    <w:bookmarkEnd w:id="37"/>
    <w:bookmarkStart w:id="38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2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3 juin 2026.</w:t>
      </w:r>
    </w:p>
    <w:p>
      <w:pPr>
        <w:pStyle w:val="Compact"/>
        <w:numPr>
          <w:ilvl w:val="0"/>
          <w:numId w:val="1012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2"/>
        </w:numPr>
      </w:pPr>
      <w:r>
        <w:t xml:space="preserve">Un contrat-cadre détaillé sera produit à l'issue de la phase pilote (T0 + 30 jours),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38"/>
    <w:bookmarkStart w:id="40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39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PCS-VTC-2026-06-001.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2026-06-04T18:06:44Z</dcterms:created>
  <dcterms:modified xsi:type="dcterms:W3CDTF">2026-06-04T18:06:44Z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