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ro-bible-pièces"/>
    <w:p>
      <w:pPr>
        <w:pStyle w:val="Heading1"/>
      </w:pPr>
      <w:r>
        <w:t xml:space="preserve">CRO Bible — Pièces</w:t>
      </w:r>
    </w:p>
    <w:p>
      <w:pPr>
        <w:pStyle w:val="FirstParagraph"/>
      </w:pPr>
      <w:r>
        <w:rPr>
          <w:b/>
          <w:bCs/>
        </w:rPr>
        <w:t xml:space="preserve">Public</w:t>
      </w:r>
      <w:r>
        <w:t xml:space="preserve"> </w:t>
      </w:r>
      <w:r>
        <w:t xml:space="preserve">: un·e nouveau·elle Chief Revenue Officer qui prend la responsabilité de</w:t>
      </w:r>
      <w:r>
        <w:t xml:space="preserve"> </w:t>
      </w:r>
      <w:r>
        <w:rPr>
          <w:b/>
          <w:bCs/>
        </w:rPr>
        <w:t xml:space="preserve">tout le revenu de Pièces</w:t>
      </w:r>
      <w:r>
        <w:t xml:space="preserve"> </w:t>
      </w:r>
      <w:r>
        <w:t xml:space="preserve">demain matin.</w:t>
      </w:r>
      <w:r>
        <w:t xml:space="preserve"> </w:t>
      </w:r>
      <w:r>
        <w:rPr>
          <w:b/>
          <w:bCs/>
        </w:rPr>
        <w:t xml:space="preserve">Objectif</w:t>
      </w:r>
      <w:r>
        <w:t xml:space="preserve"> </w:t>
      </w:r>
      <w:r>
        <w:t xml:space="preserve">: 0 → machine à revenus prévisible, croissante et défendable en une journée de lecture. Tout ce qu’il faut pour transformer le marché décrit par le CEO en</w:t>
      </w:r>
      <w:r>
        <w:t xml:space="preserve"> </w:t>
      </w:r>
      <w:r>
        <w:rPr>
          <w:b/>
          <w:bCs/>
        </w:rPr>
        <w:t xml:space="preserve">chiffre d’affaires encaissé</w:t>
      </w:r>
      <w:r>
        <w:t xml:space="preserve">, optimiser chaque levier de monétisation, et faire de Pièces une entreprise dont le revenu se prévoit au franc près.</w:t>
      </w:r>
    </w:p>
    <w:p>
      <w:pPr>
        <w:pStyle w:val="BlockText"/>
      </w:pPr>
      <w:r>
        <w:rPr>
          <w:b/>
          <w:bCs/>
        </w:rPr>
        <w:t xml:space="preserve">Avant de toucher quoi que ce soit</w:t>
      </w:r>
      <w:r>
        <w:t xml:space="preserve"> </w:t>
      </w:r>
      <w:r>
        <w:t xml:space="preserve">: lis</w:t>
      </w:r>
      <w:r>
        <w:t xml:space="preserve"> </w:t>
      </w:r>
      <w:hyperlink r:id="rId20">
        <w:r>
          <w:rPr>
            <w:rStyle w:val="VerbatimChar"/>
          </w:rPr>
          <w:t xml:space="preserve">CEO_BIBLE.md</w:t>
        </w:r>
      </w:hyperlink>
      <w:r>
        <w:t xml:space="preserve"> </w:t>
      </w:r>
      <w:r>
        <w:t xml:space="preserve">(la thèse, le marché, les 5 mouvements),</w:t>
      </w:r>
      <w:r>
        <w:t xml:space="preserve"> </w:t>
      </w:r>
      <w:hyperlink r:id="rId21">
        <w:r>
          <w:rPr>
            <w:rStyle w:val="VerbatimChar"/>
          </w:rPr>
          <w:t xml:space="preserve">CTO_BIBLE.md</w:t>
        </w:r>
      </w:hyperlink>
      <w:r>
        <w:t xml:space="preserve"> </w:t>
      </w:r>
      <w:r>
        <w:t xml:space="preserve">(ce que la machine peut instrumenter et facturer),</w:t>
      </w:r>
      <w:r>
        <w:t xml:space="preserve"> </w:t>
      </w:r>
      <w:hyperlink r:id="rId22">
        <w:r>
          <w:rPr>
            <w:rStyle w:val="VerbatimChar"/>
          </w:rPr>
          <w:t xml:space="preserve">DESIGN.md</w:t>
        </w:r>
      </w:hyperlink>
      <w:r>
        <w:t xml:space="preserve"> </w:t>
      </w:r>
      <w:r>
        <w:t xml:space="preserve">(les règles produit non négociables), puis ce document. Le CRO vit à l’intersection des trois :</w:t>
      </w:r>
      <w:r>
        <w:t xml:space="preserve"> </w:t>
      </w:r>
      <w:r>
        <w:rPr>
          <w:b/>
          <w:bCs/>
        </w:rPr>
        <w:t xml:space="preserve">le CEO fixe le cap, le CTO construit l’instrument, le CRO encaisse</w:t>
      </w:r>
      <w:r>
        <w:t xml:space="preserve">.</w:t>
      </w:r>
    </w:p>
    <w:p>
      <w:pPr>
        <w:pStyle w:val="BlockText"/>
      </w:pPr>
      <w:r>
        <w:rPr>
          <w:b/>
          <w:bCs/>
        </w:rPr>
        <w:t xml:space="preserve">Règle d’or du poste</w:t>
      </w:r>
      <w:r>
        <w:t xml:space="preserve"> </w:t>
      </w:r>
      <w:r>
        <w:t xml:space="preserve">: le CRO ne possède pas une fonction (vente, ou pricing, ou succès client). Le CRO possède</w:t>
      </w:r>
      <w:r>
        <w:t xml:space="preserve"> </w:t>
      </w:r>
      <w:r>
        <w:rPr>
          <w:b/>
          <w:bCs/>
        </w:rPr>
        <w:t xml:space="preserve">un nombre</w:t>
      </w:r>
      <w:r>
        <w:t xml:space="preserve"> </w:t>
      </w:r>
      <w:r>
        <w:t xml:space="preserve">— le revenu net récurrent et transactionnel — et tout ce qui le fait monter ou descendre. Si ça touche au revenu, c’est ton problème, même si l’équipe est ailleurs.</w:t>
      </w:r>
    </w:p>
    <w:p>
      <w:r>
        <w:pict>
          <v:rect style="width:0;height:1.5pt" o:hralign="center" o:hrstd="t" o:hr="t"/>
        </w:pict>
      </w:r>
    </w:p>
    <w:bookmarkStart w:id="23" w:name="le-mandat-en-90-secondes"/>
    <w:p>
      <w:pPr>
        <w:pStyle w:val="Heading2"/>
      </w:pPr>
      <w:r>
        <w:t xml:space="preserve">1. Le mandat en 90 secondes</w:t>
      </w:r>
    </w:p>
    <w:p>
      <w:pPr>
        <w:pStyle w:val="FirstParagraph"/>
      </w:pPr>
      <w:r>
        <w:t xml:space="preserve">Pièces a trois moteurs de revenu, pas un :</w:t>
      </w:r>
    </w:p>
    <w:p>
      <w:pPr>
        <w:pStyle w:val="Compact"/>
        <w:numPr>
          <w:ilvl w:val="0"/>
          <w:numId w:val="1001"/>
        </w:numPr>
      </w:pPr>
      <w:r>
        <w:rPr>
          <w:b/>
          <w:bCs/>
        </w:rPr>
        <w:t xml:space="preserve">Le transactionnel</w:t>
      </w:r>
      <w:r>
        <w:t xml:space="preserve"> </w:t>
      </w:r>
      <w:r>
        <w:t xml:space="preserve">(commission marketplace) — volatil, à fort volume, dépend du flux mécanicien→propriétaire→vendeur. C’est le</w:t>
      </w:r>
      <w:r>
        <w:t xml:space="preserve"> </w:t>
      </w:r>
      <w:r>
        <w:rPr>
          <w:b/>
          <w:bCs/>
        </w:rPr>
        <w:t xml:space="preserve">GMV × take rate</w:t>
      </w:r>
      <w:r>
        <w:t xml:space="preserve">.</w:t>
      </w:r>
    </w:p>
    <w:p>
      <w:pPr>
        <w:pStyle w:val="Compact"/>
        <w:numPr>
          <w:ilvl w:val="0"/>
          <w:numId w:val="1001"/>
        </w:numPr>
      </w:pPr>
      <w:r>
        <w:rPr>
          <w:b/>
          <w:bCs/>
        </w:rPr>
        <w:t xml:space="preserve">Le récurrent</w:t>
      </w:r>
      <w:r>
        <w:t xml:space="preserve"> </w:t>
      </w:r>
      <w:r>
        <w:t xml:space="preserve">(abonnements Flotte Pro / Pro +) — prévisible, à forte marge, defendable. C’est le</w:t>
      </w:r>
      <w:r>
        <w:t xml:space="preserve"> </w:t>
      </w:r>
      <w:r>
        <w:rPr>
          <w:b/>
          <w:bCs/>
        </w:rPr>
        <w:t xml:space="preserve">MRR/ARR</w:t>
      </w:r>
      <w:r>
        <w:t xml:space="preserve">.</w:t>
      </w:r>
    </w:p>
    <w:p>
      <w:pPr>
        <w:pStyle w:val="Compact"/>
        <w:numPr>
          <w:ilvl w:val="0"/>
          <w:numId w:val="1001"/>
        </w:numPr>
      </w:pPr>
      <w:r>
        <w:rPr>
          <w:b/>
          <w:bCs/>
        </w:rPr>
        <w:t xml:space="preserve">Le service &amp; conformité</w:t>
      </w:r>
      <w:r>
        <w:t xml:space="preserve"> </w:t>
      </w:r>
      <w:r>
        <w:t xml:space="preserve">(facturation FNE-CI, prestations, data) — petit aujourd’hui, levier d’acquisition et de rétention demain, centre de profit à terme.</w:t>
      </w:r>
    </w:p>
    <w:p>
      <w:pPr>
        <w:pStyle w:val="FirstParagraph"/>
      </w:pPr>
      <w:r>
        <w:rPr>
          <w:b/>
          <w:bCs/>
        </w:rPr>
        <w:t xml:space="preserve">Le job du CRO</w:t>
      </w:r>
      <w:r>
        <w:t xml:space="preserve"> </w:t>
      </w:r>
      <w:r>
        <w:t xml:space="preserve">: faire croître les trois simultanément sans les opposer, en déplaçant progressivement le centre de gravité du</w:t>
      </w:r>
      <w:r>
        <w:t xml:space="preserve"> </w:t>
      </w:r>
      <w:r>
        <w:rPr>
          <w:b/>
          <w:bCs/>
        </w:rPr>
        <w:t xml:space="preserve">transactionnel volatil</w:t>
      </w:r>
      <w:r>
        <w:t xml:space="preserve"> </w:t>
      </w:r>
      <w:r>
        <w:t xml:space="preserve">vers le</w:t>
      </w:r>
      <w:r>
        <w:t xml:space="preserve"> </w:t>
      </w:r>
      <w:r>
        <w:rPr>
          <w:b/>
          <w:bCs/>
        </w:rPr>
        <w:t xml:space="preserve">récurrent prévisible</w:t>
      </w:r>
      <w:r>
        <w:t xml:space="preserve">. Une entreprise qui vaut cher se mesure à la part de revenu récurrent, à la rétention nette (NRR) et à la prévisibilité du forecast — pas au GMV brut.</w:t>
      </w:r>
    </w:p>
    <w:p>
      <w:pPr>
        <w:pStyle w:val="BodyText"/>
      </w:pPr>
      <w:r>
        <w:rPr>
          <w:b/>
          <w:bCs/>
        </w:rPr>
        <w:t xml:space="preserve">La cible</w:t>
      </w:r>
      <w:r>
        <w:t xml:space="preserve"> </w:t>
      </w:r>
      <w:r>
        <w:t xml:space="preserve">(alignée CEO Bible) : à 36 mois,</w:t>
      </w:r>
      <w:r>
        <w:t xml:space="preserve"> </w:t>
      </w:r>
      <w:r>
        <w:rPr>
          <w:b/>
          <w:bCs/>
        </w:rPr>
        <w:t xml:space="preserve">3 à 5 Mds F de revenu net/an</w:t>
      </w:r>
      <w:r>
        <w:t xml:space="preserve">, dont</w:t>
      </w:r>
      <w:r>
        <w:t xml:space="preserve"> </w:t>
      </w:r>
      <w:r>
        <w:rPr>
          <w:b/>
          <w:bCs/>
        </w:rPr>
        <w:t xml:space="preserve">≥ 50% récurrent</w:t>
      </w:r>
      <w:r>
        <w:t xml:space="preserve">, NRR &gt; 115%, forecast trimestriel tenu à ±10%, et un coût d’acquisition amorti en &lt; 9 mois sur tous les segments.</w:t>
      </w:r>
    </w:p>
    <w:p>
      <w:pPr>
        <w:pStyle w:val="BodyText"/>
      </w:pPr>
      <w:r>
        <w:rPr>
          <w:b/>
          <w:bCs/>
        </w:rPr>
        <w:t xml:space="preserve">Les trois erreurs qui tuent un CRO ici</w:t>
      </w:r>
      <w:r>
        <w:t xml:space="preserve"> </w:t>
      </w:r>
      <w:r>
        <w:t xml:space="preserve">:</w:t>
      </w:r>
      <w:r>
        <w:t xml:space="preserve"> </w:t>
      </w:r>
      <w:r>
        <w:t xml:space="preserve">- Acheter du GMV non rentable pour gonfler un chiffre de vanité.</w:t>
      </w:r>
      <w:r>
        <w:t xml:space="preserve"> </w:t>
      </w:r>
      <w:r>
        <w:t xml:space="preserve">- Vendre du Flotte Pro + sans que l’ops puisse tenir la livraison prioritaire (churn explosif).</w:t>
      </w:r>
      <w:r>
        <w:t xml:space="preserve"> </w:t>
      </w:r>
      <w:r>
        <w:t xml:space="preserve">- Brader la facture FNE-CI ou les abonnements en early-stage et ne jamais réussir à remonter les prix.</w:t>
      </w:r>
    </w:p>
    <w:p>
      <w:r>
        <w:pict>
          <v:rect style="width:0;height:1.5pt" o:hralign="center" o:hrstd="t" o:hr="t"/>
        </w:pict>
      </w:r>
    </w:p>
    <w:bookmarkEnd w:id="23"/>
    <w:bookmarkStart w:id="27" w:name="Xe752ed353b6c5cf86a711e5c3ded62b6d40a9d8"/>
    <w:p>
      <w:pPr>
        <w:pStyle w:val="Heading2"/>
      </w:pPr>
      <w:r>
        <w:t xml:space="preserve">2. L’architecture de revenu — où l’argent entre, précisément</w:t>
      </w:r>
    </w:p>
    <w:bookmarkStart w:id="24" w:name="X371f7e8db73b9d7d32eccd0c8b11e4612f0de79"/>
    <w:p>
      <w:pPr>
        <w:pStyle w:val="Heading3"/>
      </w:pPr>
      <w:r>
        <w:t xml:space="preserve">2.1 Les quatre flux et leur mécanique d’encaissement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Flux</w:t>
            </w:r>
          </w:p>
        </w:tc>
        <w:tc>
          <w:tcPr/>
          <w:p>
            <w:pPr>
              <w:pStyle w:val="Compact"/>
            </w:pPr>
            <w:r>
              <w:t xml:space="preserve">Déclencheur d’encaissement</w:t>
            </w:r>
          </w:p>
        </w:tc>
        <w:tc>
          <w:tcPr/>
          <w:p>
            <w:pPr>
              <w:pStyle w:val="Compact"/>
            </w:pPr>
            <w:r>
              <w:t xml:space="preserve">Qui paie</w:t>
            </w:r>
          </w:p>
        </w:tc>
        <w:tc>
          <w:tcPr/>
          <w:p>
            <w:pPr>
              <w:pStyle w:val="Compact"/>
            </w:pPr>
            <w:r>
              <w:t xml:space="preserve">Quand</w:t>
            </w:r>
          </w:p>
        </w:tc>
        <w:tc>
          <w:tcPr/>
          <w:p>
            <w:pPr>
              <w:pStyle w:val="Compact"/>
            </w:pPr>
            <w:r>
              <w:t xml:space="preserve">Marge brute cible</w:t>
            </w:r>
          </w:p>
        </w:tc>
      </w:tr>
      <w:tr>
        <w:tc>
          <w:tcPr/>
          <w:p>
            <w:pPr>
              <w:pStyle w:val="Compact"/>
            </w:pPr>
            <w:r>
              <w:rPr>
                <w:b/>
                <w:bCs/>
              </w:rPr>
              <w:t xml:space="preserve">Commission marketplace</w:t>
            </w:r>
          </w:p>
        </w:tc>
        <w:tc>
          <w:tcPr/>
          <w:p>
            <w:pPr>
              <w:pStyle w:val="Compact"/>
            </w:pPr>
            <w:r>
              <w:t xml:space="preserve">Encaissement de la pièce à la remise</w:t>
            </w:r>
          </w:p>
        </w:tc>
        <w:tc>
          <w:tcPr/>
          <w:p>
            <w:pPr>
              <w:pStyle w:val="Compact"/>
            </w:pPr>
            <w:r>
              <w:t xml:space="preserve">Le vendeur (prélevée sur l’encaissement avant versement)</w:t>
            </w:r>
          </w:p>
        </w:tc>
        <w:tc>
          <w:tcPr/>
          <w:p>
            <w:pPr>
              <w:pStyle w:val="Compact"/>
            </w:pPr>
            <w:r>
              <w:t xml:space="preserve">À chaque transaction</w:t>
            </w:r>
            <w:r>
              <w:t xml:space="preserve"> </w:t>
            </w:r>
            <w:r>
              <w:rPr>
                <w:rStyle w:val="VerbatimChar"/>
              </w:rPr>
              <w:t xml:space="preserve">CONFIRMED → COMPLETED</w:t>
            </w:r>
          </w:p>
        </w:tc>
        <w:tc>
          <w:tcPr/>
          <w:p>
            <w:pPr>
              <w:pStyle w:val="Compact"/>
            </w:pPr>
            <w:r>
              <w:t xml:space="preserve">80–90%</w:t>
            </w:r>
          </w:p>
        </w:tc>
      </w:tr>
      <w:tr>
        <w:tc>
          <w:tcPr/>
          <w:p>
            <w:pPr>
              <w:pStyle w:val="Compact"/>
            </w:pPr>
            <w:r>
              <w:rPr>
                <w:b/>
                <w:bCs/>
              </w:rPr>
              <w:t xml:space="preserve">Abonnement Flotte Pro</w:t>
            </w:r>
          </w:p>
        </w:tc>
        <w:tc>
          <w:tcPr/>
          <w:p>
            <w:pPr>
              <w:pStyle w:val="Compact"/>
            </w:pPr>
            <w:r>
              <w:t xml:space="preserve">Prélèvement Mobile Money / virement mensuel</w:t>
            </w:r>
          </w:p>
        </w:tc>
        <w:tc>
          <w:tcPr/>
          <w:p>
            <w:pPr>
              <w:pStyle w:val="Compact"/>
            </w:pPr>
            <w:r>
              <w:t xml:space="preserve">La flotte (entreprise)</w:t>
            </w:r>
          </w:p>
        </w:tc>
        <w:tc>
          <w:tcPr/>
          <w:p>
            <w:pPr>
              <w:pStyle w:val="Compact"/>
            </w:pPr>
            <w:r>
              <w:t xml:space="preserve">Mensuel, terme à échoir</w:t>
            </w:r>
          </w:p>
        </w:tc>
        <w:tc>
          <w:tcPr/>
          <w:p>
            <w:pPr>
              <w:pStyle w:val="Compact"/>
            </w:pPr>
            <w:r>
              <w:t xml:space="preserve">70–80%</w:t>
            </w:r>
          </w:p>
        </w:tc>
      </w:tr>
      <w:tr>
        <w:tc>
          <w:tcPr/>
          <w:p>
            <w:pPr>
              <w:pStyle w:val="Compact"/>
            </w:pPr>
            <w:r>
              <w:rPr>
                <w:b/>
                <w:bCs/>
              </w:rPr>
              <w:t xml:space="preserve">Abonnement Flotte Pro +</w:t>
            </w:r>
          </w:p>
        </w:tc>
        <w:tc>
          <w:tcPr/>
          <w:p>
            <w:pPr>
              <w:pStyle w:val="Compact"/>
            </w:pPr>
            <w:r>
              <w:t xml:space="preserve">Prélèvement Mobile Money / virement mensuel</w:t>
            </w:r>
          </w:p>
        </w:tc>
        <w:tc>
          <w:tcPr/>
          <w:p>
            <w:pPr>
              <w:pStyle w:val="Compact"/>
            </w:pPr>
            <w:r>
              <w:t xml:space="preserve">La flotte (entreprise)</w:t>
            </w:r>
          </w:p>
        </w:tc>
        <w:tc>
          <w:tcPr/>
          <w:p>
            <w:pPr>
              <w:pStyle w:val="Compact"/>
            </w:pPr>
            <w:r>
              <w:t xml:space="preserve">Mensuel, terme à échoir</w:t>
            </w:r>
          </w:p>
        </w:tc>
        <w:tc>
          <w:tcPr/>
          <w:p>
            <w:pPr>
              <w:pStyle w:val="Compact"/>
            </w:pPr>
            <w:r>
              <w:t xml:space="preserve">60–70%</w:t>
            </w:r>
          </w:p>
        </w:tc>
      </w:tr>
      <w:tr>
        <w:tc>
          <w:tcPr/>
          <w:p>
            <w:pPr>
              <w:pStyle w:val="Compact"/>
            </w:pPr>
            <w:r>
              <w:rPr>
                <w:b/>
                <w:bCs/>
              </w:rPr>
              <w:t xml:space="preserve">Service FNE-CI / data / prestations</w:t>
            </w:r>
          </w:p>
        </w:tc>
        <w:tc>
          <w:tcPr/>
          <w:p>
            <w:pPr>
              <w:pStyle w:val="Compact"/>
            </w:pPr>
            <w:r>
              <w:t xml:space="preserve">Forfait ou à l’usage</w:t>
            </w:r>
          </w:p>
        </w:tc>
        <w:tc>
          <w:tcPr/>
          <w:p>
            <w:pPr>
              <w:pStyle w:val="Compact"/>
            </w:pPr>
            <w:r>
              <w:t xml:space="preserve">Flotte hors abonnement, corporate, tiers (assureurs)</w:t>
            </w:r>
          </w:p>
        </w:tc>
        <w:tc>
          <w:tcPr/>
          <w:p>
            <w:pPr>
              <w:pStyle w:val="Compact"/>
            </w:pPr>
            <w:r>
              <w:t xml:space="preserve">Mensuel ou ponctuel</w:t>
            </w:r>
          </w:p>
        </w:tc>
        <w:tc>
          <w:tcPr/>
          <w:p>
            <w:pPr>
              <w:pStyle w:val="Compact"/>
            </w:pPr>
            <w:r>
              <w:t xml:space="preserve">50–70%</w:t>
            </w:r>
          </w:p>
        </w:tc>
      </w:tr>
    </w:tbl>
    <w:p>
      <w:pPr>
        <w:pStyle w:val="BodyText"/>
      </w:pPr>
      <w:r>
        <w:rPr>
          <w:b/>
          <w:bCs/>
        </w:rPr>
        <w:t xml:space="preserve">À connaître par cœur</w:t>
      </w:r>
      <w:r>
        <w:t xml:space="preserve"> </w:t>
      </w:r>
      <w:r>
        <w:t xml:space="preserve">: le revenu marketplace n’est</w:t>
      </w:r>
      <w:r>
        <w:t xml:space="preserve"> </w:t>
      </w:r>
      <w:r>
        <w:rPr>
          <w:b/>
          <w:bCs/>
        </w:rPr>
        <w:t xml:space="preserve">reconnu qu’à la remise payée</w:t>
      </w:r>
      <w:r>
        <w:t xml:space="preserve"> </w:t>
      </w:r>
      <w:r>
        <w:t xml:space="preserve">— la pièce est livrée</w:t>
      </w:r>
      <w:r>
        <w:t xml:space="preserve"> </w:t>
      </w:r>
      <w:r>
        <w:rPr>
          <w:i/>
          <w:iCs/>
        </w:rPr>
        <w:t xml:space="preserve">et</w:t>
      </w:r>
      <w:r>
        <w:t xml:space="preserve"> </w:t>
      </w:r>
      <w:r>
        <w:t xml:space="preserve">encaissée (état</w:t>
      </w:r>
      <w:r>
        <w:t xml:space="preserve"> </w:t>
      </w:r>
      <w:r>
        <w:rPr>
          <w:rStyle w:val="VerbatimChar"/>
        </w:rPr>
        <w:t xml:space="preserve">COMPLETED</w:t>
      </w:r>
      <w:r>
        <w:t xml:space="preserve"> </w:t>
      </w:r>
      <w:r>
        <w:t xml:space="preserve">de la state machine, voir CTO Bible</w:t>
      </w:r>
      <w:r>
        <w:t xml:space="preserve"> </w:t>
      </w:r>
      <w:r>
        <w:rPr>
          <w:rStyle w:val="VerbatimChar"/>
        </w:rPr>
        <w:t xml:space="preserve">order.stateMachine.ts</w:t>
      </w:r>
      <w:r>
        <w:t xml:space="preserve">). Une commande</w:t>
      </w:r>
      <w:r>
        <w:t xml:space="preserve"> </w:t>
      </w:r>
      <w:r>
        <w:rPr>
          <w:rStyle w:val="VerbatimChar"/>
        </w:rPr>
        <w:t xml:space="preserve">PAID</w:t>
      </w:r>
      <w:r>
        <w:t xml:space="preserve"> </w:t>
      </w:r>
      <w:r>
        <w:t xml:space="preserve">mais non livrée n’est</w:t>
      </w:r>
      <w:r>
        <w:t xml:space="preserve"> </w:t>
      </w:r>
      <w:r>
        <w:rPr>
          <w:b/>
          <w:bCs/>
        </w:rPr>
        <w:t xml:space="preserve">pas</w:t>
      </w:r>
      <w:r>
        <w:t xml:space="preserve"> </w:t>
      </w:r>
      <w:r>
        <w:t xml:space="preserve">du revenu : c’est du GMV en transit. Ne jamais forecaster sur du GMV non livré.</w:t>
      </w:r>
    </w:p>
    <w:p>
      <w:pPr>
        <w:pStyle w:val="BodyText"/>
      </w:pPr>
      <w:r>
        <w:t xml:space="preserve">Le passage au paiement direct ne change pas cette règle, il la rend plus stricte. Le vendeur est payé immédiatement à l’encaissement, mais</w:t>
      </w:r>
      <w:r>
        <w:t xml:space="preserve"> </w:t>
      </w:r>
      <w:r>
        <w:rPr>
          <w:b/>
          <w:bCs/>
        </w:rPr>
        <w:t xml:space="preserve">la commission n’est acquise que si la pièce est effectivement remise</w:t>
      </w:r>
      <w:r>
        <w:t xml:space="preserve"> </w:t>
      </w:r>
      <w:r>
        <w:t xml:space="preserve">: rien n’étant livré sans paiement, une commande non remise ne produit aucun revenu, et un retour justifié annule la commission. Un prépaiement en ligne encaissé mais non livré reste du GMV en transit, jamais du revenu.</w:t>
      </w:r>
    </w:p>
    <w:bookmarkEnd w:id="24"/>
    <w:bookmarkStart w:id="25" w:name="la-formule-maîtresse-du-revenu"/>
    <w:p>
      <w:pPr>
        <w:pStyle w:val="Heading3"/>
      </w:pPr>
      <w:r>
        <w:t xml:space="preserve">2.2 La formule maîtresse du revenu</w:t>
      </w:r>
    </w:p>
    <w:p>
      <w:pPr>
        <w:pStyle w:val="SourceCode"/>
      </w:pPr>
      <w:r>
        <w:rPr>
          <w:rStyle w:val="VerbatimChar"/>
        </w:rPr>
        <w:t xml:space="preserve">Revenu net Pièces</w:t>
      </w:r>
      <w:r>
        <w:br/>
      </w:r>
      <w:r>
        <w:rPr>
          <w:rStyle w:val="VerbatimChar"/>
        </w:rPr>
        <w:t xml:space="preserve">  = (GMV livré × take rate effective)                    ← transactionnel</w:t>
      </w:r>
      <w:r>
        <w:br/>
      </w:r>
      <w:r>
        <w:rPr>
          <w:rStyle w:val="VerbatimChar"/>
        </w:rPr>
        <w:t xml:space="preserve">  + (Véhicules actifs × ARPU abonnement)                 ← récurrent</w:t>
      </w:r>
      <w:r>
        <w:br/>
      </w:r>
      <w:r>
        <w:rPr>
          <w:rStyle w:val="VerbatimChar"/>
        </w:rPr>
        <w:t xml:space="preserve">  + (Factures FNE-CI hors-abo + prestations + data)      ← service</w:t>
      </w:r>
    </w:p>
    <w:p>
      <w:pPr>
        <w:pStyle w:val="FirstParagraph"/>
      </w:pPr>
      <w:r>
        <w:t xml:space="preserve">Décompose chaque terme jusqu’au levier actionnable :</w:t>
      </w:r>
    </w:p>
    <w:p>
      <w:pPr>
        <w:pStyle w:val="Compact"/>
        <w:numPr>
          <w:ilvl w:val="0"/>
          <w:numId w:val="1002"/>
        </w:numPr>
      </w:pPr>
      <w:r>
        <w:rPr>
          <w:b/>
          <w:bCs/>
        </w:rPr>
        <w:t xml:space="preserve">GMV livré</w:t>
      </w:r>
      <w:r>
        <w:t xml:space="preserve"> </w:t>
      </w:r>
      <w:r>
        <w:t xml:space="preserve">= commandes livrées/jour × panier moyen × jours.</w:t>
      </w:r>
    </w:p>
    <w:p>
      <w:pPr>
        <w:pStyle w:val="Compact"/>
        <w:numPr>
          <w:ilvl w:val="0"/>
          <w:numId w:val="1002"/>
        </w:numPr>
      </w:pPr>
      <w:r>
        <w:rPr>
          <w:b/>
          <w:bCs/>
        </w:rPr>
        <w:t xml:space="preserve">Take rate effective</w:t>
      </w:r>
      <w:r>
        <w:t xml:space="preserve"> </w:t>
      </w:r>
      <w:r>
        <w:t xml:space="preserve">= commission affichée − (remises + impayés + fraude + rétro-commissions Liaison).</w:t>
      </w:r>
    </w:p>
    <w:p>
      <w:pPr>
        <w:pStyle w:val="Compact"/>
        <w:numPr>
          <w:ilvl w:val="0"/>
          <w:numId w:val="1002"/>
        </w:numPr>
      </w:pPr>
      <w:r>
        <w:rPr>
          <w:b/>
          <w:bCs/>
        </w:rPr>
        <w:t xml:space="preserve">Véhicules actifs</w:t>
      </w:r>
      <w:r>
        <w:t xml:space="preserve"> </w:t>
      </w:r>
      <w:r>
        <w:t xml:space="preserve">= véhicules signés × (1 − churn) + expansion (upsell Pro → Pro +).</w:t>
      </w:r>
    </w:p>
    <w:p>
      <w:pPr>
        <w:pStyle w:val="Compact"/>
        <w:numPr>
          <w:ilvl w:val="0"/>
          <w:numId w:val="1002"/>
        </w:numPr>
      </w:pPr>
      <w:r>
        <w:rPr>
          <w:b/>
          <w:bCs/>
        </w:rPr>
        <w:t xml:space="preserve">ARPU abonnement</w:t>
      </w:r>
      <w:r>
        <w:t xml:space="preserve"> </w:t>
      </w:r>
      <w:r>
        <w:t xml:space="preserve">= mix Pro (5 000 F) / Pro + (10 000 F) × taux de recouvrement réel.</w:t>
      </w:r>
    </w:p>
    <w:p>
      <w:pPr>
        <w:pStyle w:val="FirstParagraph"/>
      </w:pPr>
      <w:r>
        <w:rPr>
          <w:b/>
          <w:bCs/>
        </w:rPr>
        <w:t xml:space="preserve">Chaque levier de ce développement est un projet CRO</w:t>
      </w:r>
      <w:r>
        <w:t xml:space="preserve">. Si tu ne sais pas lequel bouger ce trimestre, tu n’as pas de plan.</w:t>
      </w:r>
    </w:p>
    <w:bookmarkEnd w:id="25"/>
    <w:bookmarkStart w:id="26" w:name="Xf816cdd507300f6ddeb74c763430f7bfd721136"/>
    <w:p>
      <w:pPr>
        <w:pStyle w:val="Heading3"/>
      </w:pPr>
      <w:r>
        <w:t xml:space="preserve">2.3 Les fuites de revenu (revenue leakage) — la chasse permanente</w:t>
      </w:r>
    </w:p>
    <w:p>
      <w:pPr>
        <w:pStyle w:val="FirstParagraph"/>
      </w:pPr>
      <w:r>
        <w:t xml:space="preserve">Le revenu ne se perd pas qu’en haut du funnel. Audit mensuel obligatoire sur :</w:t>
      </w:r>
    </w:p>
    <w:p>
      <w:pPr>
        <w:pStyle w:val="Compact"/>
        <w:numPr>
          <w:ilvl w:val="0"/>
          <w:numId w:val="1003"/>
        </w:numPr>
      </w:pPr>
      <w:r>
        <w:rPr>
          <w:b/>
          <w:bCs/>
        </w:rPr>
        <w:t xml:space="preserve">Take rate erodée</w:t>
      </w:r>
      <w:r>
        <w:t xml:space="preserve"> </w:t>
      </w:r>
      <w:r>
        <w:t xml:space="preserve">: remises commerciales non gouvernées, commissions Liaison qui grignotent la marge, exonérations « one-shot » devenues permanentes.</w:t>
      </w:r>
    </w:p>
    <w:p>
      <w:pPr>
        <w:pStyle w:val="Compact"/>
        <w:numPr>
          <w:ilvl w:val="0"/>
          <w:numId w:val="1003"/>
        </w:numPr>
      </w:pPr>
      <w:r>
        <w:rPr>
          <w:b/>
          <w:bCs/>
        </w:rPr>
        <w:t xml:space="preserve">Impayés abonnement</w:t>
      </w:r>
      <w:r>
        <w:t xml:space="preserve"> </w:t>
      </w:r>
      <w:r>
        <w:t xml:space="preserve">: prélèvements Mobile Money échoués non relancés → MRR fantôme. Toute facture impayée &gt; 15 jours sort du MRR reconnu.</w:t>
      </w:r>
    </w:p>
    <w:p>
      <w:pPr>
        <w:pStyle w:val="Compact"/>
        <w:numPr>
          <w:ilvl w:val="0"/>
          <w:numId w:val="1003"/>
        </w:numPr>
      </w:pPr>
      <w:r>
        <w:rPr>
          <w:b/>
          <w:bCs/>
        </w:rPr>
        <w:t xml:space="preserve">GMV qui fuit hors-plateforme</w:t>
      </w:r>
      <w:r>
        <w:t xml:space="preserve"> </w:t>
      </w:r>
      <w:r>
        <w:t xml:space="preserve">: mécanicien et vendeur qui se recontactent en direct après une première mise en relation (le « leakage WhatsApp »). C’est la fuite n°1 d’une marketplace. Mesure-la, combats-la (cf. §6.4).</w:t>
      </w:r>
    </w:p>
    <w:p>
      <w:pPr>
        <w:pStyle w:val="Compact"/>
        <w:numPr>
          <w:ilvl w:val="0"/>
          <w:numId w:val="1003"/>
        </w:numPr>
      </w:pPr>
      <w:r>
        <w:rPr>
          <w:b/>
          <w:bCs/>
        </w:rPr>
        <w:t xml:space="preserve">Downgrade silencieux</w:t>
      </w:r>
      <w:r>
        <w:t xml:space="preserve"> </w:t>
      </w:r>
      <w:r>
        <w:t xml:space="preserve">: flotte qui réduit son nombre de véhicules abonnés sans churner formellement.</w:t>
      </w:r>
    </w:p>
    <w:p>
      <w:pPr>
        <w:pStyle w:val="Compact"/>
        <w:numPr>
          <w:ilvl w:val="0"/>
          <w:numId w:val="1003"/>
        </w:numPr>
      </w:pPr>
      <w:r>
        <w:rPr>
          <w:b/>
          <w:bCs/>
        </w:rPr>
        <w:t xml:space="preserve">Sous-facturation FNE-CI</w:t>
      </w:r>
      <w:r>
        <w:t xml:space="preserve"> </w:t>
      </w:r>
      <w:r>
        <w:t xml:space="preserve">: factures émises gratuitement « pour rendre service » qui ne remontent jamais en tarif.</w:t>
      </w:r>
    </w:p>
    <w:p>
      <w:r>
        <w:pict>
          <v:rect style="width:0;height:1.5pt" o:hralign="center" o:hrstd="t" o:hr="t"/>
        </w:pict>
      </w:r>
    </w:p>
    <w:bookmarkEnd w:id="26"/>
    <w:bookmarkEnd w:id="27"/>
    <w:bookmarkStart w:id="31" w:name="stratégie-de-monétisation-la-doctrine"/>
    <w:p>
      <w:pPr>
        <w:pStyle w:val="Heading2"/>
      </w:pPr>
      <w:r>
        <w:t xml:space="preserve">3. Stratégie de monétisation — la doctrine</w:t>
      </w:r>
    </w:p>
    <w:bookmarkStart w:id="28" w:name="X673f1d6bf527f30c02090a23d0d523f40ebc3cc"/>
    <w:p>
      <w:pPr>
        <w:pStyle w:val="Heading3"/>
      </w:pPr>
      <w:r>
        <w:t xml:space="preserve">3.1 Principe directeur : capter la valeur là où elle est ressentie</w:t>
      </w:r>
    </w:p>
    <w:p>
      <w:pPr>
        <w:pStyle w:val="FirstParagraph"/>
      </w:pPr>
      <w:r>
        <w:t xml:space="preserve">Le CEO Bible le dit (§2.3) :</w:t>
      </w:r>
      <w:r>
        <w:t xml:space="preserve"> </w:t>
      </w:r>
      <w:r>
        <w:rPr>
          <w:b/>
          <w:bCs/>
        </w:rPr>
        <w:t xml:space="preserve">les flottes paient pour l’intelligence (savoir où part l’argent) et l’urgence opérationnelle (ne pas perdre une journée), pas pour des notifications.</w:t>
      </w:r>
      <w:r>
        <w:t xml:space="preserve"> </w:t>
      </w:r>
      <w:r>
        <w:t xml:space="preserve">Le pricing doit suivre la valeur perçue, jamais le coût de la feature.</w:t>
      </w:r>
    </w:p>
    <w:p>
      <w:pPr>
        <w:pStyle w:val="Compact"/>
        <w:numPr>
          <w:ilvl w:val="0"/>
          <w:numId w:val="1004"/>
        </w:numPr>
      </w:pPr>
      <w:r>
        <w:rPr>
          <w:b/>
          <w:bCs/>
        </w:rPr>
        <w:t xml:space="preserve">Mécanicien / propriétaire</w:t>
      </w:r>
      <w:r>
        <w:t xml:space="preserve"> </w:t>
      </w:r>
      <w:r>
        <w:t xml:space="preserve">: sensibles au prix et à la confiance. On monétise par</w:t>
      </w:r>
      <w:r>
        <w:t xml:space="preserve"> </w:t>
      </w:r>
      <w:r>
        <w:rPr>
          <w:b/>
          <w:bCs/>
        </w:rPr>
        <w:t xml:space="preserve">commission invisible</w:t>
      </w:r>
      <w:r>
        <w:t xml:space="preserve"> </w:t>
      </w:r>
      <w:r>
        <w:t xml:space="preserve">(intégrée, jamais un surcoût affiché au-dessus du prix vendeur) + breakdown transparent qui justifie la valeur (cf. DESIGN.md, breakdown obligatoire). On ne facture</w:t>
      </w:r>
      <w:r>
        <w:t xml:space="preserve"> </w:t>
      </w:r>
      <w:r>
        <w:rPr>
          <w:b/>
          <w:bCs/>
        </w:rPr>
        <w:t xml:space="preserve">jamais</w:t>
      </w:r>
      <w:r>
        <w:t xml:space="preserve"> </w:t>
      </w:r>
      <w:r>
        <w:t xml:space="preserve">d’abonnement au mécanicien en phase d’acquisition.</w:t>
      </w:r>
    </w:p>
    <w:p>
      <w:pPr>
        <w:pStyle w:val="Compact"/>
        <w:numPr>
          <w:ilvl w:val="0"/>
          <w:numId w:val="1004"/>
        </w:numPr>
      </w:pPr>
      <w:r>
        <w:rPr>
          <w:b/>
          <w:bCs/>
        </w:rPr>
        <w:t xml:space="preserve">Flotte</w:t>
      </w:r>
      <w:r>
        <w:t xml:space="preserve"> </w:t>
      </w:r>
      <w:r>
        <w:t xml:space="preserve">: sensible au coût total et à l’immobilisation. On monétise par</w:t>
      </w:r>
      <w:r>
        <w:t xml:space="preserve"> </w:t>
      </w:r>
      <w:r>
        <w:rPr>
          <w:b/>
          <w:bCs/>
        </w:rPr>
        <w:t xml:space="preserve">abonnement par véhicule</w:t>
      </w:r>
      <w:r>
        <w:t xml:space="preserve"> </w:t>
      </w:r>
      <w:r>
        <w:t xml:space="preserve">indexé sur la valeur du pilotage et de l’urgence opérationnelle, pas sur l’usage marketplace.</w:t>
      </w:r>
    </w:p>
    <w:p>
      <w:pPr>
        <w:pStyle w:val="Compact"/>
        <w:numPr>
          <w:ilvl w:val="0"/>
          <w:numId w:val="1004"/>
        </w:numPr>
      </w:pPr>
      <w:r>
        <w:rPr>
          <w:b/>
          <w:bCs/>
        </w:rPr>
        <w:t xml:space="preserve">Corporate / BTP</w:t>
      </w:r>
      <w:r>
        <w:t xml:space="preserve"> </w:t>
      </w:r>
      <w:r>
        <w:t xml:space="preserve">: sensible à la conformité fiscale et à la disponibilité. On monétise par</w:t>
      </w:r>
      <w:r>
        <w:t xml:space="preserve"> </w:t>
      </w:r>
      <w:r>
        <w:rPr>
          <w:b/>
          <w:bCs/>
        </w:rPr>
        <w:t xml:space="preserve">abonnement premium + service FNE-CI</w:t>
      </w:r>
      <w:r>
        <w:t xml:space="preserve"> </w:t>
      </w:r>
      <w:r>
        <w:t xml:space="preserve">vendu comme récupération de TVA, donc</w:t>
      </w:r>
      <w:r>
        <w:t xml:space="preserve"> </w:t>
      </w:r>
      <w:r>
        <w:rPr>
          <w:b/>
          <w:bCs/>
        </w:rPr>
        <w:t xml:space="preserve">ROI-positif côté client</w:t>
      </w:r>
      <w:r>
        <w:t xml:space="preserve"> </w:t>
      </w:r>
      <w:r>
        <w:t xml:space="preserve">dès le premier mois.</w:t>
      </w:r>
    </w:p>
    <w:bookmarkEnd w:id="28"/>
    <w:bookmarkStart w:id="29" w:name="la-règle-de-monétisation-segmentée"/>
    <w:p>
      <w:pPr>
        <w:pStyle w:val="Heading3"/>
      </w:pPr>
      <w:r>
        <w:t xml:space="preserve">3.2 La règle de monétisation segmentée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Levier principal</w:t>
            </w:r>
          </w:p>
        </w:tc>
        <w:tc>
          <w:tcPr/>
          <w:p>
            <w:pPr>
              <w:pStyle w:val="Compact"/>
            </w:pPr>
            <w:r>
              <w:t xml:space="preserve">Levier secondaire</w:t>
            </w:r>
          </w:p>
        </w:tc>
        <w:tc>
          <w:tcPr/>
          <w:p>
            <w:pPr>
              <w:pStyle w:val="Compact"/>
            </w:pPr>
            <w:r>
              <w:t xml:space="preserve">Ce qu’on NE facture jamais</w:t>
            </w:r>
          </w:p>
        </w:tc>
      </w:tr>
      <w:tr>
        <w:tc>
          <w:tcPr/>
          <w:p>
            <w:pPr>
              <w:pStyle w:val="Compact"/>
            </w:pPr>
            <w:r>
              <w:t xml:space="preserve">Mécanicien indépendant</w:t>
            </w:r>
          </w:p>
        </w:tc>
        <w:tc>
          <w:tcPr/>
          <w:p>
            <w:pPr>
              <w:pStyle w:val="Compact"/>
            </w:pPr>
            <w:r>
              <w:t xml:space="preserve">Commission marketplace</w:t>
            </w:r>
          </w:p>
        </w:tc>
        <w:tc>
          <w:tcPr/>
          <w:p>
            <w:pPr>
              <w:pStyle w:val="Compact"/>
            </w:pPr>
            <w:r>
              <w:t xml:space="preserve">—</w:t>
            </w:r>
          </w:p>
        </w:tc>
        <w:tc>
          <w:tcPr/>
          <w:p>
            <w:pPr>
              <w:pStyle w:val="Compact"/>
            </w:pPr>
            <w:r>
              <w:t xml:space="preserve">Abonnement, frais d’inscription</w:t>
            </w:r>
          </w:p>
        </w:tc>
      </w:tr>
      <w:tr>
        <w:tc>
          <w:tcPr/>
          <w:p>
            <w:pPr>
              <w:pStyle w:val="Compact"/>
            </w:pPr>
            <w:r>
              <w:t xml:space="preserve">Propriétaire particulier</w:t>
            </w:r>
          </w:p>
        </w:tc>
        <w:tc>
          <w:tcPr/>
          <w:p>
            <w:pPr>
              <w:pStyle w:val="Compact"/>
            </w:pPr>
            <w:r>
              <w:t xml:space="preserve">Commission (incluse au prix)</w:t>
            </w:r>
          </w:p>
        </w:tc>
        <w:tc>
          <w:tcPr/>
          <w:p>
            <w:pPr>
              <w:pStyle w:val="Compact"/>
            </w:pPr>
            <w:r>
              <w:t xml:space="preserve">Livraison express ponctuelle</w:t>
            </w:r>
          </w:p>
        </w:tc>
        <w:tc>
          <w:tcPr/>
          <w:p>
            <w:pPr>
              <w:pStyle w:val="Compact"/>
            </w:pPr>
            <w:r>
              <w:t xml:space="preserve">Frais cachés (interdit DESIGN.md)</w:t>
            </w:r>
          </w:p>
        </w:tc>
      </w:tr>
      <w:tr>
        <w:tc>
          <w:tcPr/>
          <w:p>
            <w:pPr>
              <w:pStyle w:val="Compact"/>
            </w:pPr>
            <w:r>
              <w:t xml:space="preserve">Flotte VTC</w:t>
            </w:r>
          </w:p>
        </w:tc>
        <w:tc>
          <w:tcPr/>
          <w:p>
            <w:pPr>
              <w:pStyle w:val="Compact"/>
            </w:pPr>
            <w:r>
              <w:t xml:space="preserve">Abonnement Pro/Pro +</w:t>
            </w:r>
          </w:p>
        </w:tc>
        <w:tc>
          <w:tcPr/>
          <w:p>
            <w:pPr>
              <w:pStyle w:val="Compact"/>
            </w:pPr>
            <w:r>
              <w:t xml:space="preserve">Commission sur pièces hors-stock</w:t>
            </w:r>
          </w:p>
        </w:tc>
        <w:tc>
          <w:tcPr/>
          <w:p>
            <w:pPr>
              <w:pStyle w:val="Compact"/>
            </w:pPr>
            <w:r>
              <w:t xml:space="preserve">Frais de mise en service &gt; 1 mois d’abo</w:t>
            </w:r>
          </w:p>
        </w:tc>
      </w:tr>
      <w:tr>
        <w:tc>
          <w:tcPr/>
          <w:p>
            <w:pPr>
              <w:pStyle w:val="Compact"/>
            </w:pPr>
            <w:r>
              <w:t xml:space="preserve">BTP / corporate</w:t>
            </w:r>
          </w:p>
        </w:tc>
        <w:tc>
          <w:tcPr/>
          <w:p>
            <w:pPr>
              <w:pStyle w:val="Compact"/>
            </w:pPr>
            <w:r>
              <w:t xml:space="preserve">Abonnement Pro +</w:t>
            </w:r>
          </w:p>
        </w:tc>
        <w:tc>
          <w:tcPr/>
          <w:p>
            <w:pPr>
              <w:pStyle w:val="Compact"/>
            </w:pPr>
            <w:r>
              <w:t xml:space="preserve">FNE-CI + data + prestations</w:t>
            </w:r>
          </w:p>
        </w:tc>
        <w:tc>
          <w:tcPr/>
          <w:p>
            <w:pPr>
              <w:pStyle w:val="Compact"/>
            </w:pPr>
            <w:r>
              <w:t xml:space="preserve">Rien gratuitement de façon permanente</w:t>
            </w:r>
          </w:p>
        </w:tc>
      </w:tr>
      <w:tr>
        <w:tc>
          <w:tcPr/>
          <w:p>
            <w:pPr>
              <w:pStyle w:val="Compact"/>
            </w:pPr>
            <w:r>
              <w:t xml:space="preserve">Vendeur Adjamé</w:t>
            </w:r>
          </w:p>
        </w:tc>
        <w:tc>
          <w:tcPr/>
          <w:p>
            <w:pPr>
              <w:pStyle w:val="Compact"/>
            </w:pPr>
            <w:r>
              <w:t xml:space="preserve">Commission (prélevée au release)</w:t>
            </w:r>
          </w:p>
        </w:tc>
        <w:tc>
          <w:tcPr/>
          <w:p>
            <w:pPr>
              <w:pStyle w:val="Compact"/>
            </w:pPr>
            <w:r>
              <w:t xml:space="preserve">Mise en avant catalogue (plus tard)</w:t>
            </w:r>
          </w:p>
        </w:tc>
        <w:tc>
          <w:tcPr/>
          <w:p>
            <w:pPr>
              <w:pStyle w:val="Compact"/>
            </w:pPr>
            <w:r>
              <w:t xml:space="preserve">Abonnement vendeur tant qu’on construit l’offre</w:t>
            </w:r>
          </w:p>
        </w:tc>
      </w:tr>
    </w:tbl>
    <w:bookmarkEnd w:id="29"/>
    <w:bookmarkStart w:id="30" w:name="X01f5bf59990b97e6dea2538c4ffafc91d33ace0"/>
    <w:p>
      <w:pPr>
        <w:pStyle w:val="Heading3"/>
      </w:pPr>
      <w:r>
        <w:t xml:space="preserve">3.3 Déplacer le centre de gravité (la thèse financière du CRO)</w:t>
      </w:r>
    </w:p>
    <w:p>
      <w:pPr>
        <w:pStyle w:val="SourceCode"/>
      </w:pPr>
      <w:r>
        <w:rPr>
          <w:rStyle w:val="VerbatimChar"/>
        </w:rPr>
        <w:t xml:space="preserve">An 1 :  transactionnel 60% | récurrent 30% | service 10%</w:t>
      </w:r>
      <w:r>
        <w:br/>
      </w:r>
      <w:r>
        <w:rPr>
          <w:rStyle w:val="VerbatimChar"/>
        </w:rPr>
        <w:t xml:space="preserve">An 2 :  transactionnel 50% | récurrent 42% | service 8%</w:t>
      </w:r>
      <w:r>
        <w:br/>
      </w:r>
      <w:r>
        <w:rPr>
          <w:rStyle w:val="VerbatimChar"/>
        </w:rPr>
        <w:t xml:space="preserve">An 3 :  transactionnel 40% | récurrent 50% | service 10%</w:t>
      </w:r>
    </w:p>
    <w:p>
      <w:pPr>
        <w:pStyle w:val="FirstParagraph"/>
      </w:pPr>
      <w:r>
        <w:t xml:space="preserve">Chaque trimestre, la part de récurrent doit monter. C’est ce qui transforme un GMV joli mais volatil en une entreprise valorisable sur un multiple d’ARR.</w:t>
      </w:r>
      <w:r>
        <w:t xml:space="preserve"> </w:t>
      </w:r>
      <w:r>
        <w:rPr>
          <w:b/>
          <w:bCs/>
        </w:rPr>
        <w:t xml:space="preserve">Le CRO est jugé sur cette transition autant que sur le chiffre absolu.</w:t>
      </w:r>
    </w:p>
    <w:p>
      <w:r>
        <w:pict>
          <v:rect style="width:0;height:1.5pt" o:hralign="center" o:hrstd="t" o:hr="t"/>
        </w:pict>
      </w:r>
    </w:p>
    <w:bookmarkEnd w:id="30"/>
    <w:bookmarkEnd w:id="31"/>
    <w:bookmarkStart w:id="37" w:name="pricing-le-laboratoire"/>
    <w:p>
      <w:pPr>
        <w:pStyle w:val="Heading2"/>
      </w:pPr>
      <w:r>
        <w:t xml:space="preserve">4. Pricing — le laboratoire</w:t>
      </w:r>
    </w:p>
    <w:bookmarkStart w:id="32" w:name="architecture-de-prix-actuelle-référence"/>
    <w:p>
      <w:pPr>
        <w:pStyle w:val="Heading3"/>
      </w:pPr>
      <w:r>
        <w:t xml:space="preserve">4.1 Architecture de prix actuelle (référence)</w:t>
      </w:r>
    </w:p>
    <w:p>
      <w:pPr>
        <w:pStyle w:val="Compact"/>
        <w:numPr>
          <w:ilvl w:val="0"/>
          <w:numId w:val="1005"/>
        </w:numPr>
      </w:pPr>
      <w:r>
        <w:rPr>
          <w:b/>
          <w:bCs/>
        </w:rPr>
        <w:t xml:space="preserve">Commission marketplace</w:t>
      </w:r>
      <w:r>
        <w:t xml:space="preserve"> </w:t>
      </w:r>
      <w:r>
        <w:t xml:space="preserve">: 5 à 10% côté vendeur observés sur le terrain, prélevés sur l’encaissement à la remise.</w:t>
      </w:r>
      <w:r>
        <w:t xml:space="preserve"> </w:t>
      </w:r>
      <w:r>
        <w:rPr>
          <w:b/>
          <w:bCs/>
        </w:rPr>
        <w:t xml:space="preserve">Le vendeur fixe lui-même sa commission, pièce par pièce, et il n’y a plus aucun plancher</w:t>
      </w:r>
      <w:r>
        <w:t xml:space="preserve"> </w:t>
      </w:r>
      <w:r>
        <w:t xml:space="preserve">(0 est accepté) — règle load-bearing : on observe ce que les vendeurs acceptent, on ne leur suggère jamais de taux, ni en UI, ni en visite. Le 5–10% est une observation interne, pas un barème à citer.</w:t>
      </w:r>
    </w:p>
    <w:p>
      <w:pPr>
        <w:pStyle w:val="Compact"/>
        <w:numPr>
          <w:ilvl w:val="0"/>
          <w:numId w:val="1005"/>
        </w:numPr>
      </w:pPr>
      <w:r>
        <w:rPr>
          <w:b/>
          <w:bCs/>
        </w:rPr>
        <w:t xml:space="preserve">Flotte Pro</w:t>
      </w:r>
      <w:r>
        <w:t xml:space="preserve"> </w:t>
      </w:r>
      <w:r>
        <w:t xml:space="preserve">: 5 000 F / véhicule / mois.</w:t>
      </w:r>
    </w:p>
    <w:p>
      <w:pPr>
        <w:pStyle w:val="Compact"/>
        <w:numPr>
          <w:ilvl w:val="0"/>
          <w:numId w:val="1005"/>
        </w:numPr>
      </w:pPr>
      <w:r>
        <w:rPr>
          <w:b/>
          <w:bCs/>
        </w:rPr>
        <w:t xml:space="preserve">Flotte Pro +</w:t>
      </w:r>
      <w:r>
        <w:t xml:space="preserve"> </w:t>
      </w:r>
      <w:r>
        <w:t xml:space="preserve">: 10 000 F / véhicule / mois (express prioritaire, urgence, support dédié).</w:t>
      </w:r>
    </w:p>
    <w:p>
      <w:pPr>
        <w:pStyle w:val="Compact"/>
        <w:numPr>
          <w:ilvl w:val="0"/>
          <w:numId w:val="1005"/>
        </w:numPr>
      </w:pPr>
      <w:r>
        <w:rPr>
          <w:b/>
          <w:bCs/>
        </w:rPr>
        <w:t xml:space="preserve">Pricing grand compte</w:t>
      </w:r>
      <w:r>
        <w:t xml:space="preserve"> </w:t>
      </w:r>
      <w:r>
        <w:t xml:space="preserve">: dégressif par volume (voir</w:t>
      </w:r>
      <w:r>
        <w:t xml:space="preserve"> </w:t>
      </w:r>
      <w:r>
        <w:rPr>
          <w:rStyle w:val="VerbatimChar"/>
        </w:rPr>
        <w:t xml:space="preserve">pricing-flotte-2026-05-27.md</w:t>
      </w:r>
      <w:r>
        <w:t xml:space="preserve">,</w:t>
      </w:r>
      <w:r>
        <w:t xml:space="preserve"> </w:t>
      </w:r>
      <w:r>
        <w:rPr>
          <w:rStyle w:val="VerbatimChar"/>
        </w:rPr>
        <w:t xml:space="preserve">offre-vtc-6000-vehicules-2026-05.md</w:t>
      </w:r>
      <w:r>
        <w:t xml:space="preserve">,</w:t>
      </w:r>
      <w:r>
        <w:t xml:space="preserve"> </w:t>
      </w:r>
      <w:r>
        <w:rPr>
          <w:rStyle w:val="VerbatimChar"/>
        </w:rPr>
        <w:t xml:space="preserve">offre-btp-800-vehicules-2026-05.md</w:t>
      </w:r>
      <w:r>
        <w:t xml:space="preserve">).</w:t>
      </w:r>
    </w:p>
    <w:bookmarkEnd w:id="32"/>
    <w:bookmarkStart w:id="33" w:name="X0710d20fe39acf55c11da1145d1d628e4005d48"/>
    <w:p>
      <w:pPr>
        <w:pStyle w:val="Heading3"/>
      </w:pPr>
      <w:r>
        <w:t xml:space="preserve">4.1bis La donnée prix concurrent (nouveau, 2026-05-29)</w:t>
      </w:r>
    </w:p>
    <w:p>
      <w:pPr>
        <w:pStyle w:val="FirstParagraph"/>
      </w:pPr>
      <w:r>
        <w:t xml:space="preserve">Depuis le 2026-05-29, le catalogue intègre</w:t>
      </w:r>
      <w:r>
        <w:t xml:space="preserve"> </w:t>
      </w:r>
      <w:r>
        <w:rPr>
          <w:b/>
          <w:bCs/>
        </w:rPr>
        <w:t xml:space="preserve">3 780 références prix de global-auto.online</w:t>
      </w:r>
      <w:r>
        <w:t xml:space="preserve"> </w:t>
      </w:r>
      <w:r>
        <w:t xml:space="preserve">(mises à jour via le scraper ingest, vendor « Global Auto », visibles publiquement). C’est notre</w:t>
      </w:r>
      <w:r>
        <w:t xml:space="preserve"> </w:t>
      </w:r>
      <w:r>
        <w:rPr>
          <w:b/>
          <w:bCs/>
        </w:rPr>
        <w:t xml:space="preserve">premier jeu de données prix concurrent live et structuré</w:t>
      </w:r>
      <w:r>
        <w:t xml:space="preserve"> </w:t>
      </w:r>
      <w:r>
        <w:t xml:space="preserve">— exploite-le :</w:t>
      </w:r>
    </w:p>
    <w:p>
      <w:pPr>
        <w:pStyle w:val="Compact"/>
        <w:numPr>
          <w:ilvl w:val="0"/>
          <w:numId w:val="1006"/>
        </w:numPr>
      </w:pPr>
      <w:r>
        <w:rPr>
          <w:b/>
          <w:bCs/>
        </w:rPr>
        <w:t xml:space="preserve">Benchmark de take rate</w:t>
      </w:r>
      <w:r>
        <w:t xml:space="preserve"> </w:t>
      </w:r>
      <w:r>
        <w:t xml:space="preserve">: sur les références où on a un prix concurrent en face, mesurer notre prix vendeur effectif vs le leur → ajuster la commission par catégorie sans casser la compétitivité.</w:t>
      </w:r>
    </w:p>
    <w:p>
      <w:pPr>
        <w:pStyle w:val="Compact"/>
        <w:numPr>
          <w:ilvl w:val="0"/>
          <w:numId w:val="1006"/>
        </w:numPr>
      </w:pPr>
      <w:r>
        <w:rPr>
          <w:b/>
          <w:bCs/>
        </w:rPr>
        <w:t xml:space="preserve">Détection de leakage prix</w:t>
      </w:r>
      <w:r>
        <w:t xml:space="preserve"> </w:t>
      </w:r>
      <w:r>
        <w:t xml:space="preserve">: alerter quand une de nos lignes est significativement au-dessus du concurrent sur la même pièce (risque de désintermédiation, cf. §6.4).</w:t>
      </w:r>
    </w:p>
    <w:p>
      <w:pPr>
        <w:pStyle w:val="Compact"/>
        <w:numPr>
          <w:ilvl w:val="0"/>
          <w:numId w:val="1006"/>
        </w:numPr>
      </w:pPr>
      <w:r>
        <w:rPr>
          <w:b/>
          <w:bCs/>
        </w:rPr>
        <w:t xml:space="preserve">Argument de vente flotte</w:t>
      </w:r>
      <w:r>
        <w:t xml:space="preserve"> </w:t>
      </w:r>
      <w:r>
        <w:t xml:space="preserve">: « voici l’écart de prix moyen vs le marché en ligne sur votre panier réel ».</w:t>
      </w:r>
    </w:p>
    <w:p>
      <w:pPr>
        <w:pStyle w:val="Compact"/>
        <w:numPr>
          <w:ilvl w:val="0"/>
          <w:numId w:val="1006"/>
        </w:numPr>
      </w:pPr>
      <w:r>
        <w:t xml:space="preserve">Refresh périodique du scraper = la donnée reste fraîche (chantier ingest §3 CTO Bible).</w:t>
      </w:r>
    </w:p>
    <w:bookmarkEnd w:id="33"/>
    <w:bookmarkStart w:id="34" w:name="les-sept-leviers-de-pricing-à-tester"/>
    <w:p>
      <w:pPr>
        <w:pStyle w:val="Heading3"/>
      </w:pPr>
      <w:r>
        <w:t xml:space="preserve">4.2 Les sept leviers de pricing à tester</w:t>
      </w:r>
    </w:p>
    <w:p>
      <w:pPr>
        <w:pStyle w:val="Compact"/>
        <w:numPr>
          <w:ilvl w:val="0"/>
          <w:numId w:val="1007"/>
        </w:numPr>
      </w:pPr>
      <w:r>
        <w:rPr>
          <w:b/>
          <w:bCs/>
        </w:rPr>
        <w:t xml:space="preserve">Take rate variable par catégorie de pièce</w:t>
      </w:r>
      <w:r>
        <w:t xml:space="preserve"> </w:t>
      </w:r>
      <w:r>
        <w:t xml:space="preserve">: marge plus élevée sur ré-usiné/OEM (valeur + garantie) que sur l’occasion importée bas prix. Teste 6% / 8% / 10% par segment.</w:t>
      </w:r>
    </w:p>
    <w:p>
      <w:pPr>
        <w:pStyle w:val="Compact"/>
        <w:numPr>
          <w:ilvl w:val="0"/>
          <w:numId w:val="1007"/>
        </w:numPr>
      </w:pPr>
      <w:r>
        <w:rPr>
          <w:b/>
          <w:bCs/>
        </w:rPr>
        <w:t xml:space="preserve">Take rate variable par condition</w:t>
      </w:r>
      <w:r>
        <w:t xml:space="preserve"> </w:t>
      </w:r>
      <w:r>
        <w:t xml:space="preserve">: une pièce neuve/OEM porte plus souvent une garantie vendeur longue, et se valorise davantage. Le chip condition (DESIGN.md) est aussi un signal de pricing.</w:t>
      </w:r>
    </w:p>
    <w:p>
      <w:pPr>
        <w:pStyle w:val="Compact"/>
        <w:numPr>
          <w:ilvl w:val="0"/>
          <w:numId w:val="1007"/>
        </w:numPr>
      </w:pPr>
      <w:r>
        <w:rPr>
          <w:b/>
          <w:bCs/>
        </w:rPr>
        <w:t xml:space="preserve">Dégressivité abonnement par paliers de flotte</w:t>
      </w:r>
      <w:r>
        <w:t xml:space="preserve"> </w:t>
      </w:r>
      <w:r>
        <w:t xml:space="preserve">: 1–9 véhicules plein tarif, 10–49 / 50–199 / 200+ dégressifs. Optimiser le point de bascule pour maximiser le revenu total, pas le prix unitaire.</w:t>
      </w:r>
    </w:p>
    <w:p>
      <w:pPr>
        <w:pStyle w:val="Compact"/>
        <w:numPr>
          <w:ilvl w:val="0"/>
          <w:numId w:val="1007"/>
        </w:numPr>
      </w:pPr>
      <w:r>
        <w:rPr>
          <w:b/>
          <w:bCs/>
        </w:rPr>
        <w:t xml:space="preserve">Engagement vs flexibilité</w:t>
      </w:r>
      <w:r>
        <w:t xml:space="preserve"> </w:t>
      </w:r>
      <w:r>
        <w:t xml:space="preserve">: remise pour engagement 12 mois (−15%) vs mensuel sans engagement (plein tarif). Vendre la prévisibilité.</w:t>
      </w:r>
    </w:p>
    <w:p>
      <w:pPr>
        <w:pStyle w:val="Compact"/>
        <w:numPr>
          <w:ilvl w:val="0"/>
          <w:numId w:val="1007"/>
        </w:numPr>
      </w:pPr>
      <w:r>
        <w:rPr>
          <w:b/>
          <w:bCs/>
        </w:rPr>
        <w:t xml:space="preserve">Bundling Pro + FNE-CI</w:t>
      </w:r>
      <w:r>
        <w:t xml:space="preserve"> </w:t>
      </w:r>
      <w:r>
        <w:t xml:space="preserve">: packager la conformité dans le Pro + plutôt que la facturer à part → augmente l’ARPU et la stickiness.</w:t>
      </w:r>
    </w:p>
    <w:p>
      <w:pPr>
        <w:pStyle w:val="Compact"/>
        <w:numPr>
          <w:ilvl w:val="0"/>
          <w:numId w:val="1007"/>
        </w:numPr>
      </w:pPr>
      <w:r>
        <w:rPr>
          <w:b/>
          <w:bCs/>
        </w:rPr>
        <w:t xml:space="preserve">Frais d’urgence à l’acte</w:t>
      </w:r>
      <w:r>
        <w:t xml:space="preserve"> </w:t>
      </w:r>
      <w:r>
        <w:t xml:space="preserve">: pour les non-abonnés, livraison express prioritaire facturée à l’unité (porte d’entrée vers Pro +).</w:t>
      </w:r>
    </w:p>
    <w:p>
      <w:pPr>
        <w:pStyle w:val="Compact"/>
        <w:numPr>
          <w:ilvl w:val="0"/>
          <w:numId w:val="1007"/>
        </w:numPr>
      </w:pPr>
      <w:r>
        <w:rPr>
          <w:b/>
          <w:bCs/>
        </w:rPr>
        <w:t xml:space="preserve">Floor de panier</w:t>
      </w:r>
      <w:r>
        <w:t xml:space="preserve"> </w:t>
      </w:r>
      <w:r>
        <w:t xml:space="preserve">: commission minimale en valeur absolue sur les petits paniers (sinon les pièces à 3 000 F coûtent plus cher à servir qu’elles ne rapportent).</w:t>
      </w:r>
    </w:p>
    <w:bookmarkEnd w:id="34"/>
    <w:bookmarkStart w:id="35" w:name="Xc11724698e440daffd34e99fd68885795ad556e"/>
    <w:p>
      <w:pPr>
        <w:pStyle w:val="Heading3"/>
      </w:pPr>
      <w:r>
        <w:t xml:space="preserve">4.3 Gouvernance des remises (discount governance)</w:t>
      </w:r>
    </w:p>
    <w:p>
      <w:pPr>
        <w:pStyle w:val="FirstParagraph"/>
      </w:pPr>
      <w:r>
        <w:t xml:space="preserve">La remise est le levier le plus dilutif et le plus mal gouverné de toute organisation de revenu. Règles non négociables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 de remise</w:t>
            </w:r>
          </w:p>
        </w:tc>
        <w:tc>
          <w:tcPr/>
          <w:p>
            <w:pPr>
              <w:pStyle w:val="Compact"/>
            </w:pPr>
            <w:r>
              <w:t xml:space="preserve">Qui approuve</w:t>
            </w:r>
          </w:p>
        </w:tc>
        <w:tc>
          <w:tcPr/>
          <w:p>
            <w:pPr>
              <w:pStyle w:val="Compact"/>
            </w:pPr>
            <w:r>
              <w:t xml:space="preserve">Contrepartie obligatoire</w:t>
            </w:r>
          </w:p>
        </w:tc>
      </w:tr>
      <w:tr>
        <w:tc>
          <w:tcPr/>
          <w:p>
            <w:pPr>
              <w:pStyle w:val="Compact"/>
            </w:pPr>
            <w:r>
              <w:t xml:space="preserve">0–10%</w:t>
            </w:r>
          </w:p>
        </w:tc>
        <w:tc>
          <w:tcPr/>
          <w:p>
            <w:pPr>
              <w:pStyle w:val="Compact"/>
            </w:pPr>
            <w:r>
              <w:t xml:space="preserve">AE seul</w:t>
            </w:r>
          </w:p>
        </w:tc>
        <w:tc>
          <w:tcPr/>
          <w:p>
            <w:pPr>
              <w:pStyle w:val="Compact"/>
            </w:pPr>
            <w:r>
              <w:t xml:space="preserve">Engagement 12 mois</w:t>
            </w:r>
          </w:p>
        </w:tc>
      </w:tr>
      <w:tr>
        <w:tc>
          <w:tcPr/>
          <w:p>
            <w:pPr>
              <w:pStyle w:val="Compact"/>
            </w:pPr>
            <w:r>
              <w:t xml:space="preserve">11–20%</w:t>
            </w:r>
          </w:p>
        </w:tc>
        <w:tc>
          <w:tcPr/>
          <w:p>
            <w:pPr>
              <w:pStyle w:val="Compact"/>
            </w:pPr>
            <w:r>
              <w:t xml:space="preserve">Head of Sales</w:t>
            </w:r>
          </w:p>
        </w:tc>
        <w:tc>
          <w:tcPr/>
          <w:p>
            <w:pPr>
              <w:pStyle w:val="Compact"/>
            </w:pPr>
            <w:r>
              <w:t xml:space="preserve">Engagement 12 mois + cas client publiable</w:t>
            </w:r>
          </w:p>
        </w:tc>
      </w:tr>
      <w:tr>
        <w:tc>
          <w:tcPr/>
          <w:p>
            <w:pPr>
              <w:pStyle w:val="Compact"/>
            </w:pPr>
            <w:r>
              <w:t xml:space="preserve">21–30%</w:t>
            </w:r>
          </w:p>
        </w:tc>
        <w:tc>
          <w:tcPr/>
          <w:p>
            <w:pPr>
              <w:pStyle w:val="Compact"/>
            </w:pPr>
            <w:r>
              <w:t xml:space="preserve">CRO</w:t>
            </w:r>
          </w:p>
        </w:tc>
        <w:tc>
          <w:tcPr/>
          <w:p>
            <w:pPr>
              <w:pStyle w:val="Compact"/>
            </w:pPr>
            <w:r>
              <w:t xml:space="preserve">Engagement 24 mois + volume garanti</w:t>
            </w:r>
          </w:p>
        </w:tc>
      </w:tr>
      <w:tr>
        <w:tc>
          <w:tcPr/>
          <w:p>
            <w:pPr>
              <w:pStyle w:val="Compact"/>
            </w:pPr>
            <w:r>
              <w:t xml:space="preserve">&gt; 30%</w:t>
            </w:r>
          </w:p>
        </w:tc>
        <w:tc>
          <w:tcPr/>
          <w:p>
            <w:pPr>
              <w:pStyle w:val="Compact"/>
            </w:pPr>
            <w:r>
              <w:t xml:space="preserve">CRO + CEO</w:t>
            </w:r>
          </w:p>
        </w:tc>
        <w:tc>
          <w:tcPr/>
          <w:p>
            <w:pPr>
              <w:pStyle w:val="Compact"/>
            </w:pPr>
            <w:r>
              <w:t xml:space="preserve">Décision stratégique documentée (logo, référence marché)</w:t>
            </w:r>
          </w:p>
        </w:tc>
      </w:tr>
    </w:tbl>
    <w:p>
      <w:pPr>
        <w:pStyle w:val="Compact"/>
        <w:numPr>
          <w:ilvl w:val="0"/>
          <w:numId w:val="1008"/>
        </w:numPr>
      </w:pPr>
      <w:r>
        <w:rPr>
          <w:b/>
          <w:bCs/>
        </w:rPr>
        <w:t xml:space="preserve">Toute remise a une contrepartie.</w:t>
      </w:r>
      <w:r>
        <w:t xml:space="preserve"> </w:t>
      </w:r>
      <w:r>
        <w:t xml:space="preserve">Jamais de remise « pour signer ». Une remise sans contrepartie est une fuite de revenu permanente.</w:t>
      </w:r>
    </w:p>
    <w:p>
      <w:pPr>
        <w:pStyle w:val="Compact"/>
        <w:numPr>
          <w:ilvl w:val="0"/>
          <w:numId w:val="1008"/>
        </w:numPr>
      </w:pPr>
      <w:r>
        <w:rPr>
          <w:b/>
          <w:bCs/>
        </w:rPr>
        <w:t xml:space="preserve">Les remises pilote sont temporaires et datées.</w:t>
      </w:r>
      <w:r>
        <w:t xml:space="preserve"> </w:t>
      </w:r>
      <w:r>
        <w:t xml:space="preserve">Un pilote avec tarif préférentiel daté a une date de fin écrite dans le contrat et une bascule automatique au tarif plein. Le CRO traque la conversion pilote→payant comme un KPI dédié.</w:t>
      </w:r>
    </w:p>
    <w:p>
      <w:pPr>
        <w:pStyle w:val="Compact"/>
        <w:numPr>
          <w:ilvl w:val="0"/>
          <w:numId w:val="1008"/>
        </w:numPr>
      </w:pPr>
      <w:r>
        <w:rPr>
          <w:b/>
          <w:bCs/>
        </w:rPr>
        <w:t xml:space="preserve">Pas de remise sur la commission marketplace en early-stage.</w:t>
      </w:r>
      <w:r>
        <w:t xml:space="preserve"> </w:t>
      </w:r>
      <w:r>
        <w:t xml:space="preserve">La take rate est l’actif le plus dur à remonter une fois baissé.</w:t>
      </w:r>
    </w:p>
    <w:bookmarkEnd w:id="35"/>
    <w:bookmarkStart w:id="36" w:name="méthode-de-test-prix"/>
    <w:p>
      <w:pPr>
        <w:pStyle w:val="Heading3"/>
      </w:pPr>
      <w:r>
        <w:t xml:space="preserve">4.4 Méthode de test prix</w:t>
      </w:r>
    </w:p>
    <w:p>
      <w:pPr>
        <w:pStyle w:val="Compact"/>
        <w:numPr>
          <w:ilvl w:val="0"/>
          <w:numId w:val="1009"/>
        </w:numPr>
      </w:pPr>
      <w:r>
        <w:rPr>
          <w:b/>
          <w:bCs/>
        </w:rPr>
        <w:t xml:space="preserve">Jamais de big-bang.</w:t>
      </w:r>
      <w:r>
        <w:t xml:space="preserve"> </w:t>
      </w:r>
      <w:r>
        <w:t xml:space="preserve">Tout changement de prix se teste sur une cohorte (nouvelle ville, nouveau segment, nouveaux clients) avant généralisation.</w:t>
      </w:r>
    </w:p>
    <w:p>
      <w:pPr>
        <w:pStyle w:val="Compact"/>
        <w:numPr>
          <w:ilvl w:val="0"/>
          <w:numId w:val="1009"/>
        </w:numPr>
      </w:pPr>
      <w:r>
        <w:rPr>
          <w:b/>
          <w:bCs/>
        </w:rPr>
        <w:t xml:space="preserve">Grandfathering</w:t>
      </w:r>
      <w:r>
        <w:t xml:space="preserve"> </w:t>
      </w:r>
      <w:r>
        <w:t xml:space="preserve">: les clients existants gardent leur prix sur la durée de l’engagement en cours, montent au renouvellement. On ne casse pas la confiance pour gratter 5%.</w:t>
      </w:r>
    </w:p>
    <w:p>
      <w:pPr>
        <w:pStyle w:val="Compact"/>
        <w:numPr>
          <w:ilvl w:val="0"/>
          <w:numId w:val="1009"/>
        </w:numPr>
      </w:pPr>
      <w:r>
        <w:rPr>
          <w:b/>
          <w:bCs/>
        </w:rPr>
        <w:t xml:space="preserve">Mesure</w:t>
      </w:r>
      <w:r>
        <w:t xml:space="preserve"> </w:t>
      </w:r>
      <w:r>
        <w:t xml:space="preserve">: pour chaque test, on mesure la take rate effective ET le taux de conversion ET le churn à 90 jours. Un prix qui monte la marge mais tue la conversion est un mauvais prix.</w:t>
      </w:r>
    </w:p>
    <w:p>
      <w:r>
        <w:pict>
          <v:rect style="width:0;height:1.5pt" o:hralign="center" o:hrstd="t" o:hr="t"/>
        </w:pict>
      </w:r>
    </w:p>
    <w:bookmarkEnd w:id="36"/>
    <w:bookmarkEnd w:id="37"/>
    <w:bookmarkStart w:id="42" w:name="Xca34cdfdf5f19a57a618f6dad5cafe3ad0c1abd"/>
    <w:p>
      <w:pPr>
        <w:pStyle w:val="Heading2"/>
      </w:pPr>
      <w:r>
        <w:t xml:space="preserve">5. La machine de vente — playbooks par segment</w:t>
      </w:r>
    </w:p>
    <w:bookmarkStart w:id="38" w:name="X8672724739fdd0ba871c3b0ab698d02590af9ad"/>
    <w:p>
      <w:pPr>
        <w:pStyle w:val="Heading3"/>
      </w:pPr>
      <w:r>
        <w:t xml:space="preserve">5.1 Vente flotte VTC indépendante (le cœur du récurrent)</w:t>
      </w:r>
    </w:p>
    <w:p>
      <w:pPr>
        <w:pStyle w:val="FirstParagraph"/>
      </w:pPr>
      <w:r>
        <w:rPr>
          <w:b/>
          <w:bCs/>
        </w:rPr>
        <w:t xml:space="preserve">ICP prioritaire</w:t>
      </w:r>
      <w:r>
        <w:t xml:space="preserve"> </w:t>
      </w:r>
      <w:r>
        <w:t xml:space="preserve">(mois 3–9, aligné CEO Bible) : sociétés VTC 20 à 200 véhicules, gérant joignable, douleur cash-flow/immobilisation forte.</w:t>
      </w:r>
    </w:p>
    <w:p>
      <w:pPr>
        <w:pStyle w:val="BodyText"/>
      </w:pPr>
      <w:r>
        <w:rPr>
          <w:b/>
          <w:bCs/>
        </w:rPr>
        <w:t xml:space="preserve">Cycle de vente cible</w:t>
      </w:r>
      <w:r>
        <w:t xml:space="preserve"> </w:t>
      </w:r>
      <w:r>
        <w:t xml:space="preserve">: 21 jours signature → déploiement initial de 30 jours → déploiement 60 jours.</w:t>
      </w:r>
    </w:p>
    <w:p>
      <w:pPr>
        <w:pStyle w:val="BodyText"/>
      </w:pPr>
      <w:r>
        <w:rPr>
          <w:b/>
          <w:bCs/>
        </w:rPr>
        <w:t xml:space="preserve">Les 5 étapes du playbook</w:t>
      </w:r>
      <w:r>
        <w:t xml:space="preserve"> </w:t>
      </w:r>
      <w:r>
        <w:t xml:space="preserve">:</w:t>
      </w:r>
      <w:r>
        <w:t xml:space="preserve"> </w:t>
      </w:r>
      <w:r>
        <w:t xml:space="preserve">1.</w:t>
      </w:r>
      <w:r>
        <w:t xml:space="preserve"> </w:t>
      </w:r>
      <w:r>
        <w:rPr>
          <w:b/>
          <w:bCs/>
        </w:rPr>
        <w:t xml:space="preserve">Qualification (BANT adapté)</w:t>
      </w:r>
      <w:r>
        <w:t xml:space="preserve"> </w:t>
      </w:r>
      <w:r>
        <w:t xml:space="preserve">: Budget (paie déjà des pièces, oui), Authority (le gérant décide), Need (combien de véhicules immobilisés/mois ?), Timeline (douleur actuelle ?). Disqualifier vite les &lt; 10 véhicules sans douleur.</w:t>
      </w:r>
      <w:r>
        <w:t xml:space="preserve"> </w:t>
      </w:r>
      <w:r>
        <w:t xml:space="preserve">2.</w:t>
      </w:r>
      <w:r>
        <w:t xml:space="preserve"> </w:t>
      </w:r>
      <w:r>
        <w:rPr>
          <w:b/>
          <w:bCs/>
        </w:rPr>
        <w:t xml:space="preserve">Démo douleur</w:t>
      </w:r>
      <w:r>
        <w:t xml:space="preserve"> </w:t>
      </w:r>
      <w:r>
        <w:t xml:space="preserve">: ne pas démontrer des features. Montrer</w:t>
      </w:r>
      <w:r>
        <w:t xml:space="preserve"> </w:t>
      </w:r>
      <w:r>
        <w:rPr>
          <w:b/>
          <w:bCs/>
        </w:rPr>
        <w:t xml:space="preserve">leur</w:t>
      </w:r>
      <w:r>
        <w:t xml:space="preserve"> </w:t>
      </w:r>
      <w:r>
        <w:t xml:space="preserve">coût pièces actuel non piloté vs le dashboard Pièces. « Tu sais combien tu as dépensé en plaquettes ce trimestre ? Non. Nous oui. »</w:t>
      </w:r>
      <w:r>
        <w:t xml:space="preserve"> </w:t>
      </w:r>
      <w:r>
        <w:t xml:space="preserve">3.</w:t>
      </w:r>
      <w:r>
        <w:t xml:space="preserve"> </w:t>
      </w:r>
      <w:r>
        <w:rPr>
          <w:b/>
          <w:bCs/>
        </w:rPr>
        <w:t xml:space="preserve">Déploiement initial instrumenté</w:t>
      </w:r>
      <w:r>
        <w:t xml:space="preserve"> </w:t>
      </w:r>
      <w:r>
        <w:t xml:space="preserve">: 30 jours, 100% des véhicules ou un sous-parc représentatif. Objectif : produire</w:t>
      </w:r>
      <w:r>
        <w:t xml:space="preserve"> </w:t>
      </w:r>
      <w:r>
        <w:rPr>
          <w:b/>
          <w:bCs/>
        </w:rPr>
        <w:t xml:space="preserve">la preuve chiffrée</w:t>
      </w:r>
      <w:r>
        <w:t xml:space="preserve"> </w:t>
      </w:r>
      <w:r>
        <w:t xml:space="preserve">(−18 à −25% budget pièces, X jours d’immobilisation évités).</w:t>
      </w:r>
      <w:r>
        <w:t xml:space="preserve"> </w:t>
      </w:r>
      <w:r>
        <w:t xml:space="preserve">4.</w:t>
      </w:r>
      <w:r>
        <w:t xml:space="preserve"> </w:t>
      </w:r>
      <w:r>
        <w:rPr>
          <w:b/>
          <w:bCs/>
        </w:rPr>
        <w:t xml:space="preserve">Business case de conversion</w:t>
      </w:r>
      <w:r>
        <w:t xml:space="preserve"> </w:t>
      </w:r>
      <w:r>
        <w:t xml:space="preserve">: après le premier mois de mesure, présenter le ROI réel mesuré. Le prix de l’abonnement doit être &lt; 1/5 de l’économie démontrée.</w:t>
      </w:r>
      <w:r>
        <w:t xml:space="preserve"> </w:t>
      </w:r>
      <w:r>
        <w:t xml:space="preserve">5.</w:t>
      </w:r>
      <w:r>
        <w:t xml:space="preserve"> </w:t>
      </w:r>
      <w:r>
        <w:rPr>
          <w:b/>
          <w:bCs/>
        </w:rPr>
        <w:t xml:space="preserve">Signature + déploiement</w:t>
      </w:r>
      <w:r>
        <w:t xml:space="preserve"> </w:t>
      </w:r>
      <w:r>
        <w:t xml:space="preserve">: engagement 12 mois, onboarding ops cadré, premier prélèvement à 30 jours de la signature.</w:t>
      </w:r>
    </w:p>
    <w:p>
      <w:pPr>
        <w:pStyle w:val="BodyText"/>
      </w:pPr>
      <w:r>
        <w:rPr>
          <w:b/>
          <w:bCs/>
        </w:rPr>
        <w:t xml:space="preserve">Objection killers</w:t>
      </w:r>
      <w:r>
        <w:t xml:space="preserve"> </w:t>
      </w:r>
      <w:r>
        <w:t xml:space="preserve">:</w:t>
      </w:r>
      <w:r>
        <w:t xml:space="preserve"> </w:t>
      </w:r>
      <w:r>
        <w:t xml:space="preserve">- « C’est cher » → « C’est 5 000 F/mois contre 30 000 à 50 000 F par jour de véhicule immobilisé. Un seul véhicule sauvé par mois, c’est rentabilisé 6 fois. »</w:t>
      </w:r>
      <w:r>
        <w:t xml:space="preserve"> </w:t>
      </w:r>
      <w:r>
        <w:t xml:space="preserve">- « J’ai déjà mon mécanicien » → « On ne remplace pas ton mécanicien, on lui trouve la pièce moins chère et plus vite, et tu vois enfin où part ton argent. »</w:t>
      </w:r>
      <w:r>
        <w:t xml:space="preserve"> </w:t>
      </w:r>
      <w:r>
        <w:t xml:space="preserve">- « Je verrai plus tard » → déploiement initial instrumenté, ROI mesuré, zéro engagement avant la preuve.</w:t>
      </w:r>
    </w:p>
    <w:bookmarkEnd w:id="38"/>
    <w:bookmarkStart w:id="39" w:name="Xc6262be9114773d5ba7a231a2e5a5c11192f32d"/>
    <w:p>
      <w:pPr>
        <w:pStyle w:val="Heading3"/>
      </w:pPr>
      <w:r>
        <w:t xml:space="preserve">5.2 Vente grand compte (VTC plateformes, BTP, corporate)</w:t>
      </w:r>
    </w:p>
    <w:p>
      <w:pPr>
        <w:pStyle w:val="FirstParagraph"/>
      </w:pPr>
      <w:r>
        <w:rPr>
          <w:b/>
          <w:bCs/>
        </w:rPr>
        <w:t xml:space="preserve">Cycle long</w:t>
      </w:r>
      <w:r>
        <w:t xml:space="preserve"> </w:t>
      </w:r>
      <w:r>
        <w:t xml:space="preserve">: 3 à 6 mois. Profil AE senior, plusieurs interlocuteurs (gérant ops + DAF + parfois DG).</w:t>
      </w:r>
    </w:p>
    <w:p>
      <w:pPr>
        <w:pStyle w:val="Compact"/>
        <w:numPr>
          <w:ilvl w:val="0"/>
          <w:numId w:val="1010"/>
        </w:numPr>
      </w:pPr>
      <w:r>
        <w:rPr>
          <w:b/>
          <w:bCs/>
        </w:rPr>
        <w:t xml:space="preserve">Le DAF est ton allié, pas ton obstacle.</w:t>
      </w:r>
      <w:r>
        <w:t xml:space="preserve"> </w:t>
      </w:r>
      <w:r>
        <w:t xml:space="preserve">L’argument FNE-CI / récupération TVA parle directement à lui : « Vos chauffeurs achètent en cash → vous perdez 18% de TVA non récupérable. Avec Pièces, vous la récupérez. » (CEO Bible §5, mouvement 3).</w:t>
      </w:r>
    </w:p>
    <w:p>
      <w:pPr>
        <w:pStyle w:val="Compact"/>
        <w:numPr>
          <w:ilvl w:val="0"/>
          <w:numId w:val="1010"/>
        </w:numPr>
      </w:pPr>
      <w:r>
        <w:rPr>
          <w:b/>
          <w:bCs/>
        </w:rPr>
        <w:t xml:space="preserve">Documents existants</w:t>
      </w:r>
      <w:r>
        <w:t xml:space="preserve"> </w:t>
      </w:r>
      <w:r>
        <w:t xml:space="preserve">:</w:t>
      </w:r>
      <w:r>
        <w:t xml:space="preserve"> </w:t>
      </w:r>
      <w:r>
        <w:rPr>
          <w:rStyle w:val="VerbatimChar"/>
        </w:rPr>
        <w:t xml:space="preserve">brochure-vtc-grand-compte-2026-05</w:t>
      </w:r>
      <w:r>
        <w:t xml:space="preserve">,</w:t>
      </w:r>
      <w:r>
        <w:t xml:space="preserve"> </w:t>
      </w:r>
      <w:r>
        <w:rPr>
          <w:rStyle w:val="VerbatimChar"/>
        </w:rPr>
        <w:t xml:space="preserve">brochure-btp-grand-compte-2026-05</w:t>
      </w:r>
      <w:r>
        <w:t xml:space="preserve">,</w:t>
      </w:r>
      <w:r>
        <w:t xml:space="preserve"> </w:t>
      </w:r>
      <w:r>
        <w:rPr>
          <w:rStyle w:val="VerbatimChar"/>
        </w:rPr>
        <w:t xml:space="preserve">offre-vtc-6000-vehicules-2026-05</w:t>
      </w:r>
      <w:r>
        <w:t xml:space="preserve">,</w:t>
      </w:r>
      <w:r>
        <w:t xml:space="preserve"> </w:t>
      </w:r>
      <w:r>
        <w:rPr>
          <w:rStyle w:val="VerbatimChar"/>
        </w:rPr>
        <w:t xml:space="preserve">offre-btp-800-vehicules-2026-05</w:t>
      </w:r>
      <w:r>
        <w:t xml:space="preserve">. Les utiliser, ne pas réinventer.</w:t>
      </w:r>
    </w:p>
    <w:p>
      <w:pPr>
        <w:pStyle w:val="Compact"/>
        <w:numPr>
          <w:ilvl w:val="0"/>
          <w:numId w:val="1010"/>
        </w:numPr>
      </w:pPr>
      <w:r>
        <w:rPr>
          <w:b/>
          <w:bCs/>
        </w:rPr>
        <w:t xml:space="preserve">Pricing</w:t>
      </w:r>
      <w:r>
        <w:t xml:space="preserve"> </w:t>
      </w:r>
      <w:r>
        <w:t xml:space="preserve">: Pro + par défaut sur BTP (disponibilité critique). Dégressif documenté. Toute dérogation passe la gouvernance remise (§4.3).</w:t>
      </w:r>
    </w:p>
    <w:p>
      <w:pPr>
        <w:pStyle w:val="Compact"/>
        <w:numPr>
          <w:ilvl w:val="0"/>
          <w:numId w:val="1010"/>
        </w:numPr>
      </w:pPr>
      <w:r>
        <w:rPr>
          <w:b/>
          <w:bCs/>
        </w:rPr>
        <w:t xml:space="preserve">Closing</w:t>
      </w:r>
      <w:r>
        <w:t xml:space="preserve"> </w:t>
      </w:r>
      <w:r>
        <w:t xml:space="preserve">: déploiement initial sur un sous-parc (50–100 véhicules), preuve, puis déploiement masse contractualisé par paliers.</w:t>
      </w:r>
    </w:p>
    <w:bookmarkEnd w:id="39"/>
    <w:bookmarkStart w:id="40" w:name="Xbd1517db3540a702866802468d82cd6d33d961a"/>
    <w:p>
      <w:pPr>
        <w:pStyle w:val="Heading3"/>
      </w:pPr>
      <w:r>
        <w:t xml:space="preserve">5.3 Partenariats plateformes VTC (Yango, Heetch, Treepz)</w:t>
      </w:r>
    </w:p>
    <w:p>
      <w:pPr>
        <w:pStyle w:val="FirstParagraph"/>
      </w:pPr>
      <w:r>
        <w:t xml:space="preserve">Canal de volume, pas de marge unitaire. Modèle :</w:t>
      </w:r>
      <w:r>
        <w:t xml:space="preserve"> </w:t>
      </w:r>
      <w:r>
        <w:t xml:space="preserve">- Offre intégrée pour les conducteurs partenaires (API, voir CTO Bible).</w:t>
      </w:r>
      <w:r>
        <w:t xml:space="preserve"> </w:t>
      </w:r>
      <w:r>
        <w:t xml:space="preserve">- Revenue share si nécessaire pour débloquer le volume.</w:t>
      </w:r>
      <w:r>
        <w:t xml:space="preserve"> </w:t>
      </w:r>
      <w:r>
        <w:t xml:space="preserve">-</w:t>
      </w:r>
      <w:r>
        <w:t xml:space="preserve"> </w:t>
      </w:r>
      <w:r>
        <w:rPr>
          <w:b/>
          <w:bCs/>
        </w:rPr>
        <w:t xml:space="preserve">Attention</w:t>
      </w:r>
      <w:r>
        <w:t xml:space="preserve"> </w:t>
      </w:r>
      <w:r>
        <w:t xml:space="preserve">: un deal plateforme mal négocié peut diluer toute la take rate. Plancher de marge non négociable défini avant d’entrer en négociation.</w:t>
      </w:r>
    </w:p>
    <w:bookmarkEnd w:id="40"/>
    <w:bookmarkStart w:id="41" w:name="le-rôle-du-réseau-liaison-dans-le-revenu"/>
    <w:p>
      <w:pPr>
        <w:pStyle w:val="Heading3"/>
      </w:pPr>
      <w:r>
        <w:t xml:space="preserve">5.4 Le rôle du réseau Liaison dans le revenu</w:t>
      </w:r>
    </w:p>
    <w:p>
      <w:pPr>
        <w:pStyle w:val="FirstParagraph"/>
      </w:pPr>
      <w:r>
        <w:t xml:space="preserve">Les Liaisons sourcent l’offre (vendeurs) mais sont aussi un</w:t>
      </w:r>
      <w:r>
        <w:t xml:space="preserve"> </w:t>
      </w:r>
      <w:r>
        <w:rPr>
          <w:b/>
          <w:bCs/>
        </w:rPr>
        <w:t xml:space="preserve">canal de demande</w:t>
      </w:r>
      <w:r>
        <w:t xml:space="preserve"> </w:t>
      </w:r>
      <w:r>
        <w:t xml:space="preserve">: ils recommandent Pièces aux mécaniciens qu’ils croisent. Leur commission (3–5% sur ventes générées) est un</w:t>
      </w:r>
      <w:r>
        <w:t xml:space="preserve"> </w:t>
      </w:r>
      <w:r>
        <w:rPr>
          <w:b/>
          <w:bCs/>
        </w:rPr>
        <w:t xml:space="preserve">coût d’acquisition variable</w:t>
      </w:r>
      <w:r>
        <w:t xml:space="preserve"> </w:t>
      </w:r>
      <w:r>
        <w:t xml:space="preserve">qui doit rester sous le seuil de marge. Le CRO arbitre en continu : commission Liaison vs take rate vs marge nette. Si la commission Liaison + remises dépasse la take rate, la transaction perd de l’argent.</w:t>
      </w:r>
    </w:p>
    <w:p>
      <w:r>
        <w:pict>
          <v:rect style="width:0;height:1.5pt" o:hralign="center" o:hrstd="t" o:hr="t"/>
        </w:pict>
      </w:r>
    </w:p>
    <w:bookmarkEnd w:id="41"/>
    <w:bookmarkEnd w:id="42"/>
    <w:bookmarkStart w:id="47" w:name="revenue-operations-la-prévisibilité"/>
    <w:p>
      <w:pPr>
        <w:pStyle w:val="Heading2"/>
      </w:pPr>
      <w:r>
        <w:t xml:space="preserve">6. Revenue Operations — la prévisibilité</w:t>
      </w:r>
    </w:p>
    <w:bookmarkStart w:id="43" w:name="le-funnel-et-ses-taux-de-conversion"/>
    <w:p>
      <w:pPr>
        <w:pStyle w:val="Heading3"/>
      </w:pPr>
      <w:r>
        <w:t xml:space="preserve">6.1 Le funnel et ses taux de conversion</w:t>
      </w:r>
    </w:p>
    <w:p>
      <w:pPr>
        <w:pStyle w:val="FirstParagraph"/>
      </w:pPr>
      <w:r>
        <w:t xml:space="preserve">Instrumenter et suivre chaque étape, par segment :</w:t>
      </w:r>
    </w:p>
    <w:p>
      <w:pPr>
        <w:pStyle w:val="SourceCode"/>
      </w:pPr>
      <w:r>
        <w:rPr>
          <w:rStyle w:val="VerbatimChar"/>
        </w:rPr>
        <w:t xml:space="preserve">Lead → Qualifié (SQL) → Démo → Déploiement initial → Signé → Déployé → Payant récurrent</w:t>
      </w:r>
    </w:p>
    <w:p>
      <w:pPr>
        <w:pStyle w:val="Compact"/>
        <w:numPr>
          <w:ilvl w:val="0"/>
          <w:numId w:val="1011"/>
        </w:numPr>
      </w:pPr>
      <w:r>
        <w:t xml:space="preserve">Taux de conversion à chaque étape, en tendance.</w:t>
      </w:r>
    </w:p>
    <w:p>
      <w:pPr>
        <w:pStyle w:val="Compact"/>
        <w:numPr>
          <w:ilvl w:val="0"/>
          <w:numId w:val="1011"/>
        </w:numPr>
      </w:pPr>
      <w:r>
        <w:t xml:space="preserve">Vélocité (jours par étape).</w:t>
      </w:r>
    </w:p>
    <w:p>
      <w:pPr>
        <w:pStyle w:val="Compact"/>
        <w:numPr>
          <w:ilvl w:val="0"/>
          <w:numId w:val="1011"/>
        </w:numPr>
      </w:pPr>
      <w:r>
        <w:t xml:space="preserve">Valeur moyenne du contrat (ACV) par segment.</w:t>
      </w:r>
    </w:p>
    <w:p>
      <w:pPr>
        <w:pStyle w:val="Compact"/>
        <w:numPr>
          <w:ilvl w:val="0"/>
          <w:numId w:val="1011"/>
        </w:numPr>
      </w:pPr>
      <w:r>
        <w:rPr>
          <w:b/>
          <w:bCs/>
        </w:rPr>
        <w:t xml:space="preserve">Déploiement initial→Payant</w:t>
      </w:r>
      <w:r>
        <w:t xml:space="preserve"> </w:t>
      </w:r>
      <w:r>
        <w:t xml:space="preserve">: le KPI le plus important du B2B. Sous 60% = problème de qualification ou de preuve.</w:t>
      </w:r>
    </w:p>
    <w:bookmarkEnd w:id="43"/>
    <w:bookmarkStart w:id="44" w:name="forecasting-la-discipline"/>
    <w:p>
      <w:pPr>
        <w:pStyle w:val="Heading3"/>
      </w:pPr>
      <w:r>
        <w:t xml:space="preserve">6.2 Forecasting — la discipline</w:t>
      </w:r>
    </w:p>
    <w:p>
      <w:pPr>
        <w:pStyle w:val="Compact"/>
        <w:numPr>
          <w:ilvl w:val="0"/>
          <w:numId w:val="1012"/>
        </w:numPr>
      </w:pPr>
      <w:r>
        <w:rPr>
          <w:b/>
          <w:bCs/>
        </w:rPr>
        <w:t xml:space="preserve">Bottom-up</w:t>
      </w:r>
      <w:r>
        <w:t xml:space="preserve"> </w:t>
      </w:r>
      <w:r>
        <w:t xml:space="preserve">(somme des deals pondérés par probabilité) confronté au</w:t>
      </w:r>
      <w:r>
        <w:t xml:space="preserve"> </w:t>
      </w:r>
      <w:r>
        <w:rPr>
          <w:b/>
          <w:bCs/>
        </w:rPr>
        <w:t xml:space="preserve">top-down</w:t>
      </w:r>
      <w:r>
        <w:t xml:space="preserve"> </w:t>
      </w:r>
      <w:r>
        <w:t xml:space="preserve">(capacité × taux historiques).</w:t>
      </w:r>
    </w:p>
    <w:p>
      <w:pPr>
        <w:pStyle w:val="Compact"/>
        <w:numPr>
          <w:ilvl w:val="0"/>
          <w:numId w:val="1012"/>
        </w:numPr>
      </w:pPr>
      <w:r>
        <w:t xml:space="preserve">Catégories de pipeline : Commit / Best Case / Pipeline. Le Commit est sacré : un AE qui rate son Commit deux trimestres de suite est un problème de process, pas de chance.</w:t>
      </w:r>
    </w:p>
    <w:p>
      <w:pPr>
        <w:pStyle w:val="Compact"/>
        <w:numPr>
          <w:ilvl w:val="0"/>
          <w:numId w:val="1012"/>
        </w:numPr>
      </w:pPr>
      <w:r>
        <w:rPr>
          <w:b/>
          <w:bCs/>
        </w:rPr>
        <w:t xml:space="preserve">Forecast tenu à ±10% au trimestre dès M9.</w:t>
      </w:r>
      <w:r>
        <w:t xml:space="preserve"> </w:t>
      </w:r>
      <w:r>
        <w:t xml:space="preserve">Avant ça, on construit l’historique. Un forecast non tenu détruit la crédibilité auprès du board et tue la planification cash.</w:t>
      </w:r>
    </w:p>
    <w:bookmarkEnd w:id="44"/>
    <w:bookmarkStart w:id="45" w:name="le-crm-et-la-donnée-de-revenu"/>
    <w:p>
      <w:pPr>
        <w:pStyle w:val="Heading3"/>
      </w:pPr>
      <w:r>
        <w:t xml:space="preserve">6.3 Le CRM et la donnée de revenu</w:t>
      </w:r>
    </w:p>
    <w:p>
      <w:pPr>
        <w:pStyle w:val="Compact"/>
        <w:numPr>
          <w:ilvl w:val="0"/>
          <w:numId w:val="1013"/>
        </w:numPr>
      </w:pPr>
      <w:r>
        <w:rPr>
          <w:b/>
          <w:bCs/>
        </w:rPr>
        <w:t xml:space="preserve">Source de vérité unique</w:t>
      </w:r>
      <w:r>
        <w:t xml:space="preserve"> </w:t>
      </w:r>
      <w:r>
        <w:t xml:space="preserve">sur le pipeline (un CRM, même léger — pas un Excel par AE). Sans ça, pas de forecast, pas de coaching, pas d’attribution.</w:t>
      </w:r>
    </w:p>
    <w:p>
      <w:pPr>
        <w:pStyle w:val="Compact"/>
        <w:numPr>
          <w:ilvl w:val="0"/>
          <w:numId w:val="1013"/>
        </w:numPr>
      </w:pPr>
      <w:r>
        <w:rPr>
          <w:b/>
          <w:bCs/>
        </w:rPr>
        <w:t xml:space="preserve">Attribution</w:t>
      </w:r>
      <w:r>
        <w:t xml:space="preserve"> </w:t>
      </w:r>
      <w:r>
        <w:t xml:space="preserve">: savoir quel canal génère quel revenu à quel CAC. Liaison vs vente directe vs partenariat vs bouche-à-oreille. On réalloue le budget vers les canaux au meilleur LTV/CAC.</w:t>
      </w:r>
    </w:p>
    <w:p>
      <w:pPr>
        <w:pStyle w:val="Compact"/>
        <w:numPr>
          <w:ilvl w:val="0"/>
          <w:numId w:val="1013"/>
        </w:numPr>
      </w:pPr>
      <w:r>
        <w:t xml:space="preserve">Réconciliation mensuelle CRM ↔ facturation ↔ encaissement réel. Le revenu reconnu = le revenu encaissé, pas le revenu signé.</w:t>
      </w:r>
    </w:p>
    <w:bookmarkEnd w:id="45"/>
    <w:bookmarkStart w:id="46" w:name="X1866e40280160769318c8734ddc07803fba7301"/>
    <w:p>
      <w:pPr>
        <w:pStyle w:val="Heading3"/>
      </w:pPr>
      <w:r>
        <w:t xml:space="preserve">6.4 Combattre le leakage marketplace (disintermediation)</w:t>
      </w:r>
    </w:p>
    <w:p>
      <w:pPr>
        <w:pStyle w:val="FirstParagraph"/>
      </w:pPr>
      <w:r>
        <w:t xml:space="preserve">La fuite hors-plateforme est la menace existentielle d’une marketplace. Tactiques :</w:t>
      </w:r>
      <w:r>
        <w:t xml:space="preserve"> </w:t>
      </w:r>
      <w:r>
        <w:t xml:space="preserve">-</w:t>
      </w:r>
      <w:r>
        <w:t xml:space="preserve"> </w:t>
      </w:r>
      <w:r>
        <w:rPr>
          <w:b/>
          <w:bCs/>
        </w:rPr>
        <w:t xml:space="preserve">Socle de reprise uniquement on-platform</w:t>
      </w:r>
      <w:r>
        <w:t xml:space="preserve"> </w:t>
      </w:r>
      <w:r>
        <w:t xml:space="preserve">: la pièce achetée hors-plateforme n’a ni reprise en cas de non-conformité, ni garantie vendeur opposable. Acheté au comptoir, un désaccord se règle de vive voix ; acheté sur Pièces, il se règle sur pièce écrite. C’est la raison de rester.</w:t>
      </w:r>
      <w:r>
        <w:t xml:space="preserve"> </w:t>
      </w:r>
      <w:r>
        <w:t xml:space="preserve">-</w:t>
      </w:r>
      <w:r>
        <w:t xml:space="preserve"> </w:t>
      </w:r>
      <w:r>
        <w:rPr>
          <w:b/>
          <w:bCs/>
        </w:rPr>
        <w:t xml:space="preserve">Paiement tracé + facture FNE-CI on-platform</w:t>
      </w:r>
      <w:r>
        <w:t xml:space="preserve"> </w:t>
      </w:r>
      <w:r>
        <w:t xml:space="preserve">: le propriétaire et le DAF veulent la trace fiscale, et l’acheteur veut pouvoir régler à la remise après avoir vu la pièce — deux choses qu’un achat de rue ne donne pas.</w:t>
      </w:r>
      <w:r>
        <w:t xml:space="preserve"> </w:t>
      </w:r>
      <w:r>
        <w:t xml:space="preserve">-</w:t>
      </w:r>
      <w:r>
        <w:t xml:space="preserve"> </w:t>
      </w:r>
      <w:r>
        <w:rPr>
          <w:b/>
          <w:bCs/>
        </w:rPr>
        <w:t xml:space="preserve">Historique et pilotage flotte on-platform</w:t>
      </w:r>
      <w:r>
        <w:t xml:space="preserve"> </w:t>
      </w:r>
      <w:r>
        <w:t xml:space="preserve">: la valeur du dashboard disparaît si on achète à côté.</w:t>
      </w:r>
      <w:r>
        <w:t xml:space="preserve"> </w:t>
      </w:r>
      <w:r>
        <w:t xml:space="preserve">-</w:t>
      </w:r>
      <w:r>
        <w:t xml:space="preserve"> </w:t>
      </w:r>
      <w:r>
        <w:rPr>
          <w:b/>
          <w:bCs/>
        </w:rPr>
        <w:t xml:space="preserve">Mesure</w:t>
      </w:r>
      <w:r>
        <w:t xml:space="preserve"> </w:t>
      </w:r>
      <w:r>
        <w:t xml:space="preserve">: taux de ré-achat on-platform par mécanicien/flotte. Une chute signale du leakage à investiguer.</w:t>
      </w:r>
    </w:p>
    <w:p>
      <w:r>
        <w:pict>
          <v:rect style="width:0;height:1.5pt" o:hralign="center" o:hrstd="t" o:hr="t"/>
        </w:pict>
      </w:r>
    </w:p>
    <w:bookmarkEnd w:id="46"/>
    <w:bookmarkEnd w:id="47"/>
    <w:bookmarkStart w:id="52" w:name="Xe0f0ed7026c8068e1532b10e14ae6aa1a55d976"/>
    <w:p>
      <w:pPr>
        <w:pStyle w:val="Heading2"/>
      </w:pPr>
      <w:r>
        <w:t xml:space="preserve">7. Rétention, churn et expansion — où se gagne la vraie valeur</w:t>
      </w:r>
    </w:p>
    <w:bookmarkStart w:id="48" w:name="la-hiérarchie-de-la-valeur-revenue"/>
    <w:p>
      <w:pPr>
        <w:pStyle w:val="Heading3"/>
      </w:pPr>
      <w:r>
        <w:t xml:space="preserve">7.1 La hiérarchie de la valeur revenue</w:t>
      </w:r>
    </w:p>
    <w:p>
      <w:pPr>
        <w:pStyle w:val="BlockText"/>
      </w:pPr>
      <w:r>
        <w:t xml:space="preserve">Acquérir un nouveau client coûte 5 à 7× plus cher que retenir un existant. Et</w:t>
      </w:r>
      <w:r>
        <w:t xml:space="preserve"> </w:t>
      </w:r>
      <w:r>
        <w:rPr>
          <w:b/>
          <w:bCs/>
        </w:rPr>
        <w:t xml:space="preserve">l’expansion (upsell/cross-sell) est le revenu le moins cher de tous.</w:t>
      </w:r>
      <w:r>
        <w:t xml:space="preserve"> </w:t>
      </w:r>
      <w:r>
        <w:t xml:space="preserve">Le CRO qui ne pilote que l’acquisition laisse l’argent le plus facile sur la table.</w:t>
      </w:r>
    </w:p>
    <w:bookmarkEnd w:id="48"/>
    <w:bookmarkStart w:id="49" w:name="X00efda29924c68f207d2bc631680c3620fd9882"/>
    <w:p>
      <w:pPr>
        <w:pStyle w:val="Heading3"/>
      </w:pPr>
      <w:r>
        <w:t xml:space="preserve">7.2 NRR — Net Revenue Retention, la métrique reine du récurrent</w:t>
      </w:r>
    </w:p>
    <w:p>
      <w:pPr>
        <w:pStyle w:val="SourceCode"/>
      </w:pPr>
      <w:r>
        <w:rPr>
          <w:rStyle w:val="VerbatimChar"/>
        </w:rPr>
        <w:t xml:space="preserve">NRR = (MRR début + expansion − contraction − churn) / MRR début</w:t>
      </w:r>
    </w:p>
    <w:p>
      <w:pPr>
        <w:pStyle w:val="Compact"/>
        <w:numPr>
          <w:ilvl w:val="0"/>
          <w:numId w:val="1014"/>
        </w:numPr>
      </w:pPr>
      <w:r>
        <w:rPr>
          <w:b/>
          <w:bCs/>
        </w:rPr>
        <w:t xml:space="preserve">Cible : NRR &gt; 115%</w:t>
      </w:r>
      <w:r>
        <w:t xml:space="preserve"> </w:t>
      </w:r>
      <w:r>
        <w:t xml:space="preserve">à M18. Au-dessus de 100%, la base existante grandit toute seule même sans nouveau client.</w:t>
      </w:r>
    </w:p>
    <w:p>
      <w:pPr>
        <w:pStyle w:val="Compact"/>
        <w:numPr>
          <w:ilvl w:val="0"/>
          <w:numId w:val="1014"/>
        </w:numPr>
      </w:pPr>
      <w:r>
        <w:t xml:space="preserve">Leviers d’expansion : véhicules ajoutés à une flotte existante, upsell Pro → Pro +, attachement FNE-CI/data, montée du panier marketplace.</w:t>
      </w:r>
    </w:p>
    <w:p>
      <w:pPr>
        <w:pStyle w:val="Compact"/>
        <w:numPr>
          <w:ilvl w:val="0"/>
          <w:numId w:val="1014"/>
        </w:numPr>
      </w:pPr>
      <w:r>
        <w:t xml:space="preserve">Leviers anti-contraction : pilotage proactif des flottes qui réduisent leur parc, alertes sur baisse d’usage.</w:t>
      </w:r>
    </w:p>
    <w:bookmarkEnd w:id="49"/>
    <w:bookmarkStart w:id="50" w:name="le-playbook-anti-churn-flotte"/>
    <w:p>
      <w:pPr>
        <w:pStyle w:val="Heading3"/>
      </w:pPr>
      <w:r>
        <w:t xml:space="preserve">7.3 Le playbook anti-churn flotte</w:t>
      </w:r>
    </w:p>
    <w:p>
      <w:pPr>
        <w:pStyle w:val="FirstParagraph"/>
      </w:pPr>
      <w:r>
        <w:rPr>
          <w:b/>
          <w:bCs/>
        </w:rPr>
        <w:t xml:space="preserve">Cible CEO Bible : churn flotte &lt; 5%/mois.</w:t>
      </w:r>
      <w:r>
        <w:t xml:space="preserve"> </w:t>
      </w:r>
      <w:r>
        <w:t xml:space="preserve">Au-delà, le récurrent ne tient pas.</w:t>
      </w:r>
    </w:p>
    <w:p>
      <w:pPr>
        <w:pStyle w:val="Compact"/>
        <w:numPr>
          <w:ilvl w:val="0"/>
          <w:numId w:val="1015"/>
        </w:numPr>
      </w:pPr>
      <w:r>
        <w:rPr>
          <w:b/>
          <w:bCs/>
        </w:rPr>
        <w:t xml:space="preserve">Onboarding = rétention.</w:t>
      </w:r>
      <w:r>
        <w:t xml:space="preserve"> </w:t>
      </w:r>
      <w:r>
        <w:t xml:space="preserve">Un client qui ne voit pas la valeur dans les 30 premiers jours churne. Le succès client commence à la signature, pas à la première réclamation.</w:t>
      </w:r>
    </w:p>
    <w:p>
      <w:pPr>
        <w:pStyle w:val="Compact"/>
        <w:numPr>
          <w:ilvl w:val="0"/>
          <w:numId w:val="1015"/>
        </w:numPr>
      </w:pPr>
      <w:r>
        <w:rPr>
          <w:b/>
          <w:bCs/>
        </w:rPr>
        <w:t xml:space="preserve">Health score par compte</w:t>
      </w:r>
      <w:r>
        <w:t xml:space="preserve"> </w:t>
      </w:r>
      <w:r>
        <w:t xml:space="preserve">: usage du dashboard, nombre de commandes via plateforme, tickets support, paiements à l’heure. Un score qui baisse = intervention avant le churn, pas après.</w:t>
      </w:r>
    </w:p>
    <w:p>
      <w:pPr>
        <w:pStyle w:val="Compact"/>
        <w:numPr>
          <w:ilvl w:val="0"/>
          <w:numId w:val="1015"/>
        </w:numPr>
      </w:pPr>
      <w:r>
        <w:rPr>
          <w:b/>
          <w:bCs/>
        </w:rPr>
        <w:t xml:space="preserve">L’engagement de livraison prioritaire est le contrat moral.</w:t>
      </w:r>
      <w:r>
        <w:t xml:space="preserve"> </w:t>
      </w:r>
      <w:r>
        <w:t xml:space="preserve">Sur Pro +, un engagement de livraison prioritaire raté répété = churn garanti. Ne</w:t>
      </w:r>
      <w:r>
        <w:t xml:space="preserve"> </w:t>
      </w:r>
      <w:r>
        <w:rPr>
          <w:b/>
          <w:bCs/>
        </w:rPr>
        <w:t xml:space="preserve">jamais</w:t>
      </w:r>
      <w:r>
        <w:t xml:space="preserve"> </w:t>
      </w:r>
      <w:r>
        <w:t xml:space="preserve">vendre du Pro + là où l’ops ne suit pas (cf. les 10 erreurs CEO Bible).</w:t>
      </w:r>
    </w:p>
    <w:p>
      <w:pPr>
        <w:pStyle w:val="Compact"/>
        <w:numPr>
          <w:ilvl w:val="0"/>
          <w:numId w:val="1015"/>
        </w:numPr>
      </w:pPr>
      <w:r>
        <w:rPr>
          <w:b/>
          <w:bCs/>
        </w:rPr>
        <w:t xml:space="preserve">QBR (Quarterly Business Review)</w:t>
      </w:r>
      <w:r>
        <w:t xml:space="preserve"> </w:t>
      </w:r>
      <w:r>
        <w:t xml:space="preserve">pour les comptes &gt; 50 véhicules : présenter les économies réalisées, c’est la justification du renouvellement et l’ouverture de l’upsell.</w:t>
      </w:r>
    </w:p>
    <w:bookmarkEnd w:id="50"/>
    <w:bookmarkStart w:id="51" w:name="expansion-marketplace"/>
    <w:p>
      <w:pPr>
        <w:pStyle w:val="Heading3"/>
      </w:pPr>
      <w:r>
        <w:t xml:space="preserve">7.4 Expansion marketplace</w:t>
      </w:r>
    </w:p>
    <w:p>
      <w:pPr>
        <w:pStyle w:val="FirstParagraph"/>
      </w:pPr>
      <w:r>
        <w:t xml:space="preserve">Côté transactionnel, « l’expansion » c’est :</w:t>
      </w:r>
      <w:r>
        <w:t xml:space="preserve"> </w:t>
      </w:r>
      <w:r>
        <w:t xml:space="preserve">-</w:t>
      </w:r>
      <w:r>
        <w:t xml:space="preserve"> </w:t>
      </w:r>
      <w:r>
        <w:rPr>
          <w:b/>
          <w:bCs/>
        </w:rPr>
        <w:t xml:space="preserve">Augmenter le panier moyen</w:t>
      </w:r>
      <w:r>
        <w:t xml:space="preserve"> </w:t>
      </w:r>
      <w:r>
        <w:t xml:space="preserve">(objectif an 1 : 32 000 F) : suggestions de pièces complémentaires, kits (plaquettes + disques).</w:t>
      </w:r>
      <w:r>
        <w:t xml:space="preserve"> </w:t>
      </w:r>
      <w:r>
        <w:t xml:space="preserve">-</w:t>
      </w:r>
      <w:r>
        <w:t xml:space="preserve"> </w:t>
      </w:r>
      <w:r>
        <w:rPr>
          <w:b/>
          <w:bCs/>
        </w:rPr>
        <w:t xml:space="preserve">Augmenter la fréquence</w:t>
      </w:r>
      <w:r>
        <w:t xml:space="preserve"> </w:t>
      </w:r>
      <w:r>
        <w:t xml:space="preserve">: entretien préventif suggéré sur l’historique (P2 roadmap CTO).</w:t>
      </w:r>
      <w:r>
        <w:t xml:space="preserve"> </w:t>
      </w:r>
      <w:r>
        <w:t xml:space="preserve">-</w:t>
      </w:r>
      <w:r>
        <w:t xml:space="preserve"> </w:t>
      </w:r>
      <w:r>
        <w:rPr>
          <w:b/>
          <w:bCs/>
        </w:rPr>
        <w:t xml:space="preserve">Augmenter le taux d’attachement</w:t>
      </w:r>
      <w:r>
        <w:t xml:space="preserve"> </w:t>
      </w:r>
      <w:r>
        <w:t xml:space="preserve">livraison express / garantie premium.</w:t>
      </w:r>
    </w:p>
    <w:p>
      <w:r>
        <w:pict>
          <v:rect style="width:0;height:1.5pt" o:hralign="center" o:hrstd="t" o:hr="t"/>
        </w:pict>
      </w:r>
    </w:p>
    <w:bookmarkEnd w:id="51"/>
    <w:bookmarkEnd w:id="52"/>
    <w:bookmarkStart w:id="53" w:name="Xe44cf58777fa2fcd8d26aa43d5c0568832e88b9"/>
    <w:p>
      <w:pPr>
        <w:pStyle w:val="Heading2"/>
      </w:pPr>
      <w:r>
        <w:t xml:space="preserve">8. Unit economics — les chiffres à connaître par cœur</w:t>
      </w:r>
    </w:p>
    <w:p>
      <w:pPr>
        <w:pStyle w:val="FirstParagraph"/>
      </w:pPr>
      <w:r>
        <w:t xml:space="preserve">Repris et étendus du CEO Bible §6.2 (source de vérité partagée)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Cible</w:t>
            </w:r>
          </w:p>
        </w:tc>
        <w:tc>
          <w:tcPr/>
          <w:p>
            <w:pPr>
              <w:pStyle w:val="Compact"/>
            </w:pPr>
            <w:r>
              <w:t xml:space="preserve">Note CRO</w:t>
            </w:r>
          </w:p>
        </w:tc>
      </w:tr>
      <w:tr>
        <w:tc>
          <w:tcPr/>
          <w:p>
            <w:pPr>
              <w:pStyle w:val="Compact"/>
            </w:pPr>
            <w:r>
              <w:t xml:space="preserve">Panier moyen marketplace (an 1)</w:t>
            </w:r>
          </w:p>
        </w:tc>
        <w:tc>
          <w:tcPr/>
          <w:p>
            <w:pPr>
              <w:pStyle w:val="Compact"/>
            </w:pPr>
            <w:r>
              <w:t xml:space="preserve">32 000 F</w:t>
            </w:r>
          </w:p>
        </w:tc>
        <w:tc>
          <w:tcPr/>
          <w:p>
            <w:pPr>
              <w:pStyle w:val="Compact"/>
            </w:pPr>
            <w:r>
              <w:t xml:space="preserve">Lever via bundling + suggestions</w:t>
            </w:r>
          </w:p>
        </w:tc>
      </w:tr>
      <w:tr>
        <w:tc>
          <w:tcPr/>
          <w:p>
            <w:pPr>
              <w:pStyle w:val="Compact"/>
            </w:pPr>
            <w:r>
              <w:t xml:space="preserve">Take rate effective</w:t>
            </w:r>
          </w:p>
        </w:tc>
        <w:tc>
          <w:tcPr/>
          <w:p>
            <w:pPr>
              <w:pStyle w:val="Compact"/>
            </w:pPr>
            <w:r>
              <w:t xml:space="preserve">8% (objectif)</w:t>
            </w:r>
          </w:p>
        </w:tc>
        <w:tc>
          <w:tcPr/>
          <w:p>
            <w:pPr>
              <w:pStyle w:val="Compact"/>
            </w:pPr>
            <w:r>
              <w:t xml:space="preserve">Après remises/impayés/fraude/Liaison</w:t>
            </w:r>
          </w:p>
        </w:tc>
      </w:tr>
      <w:tr>
        <w:tc>
          <w:tcPr/>
          <w:p>
            <w:pPr>
              <w:pStyle w:val="Compact"/>
            </w:pPr>
            <w:r>
              <w:t xml:space="preserve">Revenu net / transaction</w:t>
            </w:r>
          </w:p>
        </w:tc>
        <w:tc>
          <w:tcPr/>
          <w:p>
            <w:pPr>
              <w:pStyle w:val="Compact"/>
            </w:pPr>
            <w:r>
              <w:t xml:space="preserve">~2 560 F</w:t>
            </w:r>
          </w:p>
        </w:tc>
        <w:tc>
          <w:tcPr/>
          <w:p>
            <w:pPr>
              <w:pStyle w:val="Compact"/>
            </w:pPr>
            <w:r>
              <w:t xml:space="preserve">À volume, c’est le moteur transactionnel</w:t>
            </w:r>
          </w:p>
        </w:tc>
      </w:tr>
      <w:tr>
        <w:tc>
          <w:tcPr/>
          <w:p>
            <w:pPr>
              <w:pStyle w:val="Compact"/>
            </w:pPr>
            <w:r>
              <w:t xml:space="preserve">CAC mécanicien</w:t>
            </w:r>
          </w:p>
        </w:tc>
        <w:tc>
          <w:tcPr/>
          <w:p>
            <w:pPr>
              <w:pStyle w:val="Compact"/>
            </w:pPr>
            <w:r>
              <w:t xml:space="preserve">&lt; 1 500 F</w:t>
            </w:r>
          </w:p>
        </w:tc>
        <w:tc>
          <w:tcPr/>
          <w:p>
            <w:pPr>
              <w:pStyle w:val="Compact"/>
            </w:pPr>
            <w:r>
              <w:t xml:space="preserve">Organique + Liaison</w:t>
            </w:r>
          </w:p>
        </w:tc>
      </w:tr>
      <w:tr>
        <w:tc>
          <w:tcPr/>
          <w:p>
            <w:pPr>
              <w:pStyle w:val="Compact"/>
            </w:pPr>
            <w:r>
              <w:t xml:space="preserve">CAC flotte VTC indépendante</w:t>
            </w:r>
          </w:p>
        </w:tc>
        <w:tc>
          <w:tcPr/>
          <w:p>
            <w:pPr>
              <w:pStyle w:val="Compact"/>
            </w:pPr>
            <w:r>
              <w:t xml:space="preserve">25 000–60 000 F</w:t>
            </w:r>
          </w:p>
        </w:tc>
        <w:tc>
          <w:tcPr/>
          <w:p>
            <w:pPr>
              <w:pStyle w:val="Compact"/>
            </w:pPr>
            <w:r>
              <w:t xml:space="preserve">Commercial terrain + démo</w:t>
            </w:r>
          </w:p>
        </w:tc>
      </w:tr>
      <w:tr>
        <w:tc>
          <w:tcPr/>
          <w:p>
            <w:pPr>
              <w:pStyle w:val="Compact"/>
            </w:pPr>
            <w:r>
              <w:t xml:space="preserve">LTV Flotte Pro (24 mois)</w:t>
            </w:r>
          </w:p>
        </w:tc>
        <w:tc>
          <w:tcPr/>
          <w:p>
            <w:pPr>
              <w:pStyle w:val="Compact"/>
            </w:pPr>
            <w:r>
              <w:t xml:space="preserve">~85 000 F/véhicule</w:t>
            </w:r>
          </w:p>
        </w:tc>
        <w:tc>
          <w:tcPr/>
          <w:p>
            <w:pPr>
              <w:pStyle w:val="Compact"/>
            </w:pPr>
            <w:r>
              <w:t xml:space="preserve">À 5 000 F/mois, churn 4%</w:t>
            </w:r>
          </w:p>
        </w:tc>
      </w:tr>
      <w:tr>
        <w:tc>
          <w:tcPr/>
          <w:p>
            <w:pPr>
              <w:pStyle w:val="Compact"/>
            </w:pPr>
            <w:r>
              <w:t xml:space="preserve">Ratio LTV/CAC</w:t>
            </w:r>
          </w:p>
        </w:tc>
        <w:tc>
          <w:tcPr/>
          <w:p>
            <w:pPr>
              <w:pStyle w:val="Compact"/>
            </w:pPr>
            <w:r>
              <w:t xml:space="preserve">&gt; 4 sur tous segments dès M12</w:t>
            </w:r>
          </w:p>
        </w:tc>
        <w:tc>
          <w:tcPr/>
          <w:p>
            <w:pPr>
              <w:pStyle w:val="Compact"/>
            </w:pPr>
            <w:r>
              <w:t xml:space="preserve">En dessous de 3 = canal à revoir</w:t>
            </w:r>
          </w:p>
        </w:tc>
      </w:tr>
      <w:tr>
        <w:tc>
          <w:tcPr/>
          <w:p>
            <w:pPr>
              <w:pStyle w:val="Compact"/>
            </w:pPr>
            <w:r>
              <w:t xml:space="preserve">Payback CAC</w:t>
            </w:r>
          </w:p>
        </w:tc>
        <w:tc>
          <w:tcPr/>
          <w:p>
            <w:pPr>
              <w:pStyle w:val="Compact"/>
            </w:pPr>
            <w:r>
              <w:t xml:space="preserve">&lt; 9 mois</w:t>
            </w:r>
          </w:p>
        </w:tc>
        <w:tc>
          <w:tcPr/>
          <w:p>
            <w:pPr>
              <w:pStyle w:val="Compact"/>
            </w:pPr>
            <w:r>
              <w:t xml:space="preserve">Au-delà, le cash se tend</w:t>
            </w:r>
          </w:p>
        </w:tc>
      </w:tr>
      <w:tr>
        <w:tc>
          <w:tcPr/>
          <w:p>
            <w:pPr>
              <w:pStyle w:val="Compact"/>
            </w:pPr>
            <w:r>
              <w:t xml:space="preserve">NRR</w:t>
            </w:r>
          </w:p>
        </w:tc>
        <w:tc>
          <w:tcPr/>
          <w:p>
            <w:pPr>
              <w:pStyle w:val="Compact"/>
            </w:pPr>
            <w:r>
              <w:t xml:space="preserve">&gt; 115% à M18</w:t>
            </w:r>
          </w:p>
        </w:tc>
        <w:tc>
          <w:tcPr/>
          <w:p>
            <w:pPr>
              <w:pStyle w:val="Compact"/>
            </w:pPr>
            <w:r>
              <w:t xml:space="preserve">La métrique de création de valeur</w:t>
            </w:r>
          </w:p>
        </w:tc>
      </w:tr>
      <w:tr>
        <w:tc>
          <w:tcPr/>
          <w:p>
            <w:pPr>
              <w:pStyle w:val="Compact"/>
            </w:pPr>
            <w:r>
              <w:t xml:space="preserve">Marge brute sur revenu net</w:t>
            </w:r>
          </w:p>
        </w:tc>
        <w:tc>
          <w:tcPr/>
          <w:p>
            <w:pPr>
              <w:pStyle w:val="Compact"/>
            </w:pPr>
            <w:r>
              <w:t xml:space="preserve">&gt; 30% à M12</w:t>
            </w:r>
          </w:p>
        </w:tc>
        <w:tc>
          <w:tcPr/>
          <w:p>
            <w:pPr>
              <w:pStyle w:val="Compact"/>
            </w:pPr>
            <w:r>
              <w:t xml:space="preserve">Condition validation Série A</w:t>
            </w:r>
          </w:p>
        </w:tc>
      </w:tr>
    </w:tbl>
    <w:p>
      <w:pPr>
        <w:pStyle w:val="BodyText"/>
      </w:pPr>
      <w:r>
        <w:rPr>
          <w:b/>
          <w:bCs/>
        </w:rPr>
        <w:t xml:space="preserve">Le test de santé d’un canal</w:t>
      </w:r>
      <w:r>
        <w:t xml:space="preserve"> </w:t>
      </w:r>
      <w:r>
        <w:t xml:space="preserve">: LTV/CAC &gt; 4 ET payback &lt; 9 mois ET marge brute positive après commission Liaison/remises. Si les trois ne sont pas verts, on ne scale pas le canal — on le répare ou on l’arrête.</w:t>
      </w:r>
    </w:p>
    <w:p>
      <w:r>
        <w:pict>
          <v:rect style="width:0;height:1.5pt" o:hralign="center" o:hrstd="t" o:hr="t"/>
        </w:pict>
      </w:r>
    </w:p>
    <w:bookmarkEnd w:id="53"/>
    <w:bookmarkStart w:id="58" w:name="X032f894298c9d5ce6015cd0a021f72a2716425c"/>
    <w:p>
      <w:pPr>
        <w:pStyle w:val="Heading2"/>
      </w:pPr>
      <w:r>
        <w:t xml:space="preserve">9. Organisation revenu — l’équipe à 12 et 24 mois</w:t>
      </w:r>
    </w:p>
    <w:bookmarkStart w:id="54" w:name="périmètre-cro"/>
    <w:p>
      <w:pPr>
        <w:pStyle w:val="Heading3"/>
      </w:pPr>
      <w:r>
        <w:t xml:space="preserve">9.1 Périmètre CRO</w:t>
      </w:r>
    </w:p>
    <w:p>
      <w:pPr>
        <w:pStyle w:val="FirstParagraph"/>
      </w:pPr>
      <w:r>
        <w:t xml:space="preserve">Sous la responsabilité du CRO :</w:t>
      </w:r>
      <w:r>
        <w:t xml:space="preserve"> </w:t>
      </w:r>
      <w:r>
        <w:rPr>
          <w:b/>
          <w:bCs/>
        </w:rPr>
        <w:t xml:space="preserve">Sales (B2B), Revenue Operations, Customer Success, Pricing, Partnerships</w:t>
      </w:r>
      <w:r>
        <w:t xml:space="preserve">. Le marketing d’acquisition (demande mécanicien/particulier) peut être partagé avec le CEO/marketing selon le découpage retenu, mais le CRO en possède le</w:t>
      </w:r>
      <w:r>
        <w:t xml:space="preserve"> </w:t>
      </w:r>
      <w:r>
        <w:rPr>
          <w:b/>
          <w:bCs/>
        </w:rPr>
        <w:t xml:space="preserve">résultat revenu</w:t>
      </w:r>
      <w:r>
        <w:t xml:space="preserve">.</w:t>
      </w:r>
    </w:p>
    <w:p>
      <w:pPr>
        <w:pStyle w:val="BlockText"/>
      </w:pPr>
      <w:r>
        <w:t xml:space="preserve">Note de frontière : le réseau Liaison est opérationnellement sous le Head of Liaison (ops terrain, CEO Bible §8), mais le CRO co-pilote la</w:t>
      </w:r>
      <w:r>
        <w:t xml:space="preserve"> </w:t>
      </w:r>
      <w:r>
        <w:rPr>
          <w:b/>
          <w:bCs/>
        </w:rPr>
        <w:t xml:space="preserve">commission Liaison comme levier de coût d’acquisition</w:t>
      </w:r>
      <w:r>
        <w:t xml:space="preserve"> </w:t>
      </w:r>
      <w:r>
        <w:t xml:space="preserve">et le</w:t>
      </w:r>
      <w:r>
        <w:t xml:space="preserve"> </w:t>
      </w:r>
      <w:r>
        <w:rPr>
          <w:b/>
          <w:bCs/>
        </w:rPr>
        <w:t xml:space="preserve">flux de demande</w:t>
      </w:r>
      <w:r>
        <w:t xml:space="preserve"> </w:t>
      </w:r>
      <w:r>
        <w:t xml:space="preserve">qu’il génère. Frontière à clarifier explicitement dès la prise de poste.</w:t>
      </w:r>
    </w:p>
    <w:bookmarkEnd w:id="54"/>
    <w:bookmarkStart w:id="55" w:name="équipe-revenu-m12"/>
    <w:p>
      <w:pPr>
        <w:pStyle w:val="Heading3"/>
      </w:pPr>
      <w:r>
        <w:t xml:space="preserve">9.2 Équipe revenu M12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Pôle</w:t>
            </w:r>
          </w:p>
        </w:tc>
        <w:tc>
          <w:tcPr/>
          <w:p>
            <w:pPr>
              <w:pStyle w:val="Compact"/>
            </w:pPr>
            <w:r>
              <w:t xml:space="preserve">ETP</w:t>
            </w:r>
          </w:p>
        </w:tc>
        <w:tc>
          <w:tcPr/>
          <w:p>
            <w:pPr>
              <w:pStyle w:val="Compact"/>
            </w:pPr>
            <w:r>
              <w:t xml:space="preserve">Rôles clés</w:t>
            </w:r>
          </w:p>
        </w:tc>
      </w:tr>
      <w:tr>
        <w:tc>
          <w:tcPr/>
          <w:p>
            <w:pPr>
              <w:pStyle w:val="Compact"/>
            </w:pPr>
            <w:r>
              <w:t xml:space="preserve">Direction revenu</w:t>
            </w:r>
          </w:p>
        </w:tc>
        <w:tc>
          <w:tcPr/>
          <w:p>
            <w:pPr>
              <w:pStyle w:val="Compact"/>
            </w:pPr>
            <w:r>
              <w:t xml:space="preserve">1</w:t>
            </w:r>
          </w:p>
        </w:tc>
        <w:tc>
          <w:tcPr/>
          <w:p>
            <w:pPr>
              <w:pStyle w:val="Compact"/>
            </w:pPr>
            <w:r>
              <w:t xml:space="preserve">CRO</w:t>
            </w:r>
          </w:p>
        </w:tc>
      </w:tr>
      <w:tr>
        <w:tc>
          <w:tcPr/>
          <w:p>
            <w:pPr>
              <w:pStyle w:val="Compact"/>
            </w:pPr>
            <w:r>
              <w:t xml:space="preserve">Sales B2B</w:t>
            </w:r>
          </w:p>
        </w:tc>
        <w:tc>
          <w:tcPr/>
          <w:p>
            <w:pPr>
              <w:pStyle w:val="Compact"/>
            </w:pPr>
            <w:r>
              <w:t xml:space="preserve">5</w:t>
            </w:r>
          </w:p>
        </w:tc>
        <w:tc>
          <w:tcPr/>
          <w:p>
            <w:pPr>
              <w:pStyle w:val="Compact"/>
            </w:pPr>
            <w:r>
              <w:t xml:space="preserve">Head of Sales, 3 AE seniors, 1 SDR</w:t>
            </w:r>
          </w:p>
        </w:tc>
      </w:tr>
      <w:tr>
        <w:tc>
          <w:tcPr/>
          <w:p>
            <w:pPr>
              <w:pStyle w:val="Compact"/>
            </w:pPr>
            <w:r>
              <w:t xml:space="preserve">Revenue Operations</w:t>
            </w:r>
          </w:p>
        </w:tc>
        <w:tc>
          <w:tcPr/>
          <w:p>
            <w:pPr>
              <w:pStyle w:val="Compact"/>
            </w:pPr>
            <w:r>
              <w:t xml:space="preserve">1</w:t>
            </w:r>
          </w:p>
        </w:tc>
        <w:tc>
          <w:tcPr/>
          <w:p>
            <w:pPr>
              <w:pStyle w:val="Compact"/>
            </w:pPr>
            <w:r>
              <w:t xml:space="preserve">RevOps lead (CRM, forecast, attribution, pricing analytics)</w:t>
            </w:r>
          </w:p>
        </w:tc>
      </w:tr>
      <w:tr>
        <w:tc>
          <w:tcPr/>
          <w:p>
            <w:pPr>
              <w:pStyle w:val="Compact"/>
            </w:pPr>
            <w:r>
              <w:t xml:space="preserve">Customer Success</w:t>
            </w:r>
          </w:p>
        </w:tc>
        <w:tc>
          <w:tcPr/>
          <w:p>
            <w:pPr>
              <w:pStyle w:val="Compact"/>
            </w:pPr>
            <w:r>
              <w:t xml:space="preserve">2</w:t>
            </w:r>
          </w:p>
        </w:tc>
        <w:tc>
          <w:tcPr/>
          <w:p>
            <w:pPr>
              <w:pStyle w:val="Compact"/>
            </w:pPr>
            <w:r>
              <w:t xml:space="preserve">Head of CS + 1 CSM (rétention + expansion flotte)</w:t>
            </w:r>
          </w:p>
        </w:tc>
      </w:tr>
    </w:tbl>
    <w:bookmarkEnd w:id="55"/>
    <w:bookmarkStart w:id="56" w:name="équipe-revenu-m24"/>
    <w:p>
      <w:pPr>
        <w:pStyle w:val="Heading3"/>
      </w:pPr>
      <w:r>
        <w:t xml:space="preserve">9.3 Équipe revenu M24</w:t>
      </w:r>
    </w:p>
    <w:p>
      <w:pPr>
        <w:pStyle w:val="FirstParagraph"/>
      </w:pPr>
      <w:r>
        <w:t xml:space="preserve">Ajouts : VP Sales, 2e CSM + CS manager, Pricing/RevOps analyst dédié, Partnerships manager (plateformes VTC + prescripteurs DAF/experts-comptables), SDR supplémentaires. Spécialisation par segment (VTC / BTP / corporate).</w:t>
      </w:r>
    </w:p>
    <w:bookmarkEnd w:id="56"/>
    <w:bookmarkStart w:id="57" w:name="X0aac19b6c832660beac3fdb67baf540dc11dcad"/>
    <w:p>
      <w:pPr>
        <w:pStyle w:val="Heading3"/>
      </w:pPr>
      <w:r>
        <w:t xml:space="preserve">9.4 Plans de compensation — aligner l’argent sur le bon comportement</w:t>
      </w:r>
    </w:p>
    <w:p>
      <w:pPr>
        <w:pStyle w:val="FirstParagraph"/>
      </w:pPr>
      <w:r>
        <w:t xml:space="preserve">Le comp plan est le levier de management le plus puissant du CRO. Principes :</w:t>
      </w:r>
    </w:p>
    <w:p>
      <w:pPr>
        <w:pStyle w:val="Compact"/>
        <w:numPr>
          <w:ilvl w:val="0"/>
          <w:numId w:val="1016"/>
        </w:numPr>
      </w:pPr>
      <w:r>
        <w:rPr>
          <w:b/>
          <w:bCs/>
        </w:rPr>
        <w:t xml:space="preserve">L’AE est payé sur le revenu net signé, pondéré par la qualité</w:t>
      </w:r>
      <w:r>
        <w:t xml:space="preserve"> </w:t>
      </w:r>
      <w:r>
        <w:t xml:space="preserve">: accélérateurs au-delà du quota, mais</w:t>
      </w:r>
      <w:r>
        <w:t xml:space="preserve"> </w:t>
      </w:r>
      <w:r>
        <w:rPr>
          <w:b/>
          <w:bCs/>
        </w:rPr>
        <w:t xml:space="preserve">clawback</w:t>
      </w:r>
      <w:r>
        <w:t xml:space="preserve"> </w:t>
      </w:r>
      <w:r>
        <w:t xml:space="preserve">si le client churne dans les 90 jours (anti-vente forcée).</w:t>
      </w:r>
    </w:p>
    <w:p>
      <w:pPr>
        <w:pStyle w:val="Compact"/>
        <w:numPr>
          <w:ilvl w:val="0"/>
          <w:numId w:val="1016"/>
        </w:numPr>
      </w:pPr>
      <w:r>
        <w:rPr>
          <w:b/>
          <w:bCs/>
        </w:rPr>
        <w:t xml:space="preserve">Le CSM est payé sur la rétention nette (NRR) et l’expansion</w:t>
      </w:r>
      <w:r>
        <w:t xml:space="preserve">, pas sur l’acquisition. C’est ce qui aligne le succès client sur la création de valeur.</w:t>
      </w:r>
    </w:p>
    <w:p>
      <w:pPr>
        <w:pStyle w:val="Compact"/>
        <w:numPr>
          <w:ilvl w:val="0"/>
          <w:numId w:val="1016"/>
        </w:numPr>
      </w:pPr>
      <w:r>
        <w:rPr>
          <w:b/>
          <w:bCs/>
        </w:rPr>
        <w:t xml:space="preserve">Le SDR est payé sur les SQL qualifiés acceptés par les AE</w:t>
      </w:r>
      <w:r>
        <w:t xml:space="preserve">, pas sur les leads bruts (anti-spam de pipeline).</w:t>
      </w:r>
    </w:p>
    <w:p>
      <w:pPr>
        <w:pStyle w:val="Compact"/>
        <w:numPr>
          <w:ilvl w:val="0"/>
          <w:numId w:val="1016"/>
        </w:numPr>
      </w:pPr>
      <w:r>
        <w:rPr>
          <w:b/>
          <w:bCs/>
        </w:rPr>
        <w:t xml:space="preserve">Pas de commission sur les remises non gouvernées.</w:t>
      </w:r>
      <w:r>
        <w:t xml:space="preserve"> </w:t>
      </w:r>
      <w:r>
        <w:t xml:space="preserve">La commission se calcule sur le revenu net après remise, pour que l’AE ait intérêt à protéger le prix.</w:t>
      </w:r>
    </w:p>
    <w:p>
      <w:pPr>
        <w:pStyle w:val="Compact"/>
        <w:numPr>
          <w:ilvl w:val="0"/>
          <w:numId w:val="1016"/>
        </w:numPr>
      </w:pPr>
      <w:r>
        <w:rPr>
          <w:b/>
          <w:bCs/>
        </w:rPr>
        <w:t xml:space="preserve">Bonus collectif RevOps/CS sur la tenue du forecast et le churn</w:t>
      </w:r>
      <w:r>
        <w:t xml:space="preserve">, pour casser les silos.</w:t>
      </w:r>
    </w:p>
    <w:p>
      <w:r>
        <w:pict>
          <v:rect style="width:0;height:1.5pt" o:hralign="center" o:hrstd="t" o:hr="t"/>
        </w:pict>
      </w:r>
    </w:p>
    <w:bookmarkEnd w:id="57"/>
    <w:bookmarkEnd w:id="58"/>
    <w:bookmarkStart w:id="63" w:name="kpis-le-dashboard-cro"/>
    <w:p>
      <w:pPr>
        <w:pStyle w:val="Heading2"/>
      </w:pPr>
      <w:r>
        <w:t xml:space="preserve">10. KPIs — le dashboard CRO</w:t>
      </w:r>
    </w:p>
    <w:bookmarkStart w:id="59" w:name="quotidien-revue-rapide-matin"/>
    <w:p>
      <w:pPr>
        <w:pStyle w:val="Heading3"/>
      </w:pPr>
      <w:r>
        <w:t xml:space="preserve">10.1 Quotidien (revue rapide matin)</w:t>
      </w:r>
    </w:p>
    <w:p>
      <w:pPr>
        <w:pStyle w:val="Compact"/>
        <w:numPr>
          <w:ilvl w:val="0"/>
          <w:numId w:val="1017"/>
        </w:numPr>
      </w:pPr>
      <w:r>
        <w:t xml:space="preserve">GMV livré J-1, panier moyen, take rate effective du jour.</w:t>
      </w:r>
    </w:p>
    <w:p>
      <w:pPr>
        <w:pStyle w:val="Compact"/>
        <w:numPr>
          <w:ilvl w:val="0"/>
          <w:numId w:val="1017"/>
        </w:numPr>
      </w:pPr>
      <w:r>
        <w:t xml:space="preserve">Nouveaux abonnements signés / churns enregistrés.</w:t>
      </w:r>
    </w:p>
    <w:p>
      <w:pPr>
        <w:pStyle w:val="Compact"/>
        <w:numPr>
          <w:ilvl w:val="0"/>
          <w:numId w:val="1017"/>
        </w:numPr>
      </w:pPr>
      <w:r>
        <w:t xml:space="preserve">Prélèvements abonnement échoués (à relancer dans la journée).</w:t>
      </w:r>
    </w:p>
    <w:bookmarkEnd w:id="59"/>
    <w:bookmarkStart w:id="60" w:name="X39ead2b37ddb6c289b96d67f834000a96b90348"/>
    <w:p>
      <w:pPr>
        <w:pStyle w:val="Heading3"/>
      </w:pPr>
      <w:r>
        <w:t xml:space="preserve">10.2 Hebdomadaire (lundi, avant le standup direction)</w:t>
      </w:r>
    </w:p>
    <w:p>
      <w:pPr>
        <w:pStyle w:val="Compact"/>
        <w:numPr>
          <w:ilvl w:val="0"/>
          <w:numId w:val="1018"/>
        </w:numPr>
      </w:pPr>
      <w:r>
        <w:t xml:space="preserve">Pipeline par étape et par AE, vélocité, Commit du trimestre.</w:t>
      </w:r>
    </w:p>
    <w:p>
      <w:pPr>
        <w:pStyle w:val="Compact"/>
        <w:numPr>
          <w:ilvl w:val="0"/>
          <w:numId w:val="1018"/>
        </w:numPr>
      </w:pPr>
      <w:r>
        <w:t xml:space="preserve">MRR/ARR, net new MRR (new + expansion − contraction − churn).</w:t>
      </w:r>
    </w:p>
    <w:p>
      <w:pPr>
        <w:pStyle w:val="Compact"/>
        <w:numPr>
          <w:ilvl w:val="0"/>
          <w:numId w:val="1018"/>
        </w:numPr>
      </w:pPr>
      <w:r>
        <w:t xml:space="preserve">Conversion déploiement initial→payant en cours.</w:t>
      </w:r>
    </w:p>
    <w:p>
      <w:pPr>
        <w:pStyle w:val="Compact"/>
        <w:numPr>
          <w:ilvl w:val="0"/>
          <w:numId w:val="1018"/>
        </w:numPr>
      </w:pPr>
      <w:r>
        <w:t xml:space="preserve">Health scores flotte en zone rouge → plan d’action.</w:t>
      </w:r>
    </w:p>
    <w:p>
      <w:pPr>
        <w:pStyle w:val="Compact"/>
        <w:numPr>
          <w:ilvl w:val="0"/>
          <w:numId w:val="1018"/>
        </w:numPr>
      </w:pPr>
      <w:r>
        <w:t xml:space="preserve">Take rate effective vs affichée (détection de leakage remise).</w:t>
      </w:r>
    </w:p>
    <w:bookmarkEnd w:id="60"/>
    <w:bookmarkStart w:id="61" w:name="mensuel-board-pack-revenu"/>
    <w:p>
      <w:pPr>
        <w:pStyle w:val="Heading3"/>
      </w:pPr>
      <w:r>
        <w:t xml:space="preserve">10.3 Mensuel (board pack revenu)</w:t>
      </w:r>
    </w:p>
    <w:p>
      <w:pPr>
        <w:pStyle w:val="Compact"/>
        <w:numPr>
          <w:ilvl w:val="0"/>
          <w:numId w:val="1019"/>
        </w:numPr>
      </w:pPr>
      <w:r>
        <w:t xml:space="preserve">Revenu net total, split transactionnel / récurrent / service (et la tendance du mix — cf. §3.3).</w:t>
      </w:r>
    </w:p>
    <w:p>
      <w:pPr>
        <w:pStyle w:val="Compact"/>
        <w:numPr>
          <w:ilvl w:val="0"/>
          <w:numId w:val="1019"/>
        </w:numPr>
      </w:pPr>
      <w:r>
        <w:t xml:space="preserve">ARR, NRR, churn brut et net, contraction.</w:t>
      </w:r>
    </w:p>
    <w:p>
      <w:pPr>
        <w:pStyle w:val="Compact"/>
        <w:numPr>
          <w:ilvl w:val="0"/>
          <w:numId w:val="1019"/>
        </w:numPr>
      </w:pPr>
      <w:r>
        <w:t xml:space="preserve">CAC par segment, LTV, ratio LTV/CAC, payback.</w:t>
      </w:r>
    </w:p>
    <w:p>
      <w:pPr>
        <w:pStyle w:val="Compact"/>
        <w:numPr>
          <w:ilvl w:val="0"/>
          <w:numId w:val="1019"/>
        </w:numPr>
      </w:pPr>
      <w:r>
        <w:t xml:space="preserve">Forecast vs réalisé (écart en %).</w:t>
      </w:r>
    </w:p>
    <w:p>
      <w:pPr>
        <w:pStyle w:val="Compact"/>
        <w:numPr>
          <w:ilvl w:val="0"/>
          <w:numId w:val="1019"/>
        </w:numPr>
      </w:pPr>
      <w:r>
        <w:t xml:space="preserve">% GMV via FNE-CI, ARPU abonnement, attachement upsell.</w:t>
      </w:r>
    </w:p>
    <w:p>
      <w:pPr>
        <w:pStyle w:val="Compact"/>
        <w:numPr>
          <w:ilvl w:val="0"/>
          <w:numId w:val="1019"/>
        </w:numPr>
      </w:pPr>
      <w:r>
        <w:t xml:space="preserve">Cohortes : rétention par cohorte de signature (la vérité sur la durabilité du revenu).</w:t>
      </w:r>
    </w:p>
    <w:bookmarkEnd w:id="61"/>
    <w:bookmarkStart w:id="62" w:name="trimestriel-revue-stratégique-revenu"/>
    <w:p>
      <w:pPr>
        <w:pStyle w:val="Heading3"/>
      </w:pPr>
      <w:r>
        <w:t xml:space="preserve">10.4 Trimestriel (revue stratégique revenu)</w:t>
      </w:r>
    </w:p>
    <w:p>
      <w:pPr>
        <w:pStyle w:val="Compact"/>
        <w:numPr>
          <w:ilvl w:val="0"/>
          <w:numId w:val="1020"/>
        </w:numPr>
      </w:pPr>
      <w:r>
        <w:t xml:space="preserve">Tenue du forecast (±10% cible).</w:t>
      </w:r>
    </w:p>
    <w:p>
      <w:pPr>
        <w:pStyle w:val="Compact"/>
        <w:numPr>
          <w:ilvl w:val="0"/>
          <w:numId w:val="1020"/>
        </w:numPr>
      </w:pPr>
      <w:r>
        <w:t xml:space="preserve">Évolution du mix de revenu vs plan (transition vers récurrent).</w:t>
      </w:r>
    </w:p>
    <w:p>
      <w:pPr>
        <w:pStyle w:val="Compact"/>
        <w:numPr>
          <w:ilvl w:val="0"/>
          <w:numId w:val="1020"/>
        </w:numPr>
      </w:pPr>
      <w:r>
        <w:t xml:space="preserve">Performance par canal d’acquisition (réallocation budget).</w:t>
      </w:r>
    </w:p>
    <w:p>
      <w:pPr>
        <w:pStyle w:val="Compact"/>
        <w:numPr>
          <w:ilvl w:val="0"/>
          <w:numId w:val="1020"/>
        </w:numPr>
      </w:pPr>
      <w:r>
        <w:t xml:space="preserve">Top deals gagnés / perdus, analyse des raisons de perte (win/loss).</w:t>
      </w:r>
    </w:p>
    <w:p>
      <w:pPr>
        <w:pStyle w:val="Compact"/>
        <w:numPr>
          <w:ilvl w:val="0"/>
          <w:numId w:val="1020"/>
        </w:numPr>
      </w:pPr>
      <w:r>
        <w:t xml:space="preserve">Roadmap pricing &amp; packaging T+1.</w:t>
      </w:r>
    </w:p>
    <w:p>
      <w:r>
        <w:pict>
          <v:rect style="width:0;height:1.5pt" o:hralign="center" o:hrstd="t" o:hr="t"/>
        </w:pict>
      </w:r>
    </w:p>
    <w:bookmarkEnd w:id="62"/>
    <w:bookmarkEnd w:id="63"/>
    <w:bookmarkStart w:id="67" w:name="X3b636f1cd4a68973dfd7a3db647ae50707e1779"/>
    <w:p>
      <w:pPr>
        <w:pStyle w:val="Heading2"/>
      </w:pPr>
      <w:r>
        <w:t xml:space="preserve">11. Le plan de revenu — 90 jours, 12 mois, 24 mois</w:t>
      </w:r>
    </w:p>
    <w:bookmarkStart w:id="64" w:name="les-90-premiers-jours-du-cro"/>
    <w:p>
      <w:pPr>
        <w:pStyle w:val="Heading3"/>
      </w:pPr>
      <w:r>
        <w:t xml:space="preserve">11.1 Les 90 premiers jours du CRO</w:t>
      </w:r>
    </w:p>
    <w:p>
      <w:pPr>
        <w:pStyle w:val="FirstParagraph"/>
      </w:pPr>
      <w:r>
        <w:rPr>
          <w:b/>
          <w:bCs/>
        </w:rPr>
        <w:t xml:space="preserve">Semaines 1–4 — Diagnostiquer</w:t>
      </w:r>
      <w:r>
        <w:t xml:space="preserve"> </w:t>
      </w:r>
      <w:r>
        <w:t xml:space="preserve">- Cartographier les 4 flux, mesurer la take rate effective réelle (pas affichée), le MRR réel (net des impayés), le churn réel.</w:t>
      </w:r>
      <w:r>
        <w:t xml:space="preserve"> </w:t>
      </w:r>
      <w:r>
        <w:t xml:space="preserve">- Auditer le leakage (remises, impayés, disintermediation, sous-facturation FNE-CI).</w:t>
      </w:r>
      <w:r>
        <w:t xml:space="preserve"> </w:t>
      </w:r>
      <w:r>
        <w:t xml:space="preserve">- Mettre une source de vérité unique sur le pipeline (CRM léger).</w:t>
      </w:r>
    </w:p>
    <w:p>
      <w:pPr>
        <w:pStyle w:val="BodyText"/>
      </w:pPr>
      <w:r>
        <w:rPr>
          <w:b/>
          <w:bCs/>
        </w:rPr>
        <w:t xml:space="preserve">Semaines 5–8 — Stabiliser</w:t>
      </w:r>
      <w:r>
        <w:t xml:space="preserve"> </w:t>
      </w:r>
      <w:r>
        <w:t xml:space="preserve">- Instaurer la gouvernance des remises (§4.3) immédiatement — c’est la fuite la plus rapide à arrêter.</w:t>
      </w:r>
      <w:r>
        <w:t xml:space="preserve"> </w:t>
      </w:r>
      <w:r>
        <w:t xml:space="preserve">- Cadrer le playbook de vente flotte (§5.1) et le mesurer.</w:t>
      </w:r>
      <w:r>
        <w:t xml:space="preserve"> </w:t>
      </w:r>
      <w:r>
        <w:t xml:space="preserve">- Définir le health score flotte et lancer le suivi anti-churn.</w:t>
      </w:r>
    </w:p>
    <w:p>
      <w:pPr>
        <w:pStyle w:val="BodyText"/>
      </w:pPr>
      <w:r>
        <w:rPr>
          <w:b/>
          <w:bCs/>
        </w:rPr>
        <w:t xml:space="preserve">Semaines 9–12 — Construire la prévisibilité</w:t>
      </w:r>
      <w:r>
        <w:t xml:space="preserve"> </w:t>
      </w:r>
      <w:r>
        <w:t xml:space="preserve">- Premier forecast bottom-up formalisé.</w:t>
      </w:r>
      <w:r>
        <w:t xml:space="preserve"> </w:t>
      </w:r>
      <w:r>
        <w:t xml:space="preserve">- Comp plans alignés (§9.4).</w:t>
      </w:r>
      <w:r>
        <w:t xml:space="preserve"> </w:t>
      </w:r>
      <w:r>
        <w:t xml:space="preserve">- Premier test de pricing sur une cohorte.</w:t>
      </w:r>
      <w:r>
        <w:t xml:space="preserve"> </w:t>
      </w:r>
      <w:r>
        <w:t xml:space="preserve">- Premier QBR avec les plus gros comptes flotte.</w:t>
      </w:r>
    </w:p>
    <w:bookmarkEnd w:id="64"/>
    <w:bookmarkStart w:id="65" w:name="objectifs-revenu-m12-alignés-ceo-bible"/>
    <w:p>
      <w:pPr>
        <w:pStyle w:val="Heading3"/>
      </w:pPr>
      <w:r>
        <w:t xml:space="preserve">11.2 Objectifs revenu M12 (alignés CEO Bible)</w:t>
      </w:r>
    </w:p>
    <w:p>
      <w:pPr>
        <w:pStyle w:val="Compact"/>
        <w:numPr>
          <w:ilvl w:val="0"/>
          <w:numId w:val="1021"/>
        </w:numPr>
      </w:pPr>
      <w:r>
        <w:t xml:space="preserve">600+ commandes/jour, panier moyen 32 000 F.</w:t>
      </w:r>
    </w:p>
    <w:p>
      <w:pPr>
        <w:pStyle w:val="Compact"/>
        <w:numPr>
          <w:ilvl w:val="0"/>
          <w:numId w:val="1021"/>
        </w:numPr>
      </w:pPr>
      <w:r>
        <w:t xml:space="preserve">1 500 véhicules sous abonnement, churn &lt; 5%/mois.</w:t>
      </w:r>
    </w:p>
    <w:p>
      <w:pPr>
        <w:pStyle w:val="Compact"/>
        <w:numPr>
          <w:ilvl w:val="0"/>
          <w:numId w:val="1021"/>
        </w:numPr>
      </w:pPr>
      <w:r>
        <w:t xml:space="preserve">GMV mensuel &gt; 250 MF, marge brute &gt; 30% sur revenu net.</w:t>
      </w:r>
    </w:p>
    <w:p>
      <w:pPr>
        <w:pStyle w:val="Compact"/>
        <w:numPr>
          <w:ilvl w:val="0"/>
          <w:numId w:val="1021"/>
        </w:numPr>
      </w:pPr>
      <w:r>
        <w:t xml:space="preserve">Forecast tenu à ±10% sur les deux derniers trimestres.</w:t>
      </w:r>
    </w:p>
    <w:p>
      <w:pPr>
        <w:pStyle w:val="Compact"/>
        <w:numPr>
          <w:ilvl w:val="0"/>
          <w:numId w:val="1021"/>
        </w:numPr>
      </w:pPr>
      <w:r>
        <w:t xml:space="preserve">Take rate effective ≥ 7,5% (après toutes fuites).</w:t>
      </w:r>
    </w:p>
    <w:bookmarkEnd w:id="65"/>
    <w:bookmarkStart w:id="66" w:name="objectifs-revenu-m24"/>
    <w:p>
      <w:pPr>
        <w:pStyle w:val="Heading3"/>
      </w:pPr>
      <w:r>
        <w:t xml:space="preserve">11.3 Objectifs revenu M24</w:t>
      </w:r>
    </w:p>
    <w:p>
      <w:pPr>
        <w:pStyle w:val="Compact"/>
        <w:numPr>
          <w:ilvl w:val="0"/>
          <w:numId w:val="1022"/>
        </w:numPr>
      </w:pPr>
      <w:r>
        <w:t xml:space="preserve">≥ 4 200 véhicules sous abonnement (VTC + BTP + corporate).</w:t>
      </w:r>
    </w:p>
    <w:p>
      <w:pPr>
        <w:pStyle w:val="Compact"/>
        <w:numPr>
          <w:ilvl w:val="0"/>
          <w:numId w:val="1022"/>
        </w:numPr>
      </w:pPr>
      <w:r>
        <w:t xml:space="preserve">NRR &gt; 115%.</w:t>
      </w:r>
    </w:p>
    <w:p>
      <w:pPr>
        <w:pStyle w:val="Compact"/>
        <w:numPr>
          <w:ilvl w:val="0"/>
          <w:numId w:val="1022"/>
        </w:numPr>
      </w:pPr>
      <w:r>
        <w:t xml:space="preserve">Part de récurrent ≥ 42% du revenu net.</w:t>
      </w:r>
    </w:p>
    <w:p>
      <w:pPr>
        <w:pStyle w:val="Compact"/>
        <w:numPr>
          <w:ilvl w:val="0"/>
          <w:numId w:val="1022"/>
        </w:numPr>
      </w:pPr>
      <w:r>
        <w:t xml:space="preserve">Au moins un contrat grand compte &gt; 300 véhicules pleinement déployé et référençable.</w:t>
      </w:r>
    </w:p>
    <w:p>
      <w:pPr>
        <w:pStyle w:val="Compact"/>
        <w:numPr>
          <w:ilvl w:val="0"/>
          <w:numId w:val="1022"/>
        </w:numPr>
      </w:pPr>
      <w:r>
        <w:t xml:space="preserve">FNE-CI passé de levier d’acquisition à contributeur de marge mesurable.</w:t>
      </w:r>
    </w:p>
    <w:p>
      <w:r>
        <w:pict>
          <v:rect style="width:0;height:1.5pt" o:hralign="center" o:hrstd="t" o:hr="t"/>
        </w:pict>
      </w:r>
    </w:p>
    <w:bookmarkEnd w:id="66"/>
    <w:bookmarkEnd w:id="67"/>
    <w:bookmarkStart w:id="68" w:name="Xe6509dc0747301ff6b7b75363150a0715c424aa"/>
    <w:p>
      <w:pPr>
        <w:pStyle w:val="Heading2"/>
      </w:pPr>
      <w:r>
        <w:t xml:space="preserve">12. Les 10 erreurs de revenu à ne jamais commettre</w:t>
      </w:r>
    </w:p>
    <w:p>
      <w:pPr>
        <w:pStyle w:val="Compact"/>
        <w:numPr>
          <w:ilvl w:val="0"/>
          <w:numId w:val="1023"/>
        </w:numPr>
      </w:pPr>
      <w:r>
        <w:rPr>
          <w:b/>
          <w:bCs/>
        </w:rPr>
        <w:t xml:space="preserve">Forecaster sur du GMV non livré.</w:t>
      </w:r>
      <w:r>
        <w:t xml:space="preserve"> </w:t>
      </w:r>
      <w:r>
        <w:t xml:space="preserve">Le revenu, c’est la pièce remise et encaissée, pas la commande passée.</w:t>
      </w:r>
    </w:p>
    <w:p>
      <w:pPr>
        <w:pStyle w:val="Compact"/>
        <w:numPr>
          <w:ilvl w:val="0"/>
          <w:numId w:val="1023"/>
        </w:numPr>
      </w:pPr>
      <w:r>
        <w:rPr>
          <w:b/>
          <w:bCs/>
        </w:rPr>
        <w:t xml:space="preserve">Brader la take rate ou les abonnements en early-stage.</w:t>
      </w:r>
      <w:r>
        <w:t xml:space="preserve"> </w:t>
      </w:r>
      <w:r>
        <w:t xml:space="preserve">Le prix le plus dur à remonter est celui qu’on a baissé.</w:t>
      </w:r>
    </w:p>
    <w:p>
      <w:pPr>
        <w:pStyle w:val="Compact"/>
        <w:numPr>
          <w:ilvl w:val="0"/>
          <w:numId w:val="1023"/>
        </w:numPr>
      </w:pPr>
      <w:r>
        <w:rPr>
          <w:b/>
          <w:bCs/>
        </w:rPr>
        <w:t xml:space="preserve">Vendre du Pro + sans capacité de livraison prioritaire prouvée.</w:t>
      </w:r>
      <w:r>
        <w:t xml:space="preserve"> </w:t>
      </w:r>
      <w:r>
        <w:t xml:space="preserve">Churn garanti, marque abîmée.</w:t>
      </w:r>
    </w:p>
    <w:p>
      <w:pPr>
        <w:pStyle w:val="Compact"/>
        <w:numPr>
          <w:ilvl w:val="0"/>
          <w:numId w:val="1023"/>
        </w:numPr>
      </w:pPr>
      <w:r>
        <w:rPr>
          <w:b/>
          <w:bCs/>
        </w:rPr>
        <w:t xml:space="preserve">Laisser les remises sans gouvernance.</w:t>
      </w:r>
      <w:r>
        <w:t xml:space="preserve"> </w:t>
      </w:r>
      <w:r>
        <w:t xml:space="preserve">La fuite la plus silencieuse et la plus durable.</w:t>
      </w:r>
    </w:p>
    <w:p>
      <w:pPr>
        <w:pStyle w:val="Compact"/>
        <w:numPr>
          <w:ilvl w:val="0"/>
          <w:numId w:val="1023"/>
        </w:numPr>
      </w:pPr>
      <w:r>
        <w:rPr>
          <w:b/>
          <w:bCs/>
        </w:rPr>
        <w:t xml:space="preserve">Payer les AE sur le signé sans clawback.</w:t>
      </w:r>
      <w:r>
        <w:t xml:space="preserve"> </w:t>
      </w:r>
      <w:r>
        <w:t xml:space="preserve">Tu achètes du churn et de la vente forcée.</w:t>
      </w:r>
    </w:p>
    <w:p>
      <w:pPr>
        <w:pStyle w:val="Compact"/>
        <w:numPr>
          <w:ilvl w:val="0"/>
          <w:numId w:val="1023"/>
        </w:numPr>
      </w:pPr>
      <w:r>
        <w:rPr>
          <w:b/>
          <w:bCs/>
        </w:rPr>
        <w:t xml:space="preserve">Ignorer le leakage hors-plateforme.</w:t>
      </w:r>
      <w:r>
        <w:t xml:space="preserve"> </w:t>
      </w:r>
      <w:r>
        <w:t xml:space="preserve">C’est la mort lente de toute marketplace.</w:t>
      </w:r>
    </w:p>
    <w:p>
      <w:pPr>
        <w:pStyle w:val="Compact"/>
        <w:numPr>
          <w:ilvl w:val="0"/>
          <w:numId w:val="1023"/>
        </w:numPr>
      </w:pPr>
      <w:r>
        <w:rPr>
          <w:b/>
          <w:bCs/>
        </w:rPr>
        <w:t xml:space="preserve">Confondre acquisition et revenu.</w:t>
      </w:r>
      <w:r>
        <w:t xml:space="preserve"> </w:t>
      </w:r>
      <w:r>
        <w:t xml:space="preserve">L’expansion et la rétention sont le revenu le moins cher — les négliger, c’est laisser l’argent facile.</w:t>
      </w:r>
    </w:p>
    <w:p>
      <w:pPr>
        <w:pStyle w:val="Compact"/>
        <w:numPr>
          <w:ilvl w:val="0"/>
          <w:numId w:val="1023"/>
        </w:numPr>
      </w:pPr>
      <w:r>
        <w:rPr>
          <w:b/>
          <w:bCs/>
        </w:rPr>
        <w:t xml:space="preserve">Surfacturer la FNE-CI au début.</w:t>
      </w:r>
      <w:r>
        <w:t xml:space="preserve"> </w:t>
      </w:r>
      <w:r>
        <w:t xml:space="preserve">C’est un cheval de Troie d’acquisition fiscale, pas un centre de profit immédiat.</w:t>
      </w:r>
    </w:p>
    <w:p>
      <w:pPr>
        <w:pStyle w:val="Compact"/>
        <w:numPr>
          <w:ilvl w:val="0"/>
          <w:numId w:val="1023"/>
        </w:numPr>
      </w:pPr>
      <w:r>
        <w:rPr>
          <w:b/>
          <w:bCs/>
        </w:rPr>
        <w:t xml:space="preserve">Empiler des pilotes non tarifés sans date de fin ni mesure de conversion.</w:t>
      </w:r>
      <w:r>
        <w:t xml:space="preserve"> </w:t>
      </w:r>
      <w:r>
        <w:t xml:space="preserve">Un pilote sans bascule contractuelle est une remise déguisée infinie.</w:t>
      </w:r>
    </w:p>
    <w:p>
      <w:pPr>
        <w:pStyle w:val="Compact"/>
        <w:numPr>
          <w:ilvl w:val="0"/>
          <w:numId w:val="1023"/>
        </w:numPr>
      </w:pPr>
      <w:r>
        <w:rPr>
          <w:b/>
          <w:bCs/>
        </w:rPr>
        <w:t xml:space="preserve">Piloter un seul flux.</w:t>
      </w:r>
      <w:r>
        <w:t xml:space="preserve"> </w:t>
      </w:r>
      <w:r>
        <w:t xml:space="preserve">Optimiser la commission en cassant le récurrent (ou l’inverse) détruit la valeur. Le CRO arbitre les trois ensemble.</w:t>
      </w:r>
    </w:p>
    <w:p>
      <w:r>
        <w:pict>
          <v:rect style="width:0;height:1.5pt" o:hralign="center" o:hrstd="t" o:hr="t"/>
        </w:pict>
      </w:r>
    </w:p>
    <w:bookmarkEnd w:id="68"/>
    <w:bookmarkStart w:id="69" w:name="X8547c11d56a298ebeb4e128a812a74787b56b37"/>
    <w:p>
      <w:pPr>
        <w:pStyle w:val="Heading2"/>
      </w:pPr>
      <w:r>
        <w:t xml:space="preserve">13. Conclusion — pourquoi le CRO fait la différence</w:t>
      </w:r>
    </w:p>
    <w:p>
      <w:pPr>
        <w:pStyle w:val="FirstParagraph"/>
      </w:pPr>
      <w:r>
        <w:t xml:space="preserve">Le CEO a raison sur le marché : il est gigantesque, fragmenté, mal servi, et la fenêtre est ouverte. Le CTO peut construire l’instrument. Mais</w:t>
      </w:r>
      <w:r>
        <w:t xml:space="preserve"> </w:t>
      </w:r>
      <w:r>
        <w:rPr>
          <w:b/>
          <w:bCs/>
        </w:rPr>
        <w:t xml:space="preserve">un marché énorme et un bon produit ne font pas une entreprise</w:t>
      </w:r>
      <w:r>
        <w:t xml:space="preserve"> </w:t>
      </w:r>
      <w:r>
        <w:t xml:space="preserve">— c’est la machine de revenu qui les transforme en valeur.</w:t>
      </w:r>
    </w:p>
    <w:p>
      <w:pPr>
        <w:pStyle w:val="BodyText"/>
      </w:pPr>
      <w:r>
        <w:t xml:space="preserve">Le travail du CRO est de rendre le revenu de Pièces</w:t>
      </w:r>
      <w:r>
        <w:t xml:space="preserve"> </w:t>
      </w:r>
      <w:r>
        <w:rPr>
          <w:b/>
          <w:bCs/>
        </w:rPr>
        <w:t xml:space="preserve">prévisible, croissant et défendable</w:t>
      </w:r>
      <w:r>
        <w:t xml:space="preserve"> </w:t>
      </w:r>
      <w:r>
        <w:t xml:space="preserve">:</w:t>
      </w:r>
      <w:r>
        <w:t xml:space="preserve"> </w:t>
      </w:r>
      <w:r>
        <w:t xml:space="preserve">-</w:t>
      </w:r>
      <w:r>
        <w:t xml:space="preserve"> </w:t>
      </w:r>
      <w:r>
        <w:rPr>
          <w:b/>
          <w:bCs/>
        </w:rPr>
        <w:t xml:space="preserve">Prévisible</w:t>
      </w:r>
      <w:r>
        <w:t xml:space="preserve"> </w:t>
      </w:r>
      <w:r>
        <w:t xml:space="preserve">par la discipline du forecast, du pipeline et de la donnée.</w:t>
      </w:r>
      <w:r>
        <w:t xml:space="preserve"> </w:t>
      </w:r>
      <w:r>
        <w:t xml:space="preserve">-</w:t>
      </w:r>
      <w:r>
        <w:t xml:space="preserve"> </w:t>
      </w:r>
      <w:r>
        <w:rPr>
          <w:b/>
          <w:bCs/>
        </w:rPr>
        <w:t xml:space="preserve">Croissant</w:t>
      </w:r>
      <w:r>
        <w:t xml:space="preserve"> </w:t>
      </w:r>
      <w:r>
        <w:t xml:space="preserve">par l’acquisition rentable, l’expansion et la rétention nette.</w:t>
      </w:r>
      <w:r>
        <w:t xml:space="preserve"> </w:t>
      </w:r>
      <w:r>
        <w:t xml:space="preserve">-</w:t>
      </w:r>
      <w:r>
        <w:t xml:space="preserve"> </w:t>
      </w:r>
      <w:r>
        <w:rPr>
          <w:b/>
          <w:bCs/>
        </w:rPr>
        <w:t xml:space="preserve">Défendable</w:t>
      </w:r>
      <w:r>
        <w:t xml:space="preserve"> </w:t>
      </w:r>
      <w:r>
        <w:t xml:space="preserve">par le déplacement vers le récurrent, le combat contre le leakage, et la gouvernance du prix.</w:t>
      </w:r>
    </w:p>
    <w:p>
      <w:pPr>
        <w:pStyle w:val="BodyText"/>
      </w:pPr>
      <w:r>
        <w:t xml:space="preserve">À 36 mois, le succès se lit sur trois nombres :</w:t>
      </w:r>
      <w:r>
        <w:t xml:space="preserve"> </w:t>
      </w:r>
      <w:r>
        <w:rPr>
          <w:b/>
          <w:bCs/>
        </w:rPr>
        <w:t xml:space="preserve">revenu net (3–5 Mds F)</w:t>
      </w:r>
      <w:r>
        <w:t xml:space="preserve">,</w:t>
      </w:r>
      <w:r>
        <w:t xml:space="preserve"> </w:t>
      </w:r>
      <w:r>
        <w:rPr>
          <w:b/>
          <w:bCs/>
        </w:rPr>
        <w:t xml:space="preserve">part de récurrent (≥ 50%)</w:t>
      </w:r>
      <w:r>
        <w:t xml:space="preserve">,</w:t>
      </w:r>
      <w:r>
        <w:t xml:space="preserve"> </w:t>
      </w:r>
      <w:r>
        <w:rPr>
          <w:b/>
          <w:bCs/>
        </w:rPr>
        <w:t xml:space="preserve">NRR (&gt; 115%)</w:t>
      </w:r>
      <w:r>
        <w:t xml:space="preserve">. Si ces trois sont verts, Pièces n’est pas une marketplace prometteuse — c’est une entreprise qui se valorise.</w:t>
      </w:r>
    </w:p>
    <w:p>
      <w:pPr>
        <w:pStyle w:val="BodyText"/>
      </w:pPr>
      <w:r>
        <w:t xml:space="preserve">Le reste — marché, produit, ops, finance — est dans la CEO Bible, la CTO Bible, DESIGN.md, et les brochures commerciales (</w:t>
      </w:r>
      <w:r>
        <w:rPr>
          <w:rStyle w:val="VerbatimChar"/>
        </w:rPr>
        <w:t xml:space="preserve">brochure-commerciale-pieces</w:t>
      </w:r>
      <w:r>
        <w:t xml:space="preserve">,</w:t>
      </w:r>
      <w:r>
        <w:t xml:space="preserve"> </w:t>
      </w:r>
      <w:r>
        <w:rPr>
          <w:rStyle w:val="VerbatimChar"/>
        </w:rPr>
        <w:t xml:space="preserve">brochure-commerciale-entreprises-2026-06-03</w:t>
      </w:r>
      <w:r>
        <w:t xml:space="preserve">,</w:t>
      </w:r>
      <w:r>
        <w:t xml:space="preserve"> </w:t>
      </w:r>
      <w:r>
        <w:rPr>
          <w:rStyle w:val="VerbatimChar"/>
        </w:rPr>
        <w:t xml:space="preserve">brochure-vtc-grand-compte-2026-05</w:t>
      </w:r>
      <w:r>
        <w:t xml:space="preserve">,</w:t>
      </w:r>
      <w:r>
        <w:t xml:space="preserve"> </w:t>
      </w:r>
      <w:r>
        <w:rPr>
          <w:rStyle w:val="VerbatimChar"/>
        </w:rPr>
        <w:t xml:space="preserve">brochure-btp-grand-compte-2026-05</w:t>
      </w:r>
      <w:r>
        <w:t xml:space="preserve">,</w:t>
      </w:r>
      <w:r>
        <w:t xml:space="preserve"> </w:t>
      </w:r>
      <w:r>
        <w:rPr>
          <w:rStyle w:val="VerbatimChar"/>
        </w:rPr>
        <w:t xml:space="preserve">offre-vtc-6000-vehicules-2026-05</w:t>
      </w:r>
      <w:r>
        <w:t xml:space="preserve">,</w:t>
      </w:r>
      <w:r>
        <w:t xml:space="preserve"> </w:t>
      </w:r>
      <w:r>
        <w:rPr>
          <w:rStyle w:val="VerbatimChar"/>
        </w:rPr>
        <w:t xml:space="preserve">offre-btp-800-vehicules-2026-05</w:t>
      </w:r>
      <w:r>
        <w:t xml:space="preserve">,</w:t>
      </w:r>
      <w:r>
        <w:t xml:space="preserve"> </w:t>
      </w:r>
      <w:r>
        <w:rPr>
          <w:rStyle w:val="VerbatimChar"/>
        </w:rPr>
        <w:t xml:space="preserve">pricing-flotte-2026-05-27</w:t>
      </w:r>
      <w:r>
        <w:t xml:space="preserve">).</w:t>
      </w:r>
    </w:p>
    <w:p>
      <w:pPr>
        <w:pStyle w:val="BodyText"/>
      </w:pPr>
      <w:r>
        <w:rPr>
          <w:b/>
          <w:bCs/>
        </w:rPr>
        <w:t xml:space="preserve">Lis-les. Puis encaisse.</w:t>
      </w:r>
    </w:p>
    <w:p>
      <w:r>
        <w:pict>
          <v:rect style="width:0;height:1.5pt" o:hralign="center" o:hrstd="t" o:hr="t"/>
        </w:pict>
      </w:r>
    </w:p>
    <w:p>
      <w:pPr>
        <w:pStyle w:val="FirstParagraph"/>
      </w:pPr>
      <w:r>
        <w:rPr>
          <w:i/>
          <w:iCs/>
        </w:rPr>
        <w:t xml:space="preserve">Pièces — la pièce qu’il te faut, au juste prix, livrée et garantie.</w:t>
      </w:r>
      <w:r>
        <w:t xml:space="preserve"> </w:t>
      </w:r>
      <w:r>
        <w:rPr>
          <w:i/>
          <w:iCs/>
        </w:rPr>
        <w:t xml:space="preserve">Document interne · Handover CRO · v1.0 · 28 mai 2026.</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DESIGN.md" TargetMode="External" /><Relationship Type="http://schemas.openxmlformats.org/officeDocument/2006/relationships/hyperlink" Id="rId20" Target="CEO_BIBLE.md" TargetMode="External" /><Relationship Type="http://schemas.openxmlformats.org/officeDocument/2006/relationships/hyperlink" Id="rId21" Target="CTO_BIBLE.md" TargetMode="External" /></Relationships>
</file>

<file path=word/_rels/footnotes.xml.rels><?xml version="1.0" encoding="UTF-8"?><Relationships xmlns="http://schemas.openxmlformats.org/package/2006/relationships"><Relationship Type="http://schemas.openxmlformats.org/officeDocument/2006/relationships/hyperlink" Id="rId22" Target="../DESIGN.md" TargetMode="External" /><Relationship Type="http://schemas.openxmlformats.org/officeDocument/2006/relationships/hyperlink" Id="rId20" Target="CEO_BIBLE.md" TargetMode="External" /><Relationship Type="http://schemas.openxmlformats.org/officeDocument/2006/relationships/hyperlink" Id="rId21" Target="CTO_BIBL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2026-09-18T17:33:49Z</dcterms:created>
  <dcterms:modified xsi:type="dcterms:W3CDTF">2026-09-18T17:33:49Z</dcterms:modified>
</cp:coreProperties>
</file>

<file path=docProps/custom.xml><?xml version="1.0" encoding="utf-8"?>
<Properties xmlns="http://schemas.openxmlformats.org/officeDocument/2006/custom-properties" xmlns:vt="http://schemas.openxmlformats.org/officeDocument/2006/docPropsVTypes"/>
</file>