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: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,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: le mécanicien identifie la pièce (recherche, photo IA, VIN),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affiché,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assurent le pilotage du coût total de possession, la détection des véhicules « gouffres », les alertes d'entretien, la livraison express, la facturation consolidée et la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: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douve, c'est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paiement à la livraison,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Pre-seed de ~1 M EUR (≈ 655 M FCFA)</w:t>
      </w:r>
      <w:r>
        <w:t xml:space="preserve"> </w:t>
      </w:r>
      <w:r>
        <w:t xml:space="preserve">pour financer 18 à 20 mois d'exécution : verrouiller le catalogue de 90 % des pièces du marché, prendre la verticale VTC via un partenariat Yango et atteindre les jalons d'un Seed.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principalement informel</w:t>
      </w:r>
      <w:r>
        <w:t xml:space="preserve"> </w:t>
      </w:r>
      <w:r>
        <w:t xml:space="preserve">: quelques acteurs sont en ligne, mais l'immense majorité des vendeurs (magasins d'Adjamé, Yopougon, Marcory) vendent sans catalogue, sans prix affiché et avec des garanties diverses.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: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prix de référence et sans aucune garantie. Le surcoût grandit avec chaque intermédiaire sur la pièce.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25 000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, de l'importateur en gros au détaillant,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source, quel que soit le nombre d'intermédiaires. Les marges opaques s'effondrent et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Garantie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compatibilité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~400-420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~25 000-30 000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5 000-6 000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(</w:t>
      </w:r>
      <w:r>
        <w:rPr>
          <w:b/>
          <w:bCs/>
        </w:rPr>
        <w:t xml:space="preserve">~4 milliards FCFA dépensés par jour en déplacements à Abidjan</w:t>
      </w:r>
      <w:r>
        <w:t xml:space="preserve">)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(15 000-30 000 F/jour). La douleur est aiguë, récurrente et mesurable : idéale pour prouver le ROI, bâtir les cas clients et la base de données de compatibilité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Quatre tendances poussent dans le même sens : la restriction de l'âge des véhicules importés, le rajeunissement du parc, la digitalisation accrue des moyens de paiement et la formalisation fiscale (FNE-CI). L'après-vente automobile se digitalise, et le moment d'entrer, c'est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Sites e-commerce locaux</w:t>
            </w:r>
            <w:r>
              <w:t xml:space="preserve"> </w:t>
            </w:r>
            <w:r>
              <w:t xml:space="preserve">(global-auto, MobriStore, MAPA-CI, EasyPieces, OK Pièces, Lakasse, s-automeca…)</w:t>
            </w:r>
          </w:p>
        </w:tc>
        <w:tc>
          <w:tcPr/>
          <w:p>
            <w:pPr>
              <w:pStyle w:val="Compact"/>
            </w:pPr>
            <w:r>
              <w:t xml:space="preserve">Catalogues web fragmentés et étroits</w:t>
            </w:r>
          </w:p>
        </w:tc>
        <w:tc>
          <w:tcPr/>
          <w:p>
            <w:pPr>
              <w:pStyle w:val="Compact"/>
            </w:pPr>
            <w:r>
              <w:t xml:space="preserve">Catalogues miroités ; nous agrégeons et normalisons tout le marché, eux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24-36 mois</w:t>
            </w:r>
          </w:p>
        </w:tc>
        <w:tc>
          <w:tcPr/>
          <w:p>
            <w:pPr>
              <w:pStyle w:val="Compact"/>
            </w:pPr>
            <w:r>
              <w:t xml:space="preserve">Avance terrain + compatibilité des données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t xml:space="preserve">Notre cartographie terrain et technique de juin 2026 recense</w:t>
      </w:r>
      <w:r>
        <w:t xml:space="preserve"> </w:t>
      </w:r>
      <w:r>
        <w:rPr>
          <w:b/>
          <w:bCs/>
        </w:rPr>
        <w:t xml:space="preserve">plus d'une dizaine de sites locaux</w:t>
      </w:r>
      <w:r>
        <w:t xml:space="preserve"> </w:t>
      </w:r>
      <w:r>
        <w:t xml:space="preserve">(EasyPieces, OK Pièces Auto, MAPA-CI, General Auto Parts, MobriStore, Lakasse, s-automeca, global-auto…). Aucun ne combine largeur de catalogue, prix affichés et compatibilité véhicule : Lakasse expose 21 références, s-automeca affiche 11 750 produits mais</w:t>
      </w:r>
      <w:r>
        <w:t xml:space="preserve"> </w:t>
      </w:r>
      <w:r>
        <w:rPr>
          <w:b/>
          <w:bCs/>
        </w:rPr>
        <w:t xml:space="preserve">sans prix</w:t>
      </w:r>
      <w:r>
        <w:t xml:space="preserve"> </w:t>
      </w:r>
      <w:r>
        <w:t xml:space="preserve">(sur demande), et la plupart n'ont ni API ni catalogue structuré. Le marché reste entièrement à agréger.</w:t>
      </w:r>
    </w:p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et la cartographie de la chaîne</w:t>
      </w:r>
      <w:r>
        <w:t xml:space="preserve"> </w:t>
      </w:r>
      <w:r>
        <w:t xml:space="preserve">: des agents terrain qui recensent et digitalisent tous les acteurs (importateurs en gros jusqu'aux détaillants, formels comme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compatibilité des données Côte d'Ivoire</w:t>
      </w:r>
      <w:r>
        <w:t xml:space="preserve"> </w:t>
      </w:r>
      <w:r>
        <w:t xml:space="preserve">: quelle pièce va sur quel véhicule local.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paiement à la livraison et la garantie Pièces</w:t>
      </w:r>
      <w:r>
        <w:t xml:space="preserve"> </w:t>
      </w:r>
      <w:r>
        <w:t xml:space="preserve">: de la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: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7-15 %, prélevée au moment du paiement par l'acheteur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25 000-60 000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M0-6, verrouiller les principaux vendeurs</w:t>
      </w:r>
      <w:r>
        <w:t xml:space="preserve"> </w:t>
      </w:r>
      <w:r>
        <w:t xml:space="preserve">: 85 à 90 % des pièces du marché enregistrées, 20 Liaisons, 300 vendeurs onboardés,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M3-12, prendre le VTC</w:t>
      </w:r>
      <w:r>
        <w:t xml:space="preserve"> </w:t>
      </w:r>
      <w:r>
        <w:t xml:space="preserve">: partenariat Yango (pilote 200 conducteurs gratuits 3 mois, puis déploiement de masse), Heetch en parallèle, démarchage des flottes indépendantes (5 à 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M6-15, devenir le standard FNE-CI</w:t>
      </w:r>
      <w:r>
        <w:t xml:space="preserve"> </w:t>
      </w:r>
      <w:r>
        <w:t xml:space="preserve">: intégration DGI, vente directe aux DAF (« nous vous aidons à récupérer la TVA que vous perdez aujourd'hui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M12-18,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M18-24, sortir d'Abidjan</w:t>
      </w:r>
      <w:r>
        <w:t xml:space="preserve"> </w:t>
      </w:r>
      <w:r>
        <w:t xml:space="preserve">: Bouaké, San Pedro, puis un pilote sous-régional (Dakar/Cotonou).</w:t>
      </w:r>
    </w:p>
    <w:p>
      <w:pPr>
        <w:pStyle w:val="FirstParagraph"/>
      </w:pPr>
      <w:r>
        <w:t xml:space="preserve">Canaux d'acquisition : commerciaux, Liaison terrain, réseaux sociaux, télé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EUR ≈ 656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: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20 mois</w:t>
      </w:r>
      <w:r>
        <w:t xml:space="preserve"> </w:t>
      </w:r>
      <w:r>
        <w:t xml:space="preserve">d'exécution jusqu'aux jalons d'un Seed.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M0-6 (build + Adjamé)</w:t>
            </w:r>
          </w:p>
        </w:tc>
        <w:tc>
          <w:tcPr/>
          <w:p>
            <w:pPr>
              <w:pStyle w:val="Compact"/>
            </w:pPr>
            <w:r>
              <w:t xml:space="preserve">M7-12 (VTC + monétisation)</w:t>
            </w:r>
          </w:p>
        </w:tc>
        <w:tc>
          <w:tcPr/>
          <w:p>
            <w:pPr>
              <w:pStyle w:val="Compact"/>
            </w:pPr>
            <w:r>
              <w:t xml:space="preserve">M13-18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~0-5 M</w:t>
            </w:r>
          </w:p>
        </w:tc>
      </w:tr>
    </w:tbl>
    <w:p>
      <w:pPr>
        <w:pStyle w:val="BodyText"/>
      </w:pPr>
      <w:r>
        <w:t xml:space="preserve">Burn net opérationnel cumulé M0-18 ≈</w:t>
      </w:r>
      <w:r>
        <w:t xml:space="preserve"> </w:t>
      </w:r>
      <w:r>
        <w:rPr>
          <w:b/>
          <w:bCs/>
        </w:rPr>
        <w:t xml:space="preserve">300-350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~100-150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(~150-200 M F) et une réserve de préparation du tour Seed.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~0,7 M EUR (460 M F)</w:t>
            </w:r>
          </w:p>
        </w:tc>
        <w:tc>
          <w:tcPr/>
          <w:p>
            <w:pPr>
              <w:pStyle w:val="Compact"/>
            </w:pPr>
            <w:r>
              <w:t xml:space="preserve">~12-14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~1,0 M EUR (655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~18-20 mois</w:t>
            </w:r>
          </w:p>
        </w:tc>
        <w:tc>
          <w:tcPr/>
          <w:p>
            <w:pPr>
              <w:pStyle w:val="Compact"/>
            </w:pPr>
            <w:r>
              <w:t xml:space="preserve">Atteint les jalons du Seed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~1,3 M EUR (850 M F)</w:t>
            </w:r>
          </w:p>
        </w:tc>
        <w:tc>
          <w:tcPr/>
          <w:p>
            <w:pPr>
              <w:pStyle w:val="Compact"/>
            </w:pPr>
            <w:r>
              <w:t xml:space="preserve">~22-24 mois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3ba7c3dd3c70aea23865fae0f74858999d5f866"/>
    <w:p>
      <w:pPr>
        <w:pStyle w:val="Heading3"/>
      </w:pPr>
      <w:r>
        <w:t xml:space="preserve">9.3 Emploi des fonds (scénario recommandé, 655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195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</w:tbl>
    <w:bookmarkEnd w:id="22"/>
    <w:bookmarkStart w:id="23" w:name="X7573fb0b7e799144dc698ef2cf9361c4547125b"/>
    <w:p>
      <w:pPr>
        <w:pStyle w:val="Heading3"/>
      </w:pPr>
      <w:r>
        <w:t xml:space="preserve">9.4 Jalons débloqués (conditions du Seed)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 4-6 M EUR</w:t>
      </w:r>
      <w:r>
        <w:t xml:space="preserve"> </w:t>
      </w:r>
      <w:r>
        <w:t xml:space="preserve">visé à M15-18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M0-M3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compatibilité des données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Encaissement à la livraison (impayé, client absent)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Confirmation de commande avant départ du livreur, acompte sur grosses pièces, encaissement cash ou Mobile Money à la remise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Seed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la digitalisation des vendeurs de pièces détachées ; personne n'a la conformité FNE-CI native ni la base de compatibilité Côte d'Ivoire que nous construisons transaction par transaction. Ces trois éléments (</w:t>
      </w:r>
      <w:r>
        <w:rPr>
          <w:b/>
          <w:bCs/>
        </w:rPr>
        <w:t xml:space="preserve">demande, offre, conformité</w:t>
      </w:r>
      <w:r>
        <w:t xml:space="preserve">)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: la pièce qu'il te faut, au juste prix, livrée et garantie. · Document interne confidentiel · Plan d'affaires v1.3 · Juin 2026.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2026-06-07T15:39:56Z</dcterms:created>
  <dcterms:modified xsi:type="dcterms:W3CDTF">2026-06-07T15:39:56Z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