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Recherche Domaine — Pièces</w:t>
      </w:r>
    </w:p>
    <w:p>
      <w:r>
        <w:rPr>
          <w:b/>
        </w:rPr>
        <w:t>Projet :</w:t>
      </w:r>
      <w:r>
        <w:t xml:space="preserve"> Pièces — Marketplace de pièces détachées automobiles (neuves &amp; occasion)</w:t>
      </w:r>
    </w:p>
    <w:p>
      <w:r>
        <w:rPr>
          <w:b/>
        </w:rPr>
        <w:t>Marché cible :</w:t>
      </w:r>
      <w:r>
        <w:t xml:space="preserve"> Côte d'Ivoire, puis Afrique de l'Ouest (CEDEAO)</w:t>
      </w:r>
    </w:p>
    <w:p>
      <w:r>
        <w:rPr>
          <w:b/>
        </w:rPr>
        <w:t>Date :</w:t>
      </w:r>
      <w:r>
        <w:t xml:space="preserve"> 27 février 2026</w:t>
      </w:r>
    </w:p>
    <w:p>
      <w:pPr>
        <w:pStyle w:val="Heading1"/>
      </w:pPr>
      <w:r>
        <w:t>1. Industrie des Pièces Détachées Automobiles en Afrique</w:t>
      </w:r>
    </w:p>
    <w:p>
      <w:pPr>
        <w:pStyle w:val="Heading2"/>
      </w:pPr>
      <w:r>
        <w:t>1.1 Structure de l'industrie globale</w:t>
      </w:r>
    </w:p>
    <w:p>
      <w:r>
        <w:t xml:space="preserve">L'aftermarket automobile mondial est un écosystème de </w:t>
      </w:r>
      <w:r>
        <w:rPr>
          <w:b/>
        </w:rPr>
        <w:t>400+ Mds USD</w:t>
      </w:r>
      <w:r>
        <w:t xml:space="preserve"> structuré en trois segments :</w:t>
      </w:r>
    </w:p>
    <w:p>
      <w:pPr>
        <w:pStyle w:val="ListBullet"/>
      </w:pPr>
      <w:r>
        <w:rPr>
          <w:b/>
        </w:rPr>
        <w:t>Pièces OEM</w:t>
      </w:r>
      <w:r>
        <w:t xml:space="preserve"> (Original Equipment Manufacturer) — vendues par les constructeurs/concessionnaires</w:t>
      </w:r>
    </w:p>
    <w:p>
      <w:pPr>
        <w:pStyle w:val="ListBullet"/>
      </w:pPr>
      <w:r>
        <w:rPr>
          <w:b/>
        </w:rPr>
        <w:t>Pièces aftermarket</w:t>
      </w:r>
      <w:r>
        <w:t xml:space="preserve"> — fabriquées par des tiers, compatibles avec les véhicules</w:t>
      </w:r>
    </w:p>
    <w:p>
      <w:pPr>
        <w:pStyle w:val="ListBullet"/>
      </w:pPr>
      <w:r>
        <w:rPr>
          <w:b/>
        </w:rPr>
        <w:t>Pièces d'occasion</w:t>
      </w:r>
      <w:r>
        <w:t xml:space="preserve"> — récupérées de véhicules en fin de vie (casses automobiles)</w:t>
      </w:r>
    </w:p>
    <w:p>
      <w:r>
        <w:t>En Afrique, la répartition est radicalement différente des marchés développés :</w:t>
      </w:r>
    </w:p>
    <w:p>
      <w:pPr>
        <w:pStyle w:val="ListBullet"/>
      </w:pPr>
      <w:r>
        <w:rPr>
          <w:b/>
        </w:rPr>
        <w:t>Pièces d'occasion importées</w:t>
      </w:r>
      <w:r>
        <w:t xml:space="preserve"> : 40-50% du marché (casses européennes)</w:t>
      </w:r>
    </w:p>
    <w:p>
      <w:pPr>
        <w:pStyle w:val="ListBullet"/>
      </w:pPr>
      <w:r>
        <w:rPr>
          <w:b/>
        </w:rPr>
        <w:t>Pièces aftermarket (Chine/Inde/Turquie)</w:t>
      </w:r>
      <w:r>
        <w:t xml:space="preserve"> : 30-40%</w:t>
      </w:r>
    </w:p>
    <w:p>
      <w:pPr>
        <w:pStyle w:val="ListBullet"/>
      </w:pPr>
      <w:r>
        <w:rPr>
          <w:b/>
        </w:rPr>
        <w:t>Pièces OEM</w:t>
      </w:r>
      <w:r>
        <w:t xml:space="preserve"> : 10-15% (uniquement via concessionnaires)</w:t>
      </w:r>
    </w:p>
    <w:p>
      <w:pPr>
        <w:pStyle w:val="ListBullet"/>
      </w:pPr>
      <w:r>
        <w:rPr>
          <w:b/>
        </w:rPr>
        <w:t>Pièces refabriquées localement</w:t>
      </w:r>
      <w:r>
        <w:t xml:space="preserve"> : 5-10%</w:t>
      </w:r>
    </w:p>
    <w:p>
      <w:pPr>
        <w:pStyle w:val="Heading2"/>
      </w:pPr>
      <w:r>
        <w:t>1.2 Tendances mondiales de l'aftermarket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Tendance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 sur l'Afrique</w:t>
            </w:r>
          </w:p>
        </w:tc>
      </w:tr>
      <w:tr>
        <w:tc>
          <w:tcPr>
            <w:tcW w:type="dxa" w:w="4320"/>
          </w:tcPr>
          <w:p>
            <w:r>
              <w:t>Digitalisation (e-commerce auto parts)</w:t>
            </w:r>
          </w:p>
        </w:tc>
        <w:tc>
          <w:tcPr>
            <w:tcW w:type="dxa" w:w="4320"/>
          </w:tcPr>
          <w:p>
            <w:r>
              <w:t>Retard massif — &lt;1% des transactions sont digitales en Afrique de l'Ouest</w:t>
            </w:r>
          </w:p>
        </w:tc>
      </w:tr>
      <w:tr>
        <w:tc>
          <w:tcPr>
            <w:tcW w:type="dxa" w:w="4320"/>
          </w:tcPr>
          <w:p>
            <w:r>
              <w:t>Données véhicule connecté (OBD-II)</w:t>
            </w:r>
          </w:p>
        </w:tc>
        <w:tc>
          <w:tcPr>
            <w:tcW w:type="dxa" w:w="4320"/>
          </w:tcPr>
          <w:p>
            <w:r>
              <w:t>Non applicable — parc trop ancien</w:t>
            </w:r>
          </w:p>
        </w:tc>
      </w:tr>
      <w:tr>
        <w:tc>
          <w:tcPr>
            <w:tcW w:type="dxa" w:w="4320"/>
          </w:tcPr>
          <w:p>
            <w:r>
              <w:t>Impression 3D de pièces</w:t>
            </w:r>
          </w:p>
        </w:tc>
        <w:tc>
          <w:tcPr>
            <w:tcW w:type="dxa" w:w="4320"/>
          </w:tcPr>
          <w:p>
            <w:r>
              <w:t>Émergent, pas encore viable en Afrique</w:t>
            </w:r>
          </w:p>
        </w:tc>
      </w:tr>
      <w:tr>
        <w:tc>
          <w:tcPr>
            <w:tcW w:type="dxa" w:w="4320"/>
          </w:tcPr>
          <w:p>
            <w:r>
              <w:t>Consolidation des distributeurs</w:t>
            </w:r>
          </w:p>
        </w:tc>
        <w:tc>
          <w:tcPr>
            <w:tcW w:type="dxa" w:w="4320"/>
          </w:tcPr>
          <w:p>
            <w:r>
              <w:t>Pas encore commencé en Afrique francophone</w:t>
            </w:r>
          </w:p>
        </w:tc>
      </w:tr>
      <w:tr>
        <w:tc>
          <w:tcPr>
            <w:tcW w:type="dxa" w:w="4320"/>
          </w:tcPr>
          <w:p>
            <w:r>
              <w:t>IA et search visuel</w:t>
            </w:r>
          </w:p>
        </w:tc>
        <w:tc>
          <w:tcPr>
            <w:tcW w:type="dxa" w:w="4320"/>
          </w:tcPr>
          <w:p>
            <w:r>
              <w:t>Opportunité majeure — résout le problème des références manquantes</w:t>
            </w:r>
          </w:p>
        </w:tc>
      </w:tr>
      <w:tr>
        <w:tc>
          <w:tcPr>
            <w:tcW w:type="dxa" w:w="4320"/>
          </w:tcPr>
          <w:p>
            <w:r>
              <w:t>Marketplaces B2B spécialisées</w:t>
            </w:r>
          </w:p>
        </w:tc>
        <w:tc>
          <w:tcPr>
            <w:tcW w:type="dxa" w:w="4320"/>
          </w:tcPr>
          <w:p>
            <w:r>
              <w:t>Quelques tentatives (Garage/YC) mais aucune n'a tenu</w:t>
            </w:r>
          </w:p>
        </w:tc>
      </w:tr>
    </w:tbl>
    <w:p/>
    <w:p>
      <w:pPr>
        <w:pStyle w:val="Heading2"/>
      </w:pPr>
      <w:r>
        <w:t>1.3 Digitalisation : Afrique vs reste du monde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Europe/USA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Afrique de l'Ouest</w:t>
            </w:r>
          </w:p>
        </w:tc>
      </w:tr>
      <w:tr>
        <w:tc>
          <w:tcPr>
            <w:tcW w:type="dxa" w:w="2880"/>
          </w:tcPr>
          <w:p>
            <w:r>
              <w:t>% ventes en ligne pièces auto</w:t>
            </w:r>
          </w:p>
        </w:tc>
        <w:tc>
          <w:tcPr>
            <w:tcW w:type="dxa" w:w="2880"/>
          </w:tcPr>
          <w:p>
            <w:r>
              <w:t>15-25%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</w:tr>
      <w:tr>
        <w:tc>
          <w:tcPr>
            <w:tcW w:type="dxa" w:w="2880"/>
          </w:tcPr>
          <w:p>
            <w:r>
              <w:t>Catalogues digitaux vendeurs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Quasi inexistants</w:t>
            </w:r>
          </w:p>
        </w:tc>
      </w:tr>
      <w:tr>
        <w:tc>
          <w:tcPr>
            <w:tcW w:type="dxa" w:w="2880"/>
          </w:tcPr>
          <w:p>
            <w:r>
              <w:t>Recherche par référence/VIN</w:t>
            </w:r>
          </w:p>
        </w:tc>
        <w:tc>
          <w:tcPr>
            <w:tcW w:type="dxa" w:w="2880"/>
          </w:tcPr>
          <w:p>
            <w:r>
              <w:t>Généralisée</w:t>
            </w:r>
          </w:p>
        </w:tc>
        <w:tc>
          <w:tcPr>
            <w:tcW w:type="dxa" w:w="2880"/>
          </w:tcPr>
          <w:p>
            <w:r>
              <w:t>Impossible (pas de références)</w:t>
            </w:r>
          </w:p>
        </w:tc>
      </w:tr>
      <w:tr>
        <w:tc>
          <w:tcPr>
            <w:tcW w:type="dxa" w:w="2880"/>
          </w:tcPr>
          <w:p>
            <w:r>
              <w:t>Avis et notation vendeurs</w:t>
            </w:r>
          </w:p>
        </w:tc>
        <w:tc>
          <w:tcPr>
            <w:tcW w:type="dxa" w:w="2880"/>
          </w:tcPr>
          <w:p>
            <w:r>
              <w:t>Généralisés</w:t>
            </w:r>
          </w:p>
        </w:tc>
        <w:tc>
          <w:tcPr>
            <w:tcW w:type="dxa" w:w="2880"/>
          </w:tcPr>
          <w:p>
            <w:r>
              <w:t>Inexistants</w:t>
            </w:r>
          </w:p>
        </w:tc>
      </w:tr>
      <w:tr>
        <w:tc>
          <w:tcPr>
            <w:tcW w:type="dxa" w:w="2880"/>
          </w:tcPr>
          <w:p>
            <w:r>
              <w:t>Livraison express</w:t>
            </w:r>
          </w:p>
        </w:tc>
        <w:tc>
          <w:tcPr>
            <w:tcW w:type="dxa" w:w="2880"/>
          </w:tcPr>
          <w:p>
            <w:r>
              <w:t>Standard (24-48h)</w:t>
            </w:r>
          </w:p>
        </w:tc>
        <w:tc>
          <w:tcPr>
            <w:tcW w:type="dxa" w:w="2880"/>
          </w:tcPr>
          <w:p>
            <w:r>
              <w:t>Non structurée</w:t>
            </w:r>
          </w:p>
        </w:tc>
      </w:tr>
    </w:tbl>
    <w:p/>
    <w:p>
      <w:pPr>
        <w:pStyle w:val="Heading1"/>
      </w:pPr>
      <w:r>
        <w:t>2. Chaîne d'Approvisionnement</w:t>
      </w:r>
    </w:p>
    <w:p>
      <w:pPr>
        <w:pStyle w:val="Heading2"/>
      </w:pPr>
      <w:r>
        <w:t>2.1 Circuit d'importation des pièces en CI</w:t>
      </w:r>
    </w:p>
    <w:p>
      <w:pPr>
        <w:pStyle w:val="Heading3"/>
      </w:pPr>
      <w:r>
        <w:t>Depuis l'Europe (pièces d'occasion)</w:t>
      </w:r>
    </w:p>
    <w:p>
      <w:pPr>
        <w:ind w:left="720"/>
      </w:pPr>
      <w:r>
        <w:rPr>
          <w:rFonts w:ascii="Courier New" w:hAnsi="Courier New"/>
          <w:sz w:val="16"/>
        </w:rPr>
        <w:t>CASSE AUTO EUROPE              CONTAINER              PORT ABIDJAN           GROSSISTE ADJAMÉ</w:t>
        <w:br/>
        <w:t>(France, Belgique,              maritime              (San-Pédro)            (distribution locale)</w:t>
        <w:br/>
        <w:t xml:space="preserve"> Pays-Bas, Allemagne)           4-6 semaines</w:t>
        <w:br/>
        <w:t xml:space="preserve">       │                            │                      │                    │</w:t>
        <w:br/>
        <w:t xml:space="preserve">       ├── Achat en lot ───────────►│                      │                    │</w:t>
        <w:br/>
        <w:t xml:space="preserve">       │   (1 container =           ├── Transit ──────────►│                    │</w:t>
        <w:br/>
        <w:t xml:space="preserve">       │    500-2000 pièces)        │                      ├── Dédouanement ──►│</w:t>
        <w:br/>
        <w:t xml:space="preserve">       │   Prix: 3-15€/pièce       │                      │   (15-25% taxes)   │</w:t>
        <w:br/>
        <w:t xml:space="preserve">       │                            │                      │                    │</w:t>
      </w:r>
    </w:p>
    <w:p>
      <w:pPr>
        <w:pStyle w:val="ListBullet"/>
      </w:pPr>
      <w:r>
        <w:rPr>
          <w:b/>
        </w:rPr>
        <w:t>Hub principaux</w:t>
      </w:r>
      <w:r>
        <w:t xml:space="preserve"> : Lyon, Bruxelles, Rotterdam, Hambourg</w:t>
      </w:r>
    </w:p>
    <w:p>
      <w:pPr>
        <w:pStyle w:val="ListBullet"/>
      </w:pPr>
      <w:r>
        <w:rPr>
          <w:b/>
        </w:rPr>
        <w:t>Mode</w:t>
      </w:r>
      <w:r>
        <w:t xml:space="preserve"> : conteneur maritime 20 pieds ou 40 pieds</w:t>
      </w:r>
    </w:p>
    <w:p>
      <w:pPr>
        <w:pStyle w:val="ListBullet"/>
      </w:pPr>
      <w:r>
        <w:rPr>
          <w:b/>
        </w:rPr>
        <w:t>Délai</w:t>
      </w:r>
      <w:r>
        <w:t xml:space="preserve"> : 4-8 semaines (achat + transit + dédouanement)</w:t>
      </w:r>
    </w:p>
    <w:p>
      <w:pPr>
        <w:pStyle w:val="ListBullet"/>
      </w:pPr>
      <w:r>
        <w:rPr>
          <w:b/>
        </w:rPr>
        <w:t>Financement</w:t>
      </w:r>
      <w:r>
        <w:t xml:space="preserve"> : L'importateur avance 100% du capital → risque de stock</w:t>
      </w:r>
    </w:p>
    <w:p>
      <w:pPr>
        <w:pStyle w:val="ListBullet"/>
      </w:pPr>
      <w:r>
        <w:rPr>
          <w:b/>
        </w:rPr>
        <w:t>Tri</w:t>
      </w:r>
      <w:r>
        <w:t xml:space="preserve"> : L'importateur achète souvent en lot sans connaître le détail</w:t>
      </w:r>
    </w:p>
    <w:p>
      <w:pPr>
        <w:pStyle w:val="Heading3"/>
      </w:pPr>
      <w:r>
        <w:t>Depuis l'Asie (pièces neuves aftermarket)</w:t>
      </w:r>
    </w:p>
    <w:p>
      <w:pPr>
        <w:ind w:left="720"/>
      </w:pPr>
      <w:r>
        <w:rPr>
          <w:rFonts w:ascii="Courier New" w:hAnsi="Courier New"/>
          <w:sz w:val="16"/>
        </w:rPr>
        <w:t>FABRICANT CHINE/INDE           CONTAINER              PORT ABIDJAN           DISTRIBUTION</w:t>
        <w:br/>
        <w:t>(Canton, Guangzhou,             maritime              (dédouanement)          (Adjamé, provinces)</w:t>
        <w:br/>
        <w:t xml:space="preserve"> Delhi, Istanbul)               6-10 semaines</w:t>
      </w:r>
    </w:p>
    <w:p>
      <w:pPr>
        <w:pStyle w:val="ListBullet"/>
      </w:pPr>
      <w:r>
        <w:rPr>
          <w:b/>
        </w:rPr>
        <w:t>Origines</w:t>
      </w:r>
      <w:r>
        <w:t xml:space="preserve"> : Chine (Canton, Guangzhou) pour 60-70%, Inde, Turquie</w:t>
      </w:r>
    </w:p>
    <w:p>
      <w:pPr>
        <w:pStyle w:val="ListBullet"/>
      </w:pPr>
      <w:r>
        <w:rPr>
          <w:b/>
        </w:rPr>
        <w:t>Types</w:t>
      </w:r>
      <w:r>
        <w:t xml:space="preserve"> : Filtres, plaquettes, suspensions, embrayages, éclairage</w:t>
      </w:r>
    </w:p>
    <w:p>
      <w:pPr>
        <w:pStyle w:val="ListBullet"/>
      </w:pPr>
      <w:r>
        <w:rPr>
          <w:b/>
        </w:rPr>
        <w:t>Qualité</w:t>
      </w:r>
      <w:r>
        <w:t xml:space="preserve"> : Très variable — de l'excellent au dangereux</w:t>
      </w:r>
    </w:p>
    <w:p>
      <w:pPr>
        <w:pStyle w:val="ListBullet"/>
      </w:pPr>
      <w:r>
        <w:rPr>
          <w:b/>
        </w:rPr>
        <w:t>Croissance</w:t>
      </w:r>
      <w:r>
        <w:t xml:space="preserve"> : +15-20%/an, portée par les véhicules chinois (Changan, BYD)</w:t>
      </w:r>
    </w:p>
    <w:p>
      <w:pPr>
        <w:pStyle w:val="Heading2"/>
      </w:pPr>
      <w:r>
        <w:t>2.2 Rôle des casses automobiles européennes</w:t>
      </w:r>
    </w:p>
    <w:p>
      <w:r>
        <w:t xml:space="preserve">Les casses européennes sont le </w:t>
      </w:r>
      <w:r>
        <w:rPr>
          <w:b/>
        </w:rPr>
        <w:t>premier fournisseur</w:t>
      </w:r>
      <w:r>
        <w:t xml:space="preserve"> de pièces d'occasion pour l'Afrique de l'Ouest :</w:t>
      </w:r>
    </w:p>
    <w:p>
      <w:pPr>
        <w:pStyle w:val="ListBullet"/>
      </w:pPr>
      <w:r>
        <w:t>Réglementation européenne sur le recyclage automobile → flux constant de pièces</w:t>
      </w:r>
    </w:p>
    <w:p>
      <w:pPr>
        <w:pStyle w:val="ListBullet"/>
      </w:pPr>
      <w:r>
        <w:t>Les importateurs ivoiriens se déplacent physiquement en France/Belgique pour acheter</w:t>
      </w:r>
    </w:p>
    <w:p>
      <w:pPr>
        <w:pStyle w:val="ListBullet"/>
      </w:pPr>
      <w:r>
        <w:t>Certains opèrent via des courtiers intermédiaires</w:t>
      </w:r>
    </w:p>
    <w:p>
      <w:pPr>
        <w:pStyle w:val="ListBullet"/>
      </w:pPr>
      <w:r>
        <w:t>Aucune plateforme digitale ne connecte efficacement les casses européennes aux importateurs africains</w:t>
      </w:r>
    </w:p>
    <w:p>
      <w:pPr>
        <w:pStyle w:val="Heading2"/>
      </w:pPr>
      <w:r>
        <w:t>2.3 Circuit des pièces d'occasion locales</w:t>
      </w:r>
    </w:p>
    <w:p>
      <w:r>
        <w:t>En complément de l'import, un marché de pièces récupérées localement existe :</w:t>
      </w:r>
    </w:p>
    <w:p>
      <w:pPr>
        <w:pStyle w:val="ListBullet"/>
      </w:pPr>
      <w:r>
        <w:t>Véhicules accidentés dépecés par des ferrailleurs</w:t>
      </w:r>
    </w:p>
    <w:p>
      <w:pPr>
        <w:pStyle w:val="ListBullet"/>
      </w:pPr>
      <w:r>
        <w:t>Pièces démontées lors de réparations (échange standard)</w:t>
      </w:r>
    </w:p>
    <w:p>
      <w:pPr>
        <w:pStyle w:val="ListBullet"/>
      </w:pPr>
      <w:r>
        <w:t>Marché très informel, aucune traçabilité</w:t>
      </w:r>
    </w:p>
    <w:p>
      <w:pPr>
        <w:pStyle w:val="ListBullet"/>
      </w:pPr>
      <w:r>
        <w:t>Qualité imprévisible</w:t>
      </w:r>
    </w:p>
    <w:p>
      <w:pPr>
        <w:pStyle w:val="Heading2"/>
      </w:pPr>
      <w:r>
        <w:t>2.4 Pièces refabriquées vs originales vs contrefaites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Prix relatif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Qualité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Disponibilité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Risque</w:t>
            </w:r>
          </w:p>
        </w:tc>
      </w:tr>
      <w:tr>
        <w:tc>
          <w:tcPr>
            <w:tcW w:type="dxa" w:w="1728"/>
          </w:tcPr>
          <w:p>
            <w:r>
              <w:t>OEM (constructeur)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Excellente</w:t>
            </w:r>
          </w:p>
        </w:tc>
        <w:tc>
          <w:tcPr>
            <w:tcW w:type="dxa" w:w="1728"/>
          </w:tcPr>
          <w:p>
            <w:r>
              <w:t>Faible (concessionnaires)</w:t>
            </w:r>
          </w:p>
        </w:tc>
        <w:tc>
          <w:tcPr>
            <w:tcW w:type="dxa" w:w="1728"/>
          </w:tcPr>
          <w:p>
            <w:r>
              <w:t>Très faible</w:t>
            </w:r>
          </w:p>
        </w:tc>
      </w:tr>
      <w:tr>
        <w:tc>
          <w:tcPr>
            <w:tcW w:type="dxa" w:w="1728"/>
          </w:tcPr>
          <w:p>
            <w:r>
              <w:t>Aftermarket qualité</w:t>
            </w:r>
          </w:p>
        </w:tc>
        <w:tc>
          <w:tcPr>
            <w:tcW w:type="dxa" w:w="1728"/>
          </w:tcPr>
          <w:p>
            <w:r>
              <w:t>40-70%</w:t>
            </w:r>
          </w:p>
        </w:tc>
        <w:tc>
          <w:tcPr>
            <w:tcW w:type="dxa" w:w="1728"/>
          </w:tcPr>
          <w:p>
            <w:r>
              <w:t>Bonne à excellente</w:t>
            </w:r>
          </w:p>
        </w:tc>
        <w:tc>
          <w:tcPr>
            <w:tcW w:type="dxa" w:w="1728"/>
          </w:tcPr>
          <w:p>
            <w:r>
              <w:t>Moyenne</w:t>
            </w:r>
          </w:p>
        </w:tc>
        <w:tc>
          <w:tcPr>
            <w:tcW w:type="dxa" w:w="1728"/>
          </w:tcPr>
          <w:p>
            <w:r>
              <w:t>Faible</w:t>
            </w:r>
          </w:p>
        </w:tc>
      </w:tr>
      <w:tr>
        <w:tc>
          <w:tcPr>
            <w:tcW w:type="dxa" w:w="1728"/>
          </w:tcPr>
          <w:p>
            <w:r>
              <w:t>Occasion importée</w:t>
            </w:r>
          </w:p>
        </w:tc>
        <w:tc>
          <w:tcPr>
            <w:tcW w:type="dxa" w:w="1728"/>
          </w:tcPr>
          <w:p>
            <w:r>
              <w:t>20-50%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Élevée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</w:tr>
      <w:tr>
        <w:tc>
          <w:tcPr>
            <w:tcW w:type="dxa" w:w="1728"/>
          </w:tcPr>
          <w:p>
            <w:r>
              <w:t>Aftermarket bas de gamme</w:t>
            </w:r>
          </w:p>
        </w:tc>
        <w:tc>
          <w:tcPr>
            <w:tcW w:type="dxa" w:w="1728"/>
          </w:tcPr>
          <w:p>
            <w:r>
              <w:t>15-30%</w:t>
            </w:r>
          </w:p>
        </w:tc>
        <w:tc>
          <w:tcPr>
            <w:tcW w:type="dxa" w:w="1728"/>
          </w:tcPr>
          <w:p>
            <w:r>
              <w:t>Médiocre</w:t>
            </w:r>
          </w:p>
        </w:tc>
        <w:tc>
          <w:tcPr>
            <w:tcW w:type="dxa" w:w="1728"/>
          </w:tcPr>
          <w:p>
            <w:r>
              <w:t>Élevée</w:t>
            </w:r>
          </w:p>
        </w:tc>
        <w:tc>
          <w:tcPr>
            <w:tcW w:type="dxa" w:w="1728"/>
          </w:tcPr>
          <w:p>
            <w:r>
              <w:t>Élevé</w:t>
            </w:r>
          </w:p>
        </w:tc>
      </w:tr>
      <w:tr>
        <w:tc>
          <w:tcPr>
            <w:tcW w:type="dxa" w:w="1728"/>
          </w:tcPr>
          <w:p>
            <w:r>
              <w:t>Refabriquée locale</w:t>
            </w:r>
          </w:p>
        </w:tc>
        <w:tc>
          <w:tcPr>
            <w:tcW w:type="dxa" w:w="1728"/>
          </w:tcPr>
          <w:p>
            <w:r>
              <w:t>10-25%</w:t>
            </w:r>
          </w:p>
        </w:tc>
        <w:tc>
          <w:tcPr>
            <w:tcW w:type="dxa" w:w="1728"/>
          </w:tcPr>
          <w:p>
            <w:r>
              <w:t>Très variable</w:t>
            </w:r>
          </w:p>
        </w:tc>
        <w:tc>
          <w:tcPr>
            <w:tcW w:type="dxa" w:w="1728"/>
          </w:tcPr>
          <w:p>
            <w:r>
              <w:t>Moyenne</w:t>
            </w:r>
          </w:p>
        </w:tc>
        <w:tc>
          <w:tcPr>
            <w:tcW w:type="dxa" w:w="1728"/>
          </w:tcPr>
          <w:p>
            <w:r>
              <w:t>Élevé</w:t>
            </w:r>
          </w:p>
        </w:tc>
      </w:tr>
      <w:tr>
        <w:tc>
          <w:tcPr>
            <w:tcW w:type="dxa" w:w="1728"/>
          </w:tcPr>
          <w:p>
            <w:r>
              <w:t>Contrefaçon</w:t>
            </w:r>
          </w:p>
        </w:tc>
        <w:tc>
          <w:tcPr>
            <w:tcW w:type="dxa" w:w="1728"/>
          </w:tcPr>
          <w:p>
            <w:r>
              <w:t>20-40%</w:t>
            </w:r>
          </w:p>
        </w:tc>
        <w:tc>
          <w:tcPr>
            <w:tcW w:type="dxa" w:w="1728"/>
          </w:tcPr>
          <w:p>
            <w:r>
              <w:t>Dangereuse</w:t>
            </w:r>
          </w:p>
        </w:tc>
        <w:tc>
          <w:tcPr>
            <w:tcW w:type="dxa" w:w="1728"/>
          </w:tcPr>
          <w:p>
            <w:r>
              <w:t>Élevée</w:t>
            </w:r>
          </w:p>
        </w:tc>
        <w:tc>
          <w:tcPr>
            <w:tcW w:type="dxa" w:w="1728"/>
          </w:tcPr>
          <w:p>
            <w:r>
              <w:t>Très élevé</w:t>
            </w:r>
          </w:p>
        </w:tc>
      </w:tr>
    </w:tbl>
    <w:p/>
    <w:p>
      <w:r>
        <w:rPr>
          <w:b/>
        </w:rPr>
        <w:t>Problème de contrefaçon :</w:t>
      </w:r>
      <w:r>
        <w:t xml:space="preserve"> Les pièces contrefaites représentent un risque majeur. Elles sont vendues avec des emballages imitant les marques originales, à des prix proches des pièces authentiques. Le consommateur n'a </w:t>
      </w:r>
      <w:r>
        <w:rPr>
          <w:b/>
        </w:rPr>
        <w:t>aucun moyen de distinguer</w:t>
      </w:r>
      <w:r>
        <w:t xml:space="preserve"> une pièce authentique d'une contrefaçon.</w:t>
      </w:r>
    </w:p>
    <w:p>
      <w:pPr>
        <w:pStyle w:val="Heading2"/>
      </w:pPr>
      <w:r>
        <w:t>2.5 Logistique et douanes</w:t>
      </w:r>
    </w:p>
    <w:p>
      <w:pPr>
        <w:pStyle w:val="ListBullet"/>
      </w:pPr>
      <w:r>
        <w:rPr>
          <w:b/>
        </w:rPr>
        <w:t>Droits de douane</w:t>
      </w:r>
      <w:r>
        <w:t xml:space="preserve"> : 15-25% sur les pièces auto importées (variable selon le type)</w:t>
      </w:r>
    </w:p>
    <w:p>
      <w:pPr>
        <w:pStyle w:val="ListBullet"/>
      </w:pPr>
      <w:r>
        <w:rPr>
          <w:b/>
        </w:rPr>
        <w:t>TVA</w:t>
      </w:r>
      <w:r>
        <w:t xml:space="preserve"> : 18% en CI</w:t>
      </w:r>
    </w:p>
    <w:p>
      <w:pPr>
        <w:pStyle w:val="ListBullet"/>
      </w:pPr>
      <w:r>
        <w:rPr>
          <w:b/>
        </w:rPr>
        <w:t>Procédure</w:t>
      </w:r>
      <w:r>
        <w:t xml:space="preserve"> : Pré-inspection obligatoire, certificat de conformité requis</w:t>
      </w:r>
    </w:p>
    <w:p>
      <w:pPr>
        <w:pStyle w:val="ListBullet"/>
      </w:pPr>
      <w:r>
        <w:rPr>
          <w:b/>
        </w:rPr>
        <w:t>Délai de dédouanement</w:t>
      </w:r>
      <w:r>
        <w:t xml:space="preserve"> : 3-10 jours ouvrés</w:t>
      </w:r>
    </w:p>
    <w:p>
      <w:pPr>
        <w:pStyle w:val="ListBullet"/>
      </w:pPr>
      <w:r>
        <w:rPr>
          <w:b/>
        </w:rPr>
        <w:t>Les pièces contrefaites sont interdites à l'importation</w:t>
      </w:r>
      <w:r>
        <w:t xml:space="preserve"> (loi ivoirienne)</w:t>
      </w:r>
    </w:p>
    <w:p>
      <w:r>
        <w:rPr>
          <w:i/>
        </w:rPr>
        <w:t>Source : [Douanes ivoiriennes](https://www.douanes.ci/professionnel/marchandises-prohibeesinterdites)</w:t>
      </w:r>
    </w:p>
    <w:p>
      <w:pPr>
        <w:pStyle w:val="Heading1"/>
      </w:pPr>
      <w:r>
        <w:t>3. Écosystème des Mécaniciens</w:t>
      </w:r>
    </w:p>
    <w:p>
      <w:pPr>
        <w:pStyle w:val="Heading2"/>
      </w:pPr>
      <w:r>
        <w:t>3.1 Profil type du mécanicien ivoirien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Formation</w:t>
            </w:r>
          </w:p>
        </w:tc>
        <w:tc>
          <w:tcPr>
            <w:tcW w:type="dxa" w:w="4320"/>
          </w:tcPr>
          <w:p>
            <w:r>
              <w:t>Apprentissage informel (3-5 ans chez un maître) — très peu de formation formelle</w:t>
            </w:r>
          </w:p>
        </w:tc>
      </w:tr>
      <w:tr>
        <w:tc>
          <w:tcPr>
            <w:tcW w:type="dxa" w:w="4320"/>
          </w:tcPr>
          <w:p>
            <w:r>
              <w:t>Âge moyen</w:t>
            </w:r>
          </w:p>
        </w:tc>
        <w:tc>
          <w:tcPr>
            <w:tcW w:type="dxa" w:w="4320"/>
          </w:tcPr>
          <w:p>
            <w:r>
              <w:t>25-45 ans</w:t>
            </w:r>
          </w:p>
        </w:tc>
      </w:tr>
      <w:tr>
        <w:tc>
          <w:tcPr>
            <w:tcW w:type="dxa" w:w="4320"/>
          </w:tcPr>
          <w:p>
            <w:r>
              <w:t>Revenu journalier</w:t>
            </w:r>
          </w:p>
        </w:tc>
        <w:tc>
          <w:tcPr>
            <w:tcW w:type="dxa" w:w="4320"/>
          </w:tcPr>
          <w:p>
            <w:r>
              <w:t>5 000 - 30 000 FCFA (selon activité et saison)</w:t>
            </w:r>
          </w:p>
        </w:tc>
      </w:tr>
      <w:tr>
        <w:tc>
          <w:tcPr>
            <w:tcW w:type="dxa" w:w="4320"/>
          </w:tcPr>
          <w:p>
            <w:r>
              <w:t>Lieu de travail</w:t>
            </w:r>
          </w:p>
        </w:tc>
        <w:tc>
          <w:tcPr>
            <w:tcW w:type="dxa" w:w="4320"/>
          </w:tcPr>
          <w:p>
            <w:r>
              <w:t>56% travaillent sur le domaine public (trottoirs, terrains vagues)</w:t>
            </w:r>
          </w:p>
        </w:tc>
      </w:tr>
      <w:tr>
        <w:tc>
          <w:tcPr>
            <w:tcW w:type="dxa" w:w="4320"/>
          </w:tcPr>
          <w:p>
            <w:r>
              <w:t>Équipement</w:t>
            </w:r>
          </w:p>
        </w:tc>
        <w:tc>
          <w:tcPr>
            <w:tcW w:type="dxa" w:w="4320"/>
          </w:tcPr>
          <w:p>
            <w:r>
              <w:t>Outils basiques, pas de diagnostic électronique</w:t>
            </w:r>
          </w:p>
        </w:tc>
      </w:tr>
      <w:tr>
        <w:tc>
          <w:tcPr>
            <w:tcW w:type="dxa" w:w="4320"/>
          </w:tcPr>
          <w:p>
            <w:r>
              <w:t>Smartphone</w:t>
            </w:r>
          </w:p>
        </w:tc>
        <w:tc>
          <w:tcPr>
            <w:tcW w:type="dxa" w:w="4320"/>
          </w:tcPr>
          <w:p>
            <w:r>
              <w:t>Oui (quasi systématique), Android bas de gamme</w:t>
            </w:r>
          </w:p>
        </w:tc>
      </w:tr>
      <w:tr>
        <w:tc>
          <w:tcPr>
            <w:tcW w:type="dxa" w:w="4320"/>
          </w:tcPr>
          <w:p>
            <w:r>
              <w:t>App principale</w:t>
            </w:r>
          </w:p>
        </w:tc>
        <w:tc>
          <w:tcPr>
            <w:tcW w:type="dxa" w:w="4320"/>
          </w:tcPr>
          <w:p>
            <w:r>
              <w:t>WhatsApp (communication avec clients et fournisseurs)</w:t>
            </w:r>
          </w:p>
        </w:tc>
      </w:tr>
      <w:tr>
        <w:tc>
          <w:tcPr>
            <w:tcW w:type="dxa" w:w="4320"/>
          </w:tcPr>
          <w:p>
            <w:r>
              <w:t>Nombre estimé (Abidjan)</w:t>
            </w:r>
          </w:p>
        </w:tc>
        <w:tc>
          <w:tcPr>
            <w:tcW w:type="dxa" w:w="4320"/>
          </w:tcPr>
          <w:p>
            <w:r>
              <w:t>5 000 - 10 000+</w:t>
            </w:r>
          </w:p>
        </w:tc>
      </w:tr>
    </w:tbl>
    <w:p/>
    <w:p>
      <w:r>
        <w:rPr>
          <w:i/>
        </w:rPr>
        <w:t>Sources : [Revue RASP](https://www.revue-rasp.org/index.php/rasp/article/view/194), [DALOGÉO — Korhogo](https://www.revuegeo-univdaloa.net/fr/publication/les-activites-mecaniques-dengins-roulants-et-la-reduction-du-chomage-dans-la-ville-de)</w:t>
      </w:r>
    </w:p>
    <w:p>
      <w:pPr>
        <w:pStyle w:val="Heading2"/>
      </w:pPr>
      <w:r>
        <w:t>3.2 Relation mécanicien-client</w:t>
      </w:r>
    </w:p>
    <w:p>
      <w:r>
        <w:t xml:space="preserve">La relation mécanicien-propriétaire est au </w:t>
      </w:r>
      <w:r>
        <w:rPr>
          <w:b/>
        </w:rPr>
        <w:t>cœur</w:t>
      </w:r>
      <w:r>
        <w:t xml:space="preserve"> de l'écosystème pièces auto en CI :</w:t>
      </w:r>
    </w:p>
    <w:p>
      <w:r>
        <w:rPr>
          <w:b/>
        </w:rPr>
        <w:t>Modèle dominant (90% des cas) :</w:t>
      </w:r>
    </w:p>
    <w:p>
      <w:pPr>
        <w:pStyle w:val="ListNumber"/>
      </w:pPr>
      <w:r>
        <w:t>Le propriétaire amène son véhicule chez le mécanicien</w:t>
      </w:r>
    </w:p>
    <w:p>
      <w:pPr>
        <w:pStyle w:val="ListNumber"/>
      </w:pPr>
      <w:r>
        <w:t>Le mécanicien diagnostique et identifie les pièces nécessaires</w:t>
      </w:r>
    </w:p>
    <w:p>
      <w:pPr>
        <w:pStyle w:val="ListNumber"/>
      </w:pPr>
      <w:r>
        <w:t>Le mécanicien va acheter les pièces au marché (Adjamé) — ou envoie un apprenti</w:t>
      </w:r>
    </w:p>
    <w:p>
      <w:pPr>
        <w:pStyle w:val="ListNumber"/>
      </w:pPr>
      <w:r>
        <w:t xml:space="preserve">Le mécanicien </w:t>
      </w:r>
      <w:r>
        <w:rPr>
          <w:b/>
        </w:rPr>
        <w:t>inclut sa marge sur les pièces</w:t>
      </w:r>
      <w:r>
        <w:t xml:space="preserve"> dans le devis global (pièces + main d'œuvre confondues)</w:t>
      </w:r>
    </w:p>
    <w:p>
      <w:pPr>
        <w:pStyle w:val="ListNumber"/>
      </w:pPr>
      <w:r>
        <w:t>Le propriétaire paie un montant global sans connaître le prix réel des pièces</w:t>
      </w:r>
    </w:p>
    <w:p>
      <w:r>
        <w:rPr>
          <w:b/>
        </w:rPr>
        <w:t>Problème structurel :</w:t>
      </w:r>
    </w:p>
    <w:p>
      <w:pPr>
        <w:pStyle w:val="ListBullet"/>
      </w:pPr>
      <w:r>
        <w:t>Le propriétaire ne connaît jamais le vrai prix des pièces</w:t>
      </w:r>
    </w:p>
    <w:p>
      <w:pPr>
        <w:pStyle w:val="ListBullet"/>
      </w:pPr>
      <w:r>
        <w:t xml:space="preserve">Les marges mécanicien sur les pièces vont de </w:t>
      </w:r>
      <w:r>
        <w:rPr>
          <w:b/>
        </w:rPr>
        <w:t>50% à 200%+</w:t>
      </w:r>
    </w:p>
    <w:p>
      <w:pPr>
        <w:pStyle w:val="ListBullet"/>
      </w:pPr>
      <w:r>
        <w:t>Le mécanicien honnête est pénalisé car le client ne peut pas le distinguer du malhonnête</w:t>
      </w:r>
    </w:p>
    <w:p>
      <w:pPr>
        <w:pStyle w:val="ListBullet"/>
      </w:pPr>
      <w:r>
        <w:t>La confiance repose sur la relation personnelle, pas sur la transparence</w:t>
      </w:r>
    </w:p>
    <w:p>
      <w:pPr>
        <w:pStyle w:val="Heading2"/>
      </w:pPr>
      <w:r>
        <w:t>3.3 Rôle du mécanicien comme prescripteur</w:t>
      </w:r>
    </w:p>
    <w:p>
      <w:r>
        <w:rPr>
          <w:b/>
        </w:rPr>
        <w:t>Insight crucial du brainstorming :</w:t>
      </w:r>
      <w:r>
        <w:t xml:space="preserve"> Le mécanicien est un </w:t>
      </w:r>
      <w:r>
        <w:rPr>
          <w:b/>
        </w:rPr>
        <w:t>prescripteur</w:t>
      </w:r>
      <w:r>
        <w:t>, pas un acheteur final. C'est lui qui :</w:t>
      </w:r>
    </w:p>
    <w:p>
      <w:pPr>
        <w:pStyle w:val="ListBullet"/>
      </w:pPr>
      <w:r>
        <w:t>Diagnostique la panne</w:t>
      </w:r>
    </w:p>
    <w:p>
      <w:pPr>
        <w:pStyle w:val="ListBullet"/>
      </w:pPr>
      <w:r>
        <w:t>Identifie la pièce nécessaire</w:t>
      </w:r>
    </w:p>
    <w:p>
      <w:pPr>
        <w:pStyle w:val="ListBullet"/>
      </w:pPr>
      <w:r>
        <w:t>Choisit le vendeur et la qualité</w:t>
      </w:r>
    </w:p>
    <w:p>
      <w:pPr>
        <w:pStyle w:val="ListBullet"/>
      </w:pPr>
      <w:r>
        <w:t>Recommande neuf vs occasion</w:t>
      </w:r>
    </w:p>
    <w:p>
      <w:r>
        <w:rPr>
          <w:b/>
        </w:rPr>
        <w:t>Implication pour Pièces :</w:t>
      </w:r>
      <w:r>
        <w:t xml:space="preserve"> Ne pas contourner le mécanicien mais </w:t>
      </w:r>
      <w:r>
        <w:rPr>
          <w:b/>
        </w:rPr>
        <w:t>l'intégrer comme prescripteur formalisé</w:t>
      </w:r>
      <w:r>
        <w:t xml:space="preserve"> via le workflow tripartite (mécanicien identifie → propriétaire paie → Pièces livre au garage).</w:t>
      </w:r>
    </w:p>
    <w:p>
      <w:pPr>
        <w:pStyle w:val="Heading2"/>
      </w:pPr>
      <w:r>
        <w:t>3.4 Pratiques actuelles d'approvisionnement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Fréquence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Coût pour le mécanicien</w:t>
            </w:r>
          </w:p>
        </w:tc>
      </w:tr>
      <w:tr>
        <w:tc>
          <w:tcPr>
            <w:tcW w:type="dxa" w:w="2160"/>
          </w:tcPr>
          <w:p>
            <w:r>
              <w:t>Visite physique Adjamé</w:t>
            </w:r>
          </w:p>
        </w:tc>
        <w:tc>
          <w:tcPr>
            <w:tcW w:type="dxa" w:w="2160"/>
          </w:tcPr>
          <w:p>
            <w:r>
              <w:t>Quotidienne</w:t>
            </w:r>
          </w:p>
        </w:tc>
        <w:tc>
          <w:tcPr>
            <w:tcW w:type="dxa" w:w="2160"/>
          </w:tcPr>
          <w:p>
            <w:r>
              <w:t>2-4h aller-retour</w:t>
            </w:r>
          </w:p>
        </w:tc>
        <w:tc>
          <w:tcPr>
            <w:tcW w:type="dxa" w:w="2160"/>
          </w:tcPr>
          <w:p>
            <w:r>
              <w:t>Transport + temps perdu</w:t>
            </w:r>
          </w:p>
        </w:tc>
      </w:tr>
      <w:tr>
        <w:tc>
          <w:tcPr>
            <w:tcW w:type="dxa" w:w="2160"/>
          </w:tcPr>
          <w:p>
            <w:r>
              <w:t>Appel téléphonique vendeur habituel</w:t>
            </w:r>
          </w:p>
        </w:tc>
        <w:tc>
          <w:tcPr>
            <w:tcW w:type="dxa" w:w="2160"/>
          </w:tcPr>
          <w:p>
            <w:r>
              <w:t>Fréquente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Limité aux vendeurs connus</w:t>
            </w:r>
          </w:p>
        </w:tc>
      </w:tr>
      <w:tr>
        <w:tc>
          <w:tcPr>
            <w:tcW w:type="dxa" w:w="2160"/>
          </w:tcPr>
          <w:p>
            <w:r>
              <w:t>WhatsApp (photo de la pièce)</w:t>
            </w:r>
          </w:p>
        </w:tc>
        <w:tc>
          <w:tcPr>
            <w:tcW w:type="dxa" w:w="2160"/>
          </w:tcPr>
          <w:p>
            <w:r>
              <w:t>Émergente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Nouveau mais non structuré</w:t>
            </w:r>
          </w:p>
        </w:tc>
      </w:tr>
      <w:tr>
        <w:tc>
          <w:tcPr>
            <w:tcW w:type="dxa" w:w="2160"/>
          </w:tcPr>
          <w:p>
            <w:r>
              <w:t>Commande en ligne</w:t>
            </w:r>
          </w:p>
        </w:tc>
        <w:tc>
          <w:tcPr>
            <w:tcW w:type="dxa" w:w="2160"/>
          </w:tcPr>
          <w:p>
            <w:r>
              <w:t>Quasi inexistante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4. Paiement et Fintech en CI</w:t>
      </w:r>
    </w:p>
    <w:p>
      <w:pPr>
        <w:pStyle w:val="Heading2"/>
      </w:pPr>
      <w:r>
        <w:t>4.1 Paysage mobile money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Opérateur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Utilisateurs actifs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 de marché estimée</w:t>
            </w:r>
          </w:p>
        </w:tc>
      </w:tr>
      <w:tr>
        <w:tc>
          <w:tcPr>
            <w:tcW w:type="dxa" w:w="2160"/>
          </w:tcPr>
          <w:p>
            <w:r>
              <w:t>Orange Money</w:t>
            </w:r>
          </w:p>
        </w:tc>
        <w:tc>
          <w:tcPr>
            <w:tcW w:type="dxa" w:w="2160"/>
          </w:tcPr>
          <w:p>
            <w:r>
              <w:t>Orange CI</w:t>
            </w:r>
          </w:p>
        </w:tc>
        <w:tc>
          <w:tcPr>
            <w:tcW w:type="dxa" w:w="2160"/>
          </w:tcPr>
          <w:p>
            <w:r>
              <w:t>~15M comptes</w:t>
            </w:r>
          </w:p>
        </w:tc>
        <w:tc>
          <w:tcPr>
            <w:tcW w:type="dxa" w:w="2160"/>
          </w:tcPr>
          <w:p>
            <w:r>
              <w:t>~40-45%</w:t>
            </w:r>
          </w:p>
        </w:tc>
      </w:tr>
      <w:tr>
        <w:tc>
          <w:tcPr>
            <w:tcW w:type="dxa" w:w="2160"/>
          </w:tcPr>
          <w:p>
            <w:r>
              <w:t>MTN MoMo</w:t>
            </w:r>
          </w:p>
        </w:tc>
        <w:tc>
          <w:tcPr>
            <w:tcW w:type="dxa" w:w="2160"/>
          </w:tcPr>
          <w:p>
            <w:r>
              <w:t>MTN CI</w:t>
            </w:r>
          </w:p>
        </w:tc>
        <w:tc>
          <w:tcPr>
            <w:tcW w:type="dxa" w:w="2160"/>
          </w:tcPr>
          <w:p>
            <w:r>
              <w:t>~10M comptes</w:t>
            </w:r>
          </w:p>
        </w:tc>
        <w:tc>
          <w:tcPr>
            <w:tcW w:type="dxa" w:w="2160"/>
          </w:tcPr>
          <w:p>
            <w:r>
              <w:t>~25-30%</w:t>
            </w:r>
          </w:p>
        </w:tc>
      </w:tr>
      <w:tr>
        <w:tc>
          <w:tcPr>
            <w:tcW w:type="dxa" w:w="2160"/>
          </w:tcPr>
          <w:p>
            <w:r>
              <w:t>Wave</w:t>
            </w:r>
          </w:p>
        </w:tc>
        <w:tc>
          <w:tcPr>
            <w:tcW w:type="dxa" w:w="2160"/>
          </w:tcPr>
          <w:p>
            <w:r>
              <w:t>Wave (fintech)</w:t>
            </w:r>
          </w:p>
        </w:tc>
        <w:tc>
          <w:tcPr>
            <w:tcW w:type="dxa" w:w="2160"/>
          </w:tcPr>
          <w:p>
            <w:r>
              <w:t>~5-8M comptes</w:t>
            </w:r>
          </w:p>
        </w:tc>
        <w:tc>
          <w:tcPr>
            <w:tcW w:type="dxa" w:w="2160"/>
          </w:tcPr>
          <w:p>
            <w:r>
              <w:t>~15-20% (forte croissance)</w:t>
            </w:r>
          </w:p>
        </w:tc>
      </w:tr>
      <w:tr>
        <w:tc>
          <w:tcPr>
            <w:tcW w:type="dxa" w:w="2160"/>
          </w:tcPr>
          <w:p>
            <w:r>
              <w:t>Moov Money</w:t>
            </w:r>
          </w:p>
        </w:tc>
        <w:tc>
          <w:tcPr>
            <w:tcW w:type="dxa" w:w="2160"/>
          </w:tcPr>
          <w:p>
            <w:r>
              <w:t>Moov Africa</w:t>
            </w:r>
          </w:p>
        </w:tc>
        <w:tc>
          <w:tcPr>
            <w:tcW w:type="dxa" w:w="2160"/>
          </w:tcPr>
          <w:p>
            <w:r>
              <w:t>~3-5M comptes</w:t>
            </w:r>
          </w:p>
        </w:tc>
        <w:tc>
          <w:tcPr>
            <w:tcW w:type="dxa" w:w="2160"/>
          </w:tcPr>
          <w:p>
            <w:r>
              <w:t>~10%</w:t>
            </w:r>
          </w:p>
        </w:tc>
      </w:tr>
    </w:tbl>
    <w:p/>
    <w:p>
      <w:r>
        <w:rPr>
          <w:b/>
        </w:rPr>
        <w:t>Statistiques clés :</w:t>
      </w:r>
    </w:p>
    <w:p>
      <w:pPr>
        <w:pStyle w:val="ListBullet"/>
      </w:pPr>
      <w:r>
        <w:rPr>
          <w:b/>
        </w:rPr>
        <w:t>86%</w:t>
      </w:r>
      <w:r>
        <w:t xml:space="preserve"> de la population utilise le mobile money (2022)</w:t>
      </w:r>
    </w:p>
    <w:p>
      <w:pPr>
        <w:pStyle w:val="ListBullet"/>
      </w:pPr>
      <w:r>
        <w:t>Croissance la plus rapide d'Afrique (avec le Ghana) en 2023 — +12 points vs Afrique de l'Est</w:t>
      </w:r>
    </w:p>
    <w:p>
      <w:pPr>
        <w:pStyle w:val="ListBullet"/>
      </w:pPr>
      <w:r>
        <w:t xml:space="preserve">Orange Money : </w:t>
      </w:r>
      <w:r>
        <w:rPr>
          <w:b/>
        </w:rPr>
        <w:t>160 Mds €</w:t>
      </w:r>
      <w:r>
        <w:t xml:space="preserve"> de transactions en 2024 (tous pays)</w:t>
      </w:r>
    </w:p>
    <w:p>
      <w:pPr>
        <w:pStyle w:val="ListBullet"/>
      </w:pPr>
      <w:r>
        <w:t xml:space="preserve">Wave : </w:t>
      </w:r>
      <w:r>
        <w:rPr>
          <w:b/>
        </w:rPr>
        <w:t>20M+</w:t>
      </w:r>
      <w:r>
        <w:t xml:space="preserve"> d'utilisateurs actifs mensuels (tous pays, mi-2025)</w:t>
      </w:r>
    </w:p>
    <w:p>
      <w:r>
        <w:rPr>
          <w:i/>
        </w:rPr>
        <w:t>Sources : [MTN](https://www.mtn.com/mobile-money-the-quiet-revolution-reshaping-africas-economy/), [TriplePundit](https://triplepundit.com/2025/wave-mobile-money-cote-divoire/), [The Africa Report](https://www.theafricareport.com/306159/cote-divoire-wave-ups-the-game-to-vie-with-mtn-orange-moov/)</w:t>
      </w:r>
    </w:p>
    <w:p>
      <w:pPr>
        <w:pStyle w:val="Heading2"/>
      </w:pPr>
      <w:r>
        <w:t>4.2 Pénétration bancaire vs mobile money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Taux de bancarisation</w:t>
            </w:r>
          </w:p>
        </w:tc>
        <w:tc>
          <w:tcPr>
            <w:tcW w:type="dxa" w:w="4320"/>
          </w:tcPr>
          <w:p>
            <w:r>
              <w:t>~20-25%</w:t>
            </w:r>
          </w:p>
        </w:tc>
      </w:tr>
      <w:tr>
        <w:tc>
          <w:tcPr>
            <w:tcW w:type="dxa" w:w="4320"/>
          </w:tcPr>
          <w:p>
            <w:r>
              <w:t>Taux utilisation mobile money</w:t>
            </w:r>
          </w:p>
        </w:tc>
        <w:tc>
          <w:tcPr>
            <w:tcW w:type="dxa" w:w="4320"/>
          </w:tcPr>
          <w:p>
            <w:r>
              <w:t>~86%</w:t>
            </w:r>
          </w:p>
        </w:tc>
      </w:tr>
      <w:tr>
        <w:tc>
          <w:tcPr>
            <w:tcW w:type="dxa" w:w="4320"/>
          </w:tcPr>
          <w:p>
            <w:r>
              <w:t>Transactions 100% cash</w:t>
            </w:r>
          </w:p>
        </w:tc>
        <w:tc>
          <w:tcPr>
            <w:tcW w:type="dxa" w:w="4320"/>
          </w:tcPr>
          <w:p>
            <w:r>
              <w:t>En déclin mais encore ~30-40% du commerce</w:t>
            </w:r>
          </w:p>
        </w:tc>
      </w:tr>
    </w:tbl>
    <w:p/>
    <w:p>
      <w:r>
        <w:rPr>
          <w:b/>
        </w:rPr>
        <w:t>Wave</w:t>
      </w:r>
      <w:r>
        <w:t xml:space="preserve"> a été un game-changer en CI : zéro frais sur les transferts personne-à-personne, ce qui a forcé Orange et MTN à réduire leurs frais. L'adoption a explosé.</w:t>
      </w:r>
    </w:p>
    <w:p>
      <w:pPr>
        <w:pStyle w:val="Heading2"/>
      </w:pPr>
      <w:r>
        <w:t>4.3 Habitudes de paiement pour les pièces auto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Montant transaction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 de paiement dominant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Pourquoi</w:t>
            </w:r>
          </w:p>
        </w:tc>
      </w:tr>
      <w:tr>
        <w:tc>
          <w:tcPr>
            <w:tcW w:type="dxa" w:w="2880"/>
          </w:tcPr>
          <w:p>
            <w:r>
              <w:t>&lt; 25 000 FCFA</w:t>
            </w:r>
          </w:p>
        </w:tc>
        <w:tc>
          <w:tcPr>
            <w:tcW w:type="dxa" w:w="2880"/>
          </w:tcPr>
          <w:p>
            <w:r>
              <w:t>Cash (80-90%)</w:t>
            </w:r>
          </w:p>
        </w:tc>
        <w:tc>
          <w:tcPr>
            <w:tcW w:type="dxa" w:w="2880"/>
          </w:tcPr>
          <w:p>
            <w:r>
              <w:t>Habitude, pas de besoin de traçabilité</w:t>
            </w:r>
          </w:p>
        </w:tc>
      </w:tr>
      <w:tr>
        <w:tc>
          <w:tcPr>
            <w:tcW w:type="dxa" w:w="2880"/>
          </w:tcPr>
          <w:p>
            <w:r>
              <w:t>25 000 - 100 000 FCFA</w:t>
            </w:r>
          </w:p>
        </w:tc>
        <w:tc>
          <w:tcPr>
            <w:tcW w:type="dxa" w:w="2880"/>
          </w:tcPr>
          <w:p>
            <w:r>
              <w:t>Cash ou mobile money (50/50)</w:t>
            </w:r>
          </w:p>
        </w:tc>
        <w:tc>
          <w:tcPr>
            <w:tcW w:type="dxa" w:w="2880"/>
          </w:tcPr>
          <w:p>
            <w:r>
              <w:t>Mobile money émerge pour les montants moyens</w:t>
            </w:r>
          </w:p>
        </w:tc>
      </w:tr>
      <w:tr>
        <w:tc>
          <w:tcPr>
            <w:tcW w:type="dxa" w:w="2880"/>
          </w:tcPr>
          <w:p>
            <w:r>
              <w:t>&gt; 100 000 FCFA</w:t>
            </w:r>
          </w:p>
        </w:tc>
        <w:tc>
          <w:tcPr>
            <w:tcW w:type="dxa" w:w="2880"/>
          </w:tcPr>
          <w:p>
            <w:r>
              <w:t>Mixte (cash + mobile money)</w:t>
            </w:r>
          </w:p>
        </w:tc>
        <w:tc>
          <w:tcPr>
            <w:tcW w:type="dxa" w:w="2880"/>
          </w:tcPr>
          <w:p>
            <w:r>
              <w:t>Le propriétaire veut sécuriser la transaction</w:t>
            </w:r>
          </w:p>
        </w:tc>
      </w:tr>
      <w:tr>
        <w:tc>
          <w:tcPr>
            <w:tcW w:type="dxa" w:w="2880"/>
          </w:tcPr>
          <w:p>
            <w:r>
              <w:t>&gt; 500 000 FCFA (entreprises)</w:t>
            </w:r>
          </w:p>
        </w:tc>
        <w:tc>
          <w:tcPr>
            <w:tcW w:type="dxa" w:w="2880"/>
          </w:tcPr>
          <w:p>
            <w:r>
              <w:t>Virement/chèque</w:t>
            </w:r>
          </w:p>
        </w:tc>
        <w:tc>
          <w:tcPr>
            <w:tcW w:type="dxa" w:w="2880"/>
          </w:tcPr>
          <w:p>
            <w:r>
              <w:t>Comptabilité formelle</w:t>
            </w:r>
          </w:p>
        </w:tc>
      </w:tr>
    </w:tbl>
    <w:p/>
    <w:p>
      <w:r>
        <w:rPr>
          <w:b/>
        </w:rPr>
        <w:t>Implication pour Pièces :</w:t>
      </w:r>
    </w:p>
    <w:p>
      <w:pPr>
        <w:pStyle w:val="ListBullet"/>
      </w:pPr>
      <w:r>
        <w:t>Cash-on-delivery indispensable pour les petits montants</w:t>
      </w:r>
    </w:p>
    <w:p>
      <w:pPr>
        <w:pStyle w:val="ListBullet"/>
      </w:pPr>
      <w:r>
        <w:t>Mobile money (escrow) pour les montants moyens à élevés</w:t>
      </w:r>
    </w:p>
    <w:p>
      <w:pPr>
        <w:pStyle w:val="ListBullet"/>
      </w:pPr>
      <w:r>
        <w:t>Prépaiement pour les comptes entreprise</w:t>
      </w:r>
    </w:p>
    <w:p>
      <w:pPr>
        <w:pStyle w:val="Heading2"/>
      </w:pPr>
      <w:r>
        <w:t>4.4 Solutions de micro-crédit existantes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Pertinence pour Pièces</w:t>
            </w:r>
          </w:p>
        </w:tc>
      </w:tr>
      <w:tr>
        <w:tc>
          <w:tcPr>
            <w:tcW w:type="dxa" w:w="2880"/>
          </w:tcPr>
          <w:p>
            <w:r>
              <w:t>Wave Credit</w:t>
            </w:r>
          </w:p>
        </w:tc>
        <w:tc>
          <w:tcPr>
            <w:tcW w:type="dxa" w:w="2880"/>
          </w:tcPr>
          <w:p>
            <w:r>
              <w:t>Micro-prêts intégrés</w:t>
            </w:r>
          </w:p>
        </w:tc>
        <w:tc>
          <w:tcPr>
            <w:tcW w:type="dxa" w:w="2880"/>
          </w:tcPr>
          <w:p>
            <w:r>
              <w:t>Partenariat potentiel pour "répare maintenant, paie plus tard"</w:t>
            </w:r>
          </w:p>
        </w:tc>
      </w:tr>
      <w:tr>
        <w:tc>
          <w:tcPr>
            <w:tcW w:type="dxa" w:w="2880"/>
          </w:tcPr>
          <w:p>
            <w:r>
              <w:t>Orange Bank CI</w:t>
            </w:r>
          </w:p>
        </w:tc>
        <w:tc>
          <w:tcPr>
            <w:tcW w:type="dxa" w:w="2880"/>
          </w:tcPr>
          <w:p>
            <w:r>
              <w:t>Banque mobile</w:t>
            </w:r>
          </w:p>
        </w:tc>
        <w:tc>
          <w:tcPr>
            <w:tcW w:type="dxa" w:w="2880"/>
          </w:tcPr>
          <w:p>
            <w:r>
              <w:t>Crédit revolving pour PME</w:t>
            </w:r>
          </w:p>
        </w:tc>
      </w:tr>
      <w:tr>
        <w:tc>
          <w:tcPr>
            <w:tcW w:type="dxa" w:w="2880"/>
          </w:tcPr>
          <w:p>
            <w:r>
              <w:t>Djamo</w:t>
            </w:r>
          </w:p>
        </w:tc>
        <w:tc>
          <w:tcPr>
            <w:tcW w:type="dxa" w:w="2880"/>
          </w:tcPr>
          <w:p>
            <w:r>
              <w:t>Néo-banque</w:t>
            </w:r>
          </w:p>
        </w:tc>
        <w:tc>
          <w:tcPr>
            <w:tcW w:type="dxa" w:w="2880"/>
          </w:tcPr>
          <w:p>
            <w:r>
              <w:t>Cible jeunes urbains, carte virtuelle</w:t>
            </w:r>
          </w:p>
        </w:tc>
      </w:tr>
      <w:tr>
        <w:tc>
          <w:tcPr>
            <w:tcW w:type="dxa" w:w="2880"/>
          </w:tcPr>
          <w:p>
            <w:r>
              <w:t>LendTech locale</w:t>
            </w:r>
          </w:p>
        </w:tc>
        <w:tc>
          <w:tcPr>
            <w:tcW w:type="dxa" w:w="2880"/>
          </w:tcPr>
          <w:p>
            <w:r>
              <w:t>Micro-finance</w:t>
            </w:r>
          </w:p>
        </w:tc>
        <w:tc>
          <w:tcPr>
            <w:tcW w:type="dxa" w:w="2880"/>
          </w:tcPr>
          <w:p>
            <w:r>
              <w:t>Prêts aux artisans/PME</w:t>
            </w:r>
          </w:p>
        </w:tc>
      </w:tr>
    </w:tbl>
    <w:p/>
    <w:p>
      <w:pPr>
        <w:pStyle w:val="Heading1"/>
      </w:pPr>
      <w:r>
        <w:t>5. Infrastructure Numérique</w:t>
      </w:r>
    </w:p>
    <w:p>
      <w:pPr>
        <w:pStyle w:val="Heading2"/>
      </w:pPr>
      <w:r>
        <w:t>5.1 Pénétration smartphone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Possession mobile (tout type)</w:t>
            </w:r>
          </w:p>
        </w:tc>
        <w:tc>
          <w:tcPr>
            <w:tcW w:type="dxa" w:w="2880"/>
          </w:tcPr>
          <w:p>
            <w:r>
              <w:t>94%+</w:t>
            </w:r>
          </w:p>
        </w:tc>
        <w:tc>
          <w:tcPr>
            <w:tcW w:type="dxa" w:w="2880"/>
          </w:tcPr>
          <w:p>
            <w:r>
              <w:t>DataReportal</w:t>
            </w:r>
          </w:p>
        </w:tc>
      </w:tr>
      <w:tr>
        <w:tc>
          <w:tcPr>
            <w:tcW w:type="dxa" w:w="2880"/>
          </w:tcPr>
          <w:p>
            <w:r>
              <w:t>Smartphones (% des mobiles)</w:t>
            </w:r>
          </w:p>
        </w:tc>
        <w:tc>
          <w:tcPr>
            <w:tcW w:type="dxa" w:w="2880"/>
          </w:tcPr>
          <w:p>
            <w:r>
              <w:t>~55-65%</w:t>
            </w:r>
          </w:p>
        </w:tc>
        <w:tc>
          <w:tcPr>
            <w:tcW w:type="dxa" w:w="2880"/>
          </w:tcPr>
          <w:p>
            <w:r>
              <w:t>Statista</w:t>
            </w:r>
          </w:p>
        </w:tc>
      </w:tr>
      <w:tr>
        <w:tc>
          <w:tcPr>
            <w:tcW w:type="dxa" w:w="2880"/>
          </w:tcPr>
          <w:p>
            <w:r>
              <w:t>Marques dominantes</w:t>
            </w:r>
          </w:p>
        </w:tc>
        <w:tc>
          <w:tcPr>
            <w:tcW w:type="dxa" w:w="2880"/>
          </w:tcPr>
          <w:p>
            <w:r>
              <w:t>Samsung, Tecno, Infinix, Itel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Prix moyen smartphone</w:t>
            </w:r>
          </w:p>
        </w:tc>
        <w:tc>
          <w:tcPr>
            <w:tcW w:type="dxa" w:w="2880"/>
          </w:tcPr>
          <w:p>
            <w:r>
              <w:t>40 000 - 80 000 FCFA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OS dominant</w:t>
            </w:r>
          </w:p>
        </w:tc>
        <w:tc>
          <w:tcPr>
            <w:tcW w:type="dxa" w:w="2880"/>
          </w:tcPr>
          <w:p>
            <w:r>
              <w:t>Android (~95%)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Gamme</w:t>
            </w:r>
          </w:p>
        </w:tc>
        <w:tc>
          <w:tcPr>
            <w:tcW w:type="dxa" w:w="2880"/>
          </w:tcPr>
          <w:p>
            <w:r>
              <w:t>Entrée/milieu (1-3 Go RAM)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5.2 Usage de WhatsApp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WhatsApp = 1ère app de messagerie</w:t>
            </w:r>
          </w:p>
        </w:tc>
        <w:tc>
          <w:tcPr>
            <w:tcW w:type="dxa" w:w="4320"/>
          </w:tcPr>
          <w:p>
            <w:r>
              <w:t>Oui (quasi universelle)</w:t>
            </w:r>
          </w:p>
        </w:tc>
      </w:tr>
      <w:tr>
        <w:tc>
          <w:tcPr>
            <w:tcW w:type="dxa" w:w="4320"/>
          </w:tcPr>
          <w:p>
            <w:r>
              <w:t>Pénétration parmi les possesseurs de smartphones</w:t>
            </w:r>
          </w:p>
        </w:tc>
        <w:tc>
          <w:tcPr>
            <w:tcW w:type="dxa" w:w="4320"/>
          </w:tcPr>
          <w:p>
            <w:r>
              <w:t>~90%+</w:t>
            </w:r>
          </w:p>
        </w:tc>
      </w:tr>
      <w:tr>
        <w:tc>
          <w:tcPr>
            <w:tcW w:type="dxa" w:w="4320"/>
          </w:tcPr>
          <w:p>
            <w:r>
              <w:t>Usage professionnel</w:t>
            </w:r>
          </w:p>
        </w:tc>
        <w:tc>
          <w:tcPr>
            <w:tcW w:type="dxa" w:w="4320"/>
          </w:tcPr>
          <w:p>
            <w:r>
              <w:t>Généralisé (artisans, commerçants, PME)</w:t>
            </w:r>
          </w:p>
        </w:tc>
      </w:tr>
      <w:tr>
        <w:tc>
          <w:tcPr>
            <w:tcW w:type="dxa" w:w="4320"/>
          </w:tcPr>
          <w:p>
            <w:r>
              <w:t>Groupes WhatsApp pour le commerce</w:t>
            </w:r>
          </w:p>
        </w:tc>
        <w:tc>
          <w:tcPr>
            <w:tcW w:type="dxa" w:w="4320"/>
          </w:tcPr>
          <w:p>
            <w:r>
              <w:t>Pratique courante</w:t>
            </w:r>
          </w:p>
        </w:tc>
      </w:tr>
    </w:tbl>
    <w:p/>
    <w:p>
      <w:r>
        <w:rPr>
          <w:b/>
        </w:rPr>
        <w:t>WhatsApp est l'infrastructure de communication principale en CI.</w:t>
      </w:r>
      <w:r>
        <w:t xml:space="preserve"> Les mécaniciens échangent déjà des photos de pièces via WhatsApp avec leurs clients et fournisseurs — le workflow Pièces s'inscrit dans un comportement existant.</w:t>
      </w:r>
    </w:p>
    <w:p>
      <w:r>
        <w:rPr>
          <w:i/>
        </w:rPr>
        <w:t>Source : [AskYazi — WhatsApp Usage Africa](https://www.askyazi.com/useful-data-sources-for-africa/whatsapp-usage-across-africa-key-statistics-insights-for-2025)</w:t>
      </w:r>
    </w:p>
    <w:p>
      <w:pPr>
        <w:pStyle w:val="Heading2"/>
      </w:pPr>
      <w:r>
        <w:t>5.3 Connectivité internet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Utilisateurs internet CI (début 2024)</w:t>
            </w:r>
          </w:p>
        </w:tc>
        <w:tc>
          <w:tcPr>
            <w:tcW w:type="dxa" w:w="4320"/>
          </w:tcPr>
          <w:p>
            <w:r>
              <w:t>11,23 millions</w:t>
            </w:r>
          </w:p>
        </w:tc>
      </w:tr>
      <w:tr>
        <w:tc>
          <w:tcPr>
            <w:tcW w:type="dxa" w:w="4320"/>
          </w:tcPr>
          <w:p>
            <w:r>
              <w:t>Taux de pénétration internet</w:t>
            </w:r>
          </w:p>
        </w:tc>
        <w:tc>
          <w:tcPr>
            <w:tcW w:type="dxa" w:w="4320"/>
          </w:tcPr>
          <w:p>
            <w:r>
              <w:t>38,4% (2024) → 41,2% (2025)</w:t>
            </w:r>
          </w:p>
        </w:tc>
      </w:tr>
      <w:tr>
        <w:tc>
          <w:tcPr>
            <w:tcW w:type="dxa" w:w="4320"/>
          </w:tcPr>
          <w:p>
            <w:r>
              <w:t>Couverture 3G</w:t>
            </w:r>
          </w:p>
        </w:tc>
        <w:tc>
          <w:tcPr>
            <w:tcW w:type="dxa" w:w="4320"/>
          </w:tcPr>
          <w:p>
            <w:r>
              <w:t>~80% population urbaine</w:t>
            </w:r>
          </w:p>
        </w:tc>
      </w:tr>
      <w:tr>
        <w:tc>
          <w:tcPr>
            <w:tcW w:type="dxa" w:w="4320"/>
          </w:tcPr>
          <w:p>
            <w:r>
              <w:t>Couverture 4G</w:t>
            </w:r>
          </w:p>
        </w:tc>
        <w:tc>
          <w:tcPr>
            <w:tcW w:type="dxa" w:w="4320"/>
          </w:tcPr>
          <w:p>
            <w:r>
              <w:t>~50-60% population urbaine</w:t>
            </w:r>
          </w:p>
        </w:tc>
      </w:tr>
      <w:tr>
        <w:tc>
          <w:tcPr>
            <w:tcW w:type="dxa" w:w="4320"/>
          </w:tcPr>
          <w:p>
            <w:r>
              <w:t>Coût data</w:t>
            </w:r>
          </w:p>
        </w:tc>
        <w:tc>
          <w:tcPr>
            <w:tcW w:type="dxa" w:w="4320"/>
          </w:tcPr>
          <w:p>
            <w:r>
              <w:t>Parmi les plus abordables d'Afrique (&lt; 2% du revenu)</w:t>
            </w:r>
          </w:p>
        </w:tc>
      </w:tr>
    </w:tbl>
    <w:p/>
    <w:p>
      <w:r>
        <w:rPr>
          <w:b/>
        </w:rPr>
        <w:t>Implication pour Pièces :</w:t>
      </w:r>
    </w:p>
    <w:p>
      <w:pPr>
        <w:pStyle w:val="ListBullet"/>
      </w:pPr>
      <w:r>
        <w:t xml:space="preserve">PWA offline-first est </w:t>
      </w:r>
      <w:r>
        <w:rPr>
          <w:b/>
        </w:rPr>
        <w:t>essentiel</w:t>
      </w:r>
      <w:r>
        <w:t xml:space="preserve"> (connexion instable)</w:t>
      </w:r>
    </w:p>
    <w:p>
      <w:pPr>
        <w:pStyle w:val="ListBullet"/>
      </w:pPr>
      <w:r>
        <w:t>Compression d'images nécessaire (coût data)</w:t>
      </w:r>
    </w:p>
    <w:p>
      <w:pPr>
        <w:pStyle w:val="ListBullet"/>
      </w:pPr>
      <w:r>
        <w:t>WhatsApp comme canal alternatif quand la PWA est inaccessible</w:t>
      </w:r>
    </w:p>
    <w:p>
      <w:r>
        <w:rPr>
          <w:i/>
        </w:rPr>
        <w:t>Sources : [DataReportal — Digital 2024 CI](https://datareportal.com/reports/digital-2024-cote-divoire), [Worlddata.info](https://www.worlddata.info/africa/ivory-coast/telecommunication.php)</w:t>
      </w:r>
    </w:p>
    <w:p>
      <w:pPr>
        <w:pStyle w:val="Heading2"/>
      </w:pPr>
      <w:r>
        <w:t>5.4 PWA adoption en Afrique de l'Ouest</w:t>
      </w:r>
    </w:p>
    <w:p>
      <w:r>
        <w:t>Les PWA sont particulièrement adaptées au marché africain :</w:t>
      </w:r>
    </w:p>
    <w:p>
      <w:pPr>
        <w:pStyle w:val="ListBullet"/>
      </w:pPr>
      <w:r>
        <w:t>Pas de téléchargement Play Store (économie de data et stockage)</w:t>
      </w:r>
    </w:p>
    <w:p>
      <w:pPr>
        <w:pStyle w:val="ListBullet"/>
      </w:pPr>
      <w:r>
        <w:t>Fonctionnement en mode dégradé (offline/low bandwidth)</w:t>
      </w:r>
    </w:p>
    <w:p>
      <w:pPr>
        <w:pStyle w:val="ListBullet"/>
      </w:pPr>
      <w:r>
        <w:t>Mises à jour transparentes</w:t>
      </w:r>
    </w:p>
    <w:p>
      <w:pPr>
        <w:pStyle w:val="ListBullet"/>
      </w:pPr>
      <w:r>
        <w:rPr>
          <w:b/>
        </w:rPr>
        <w:t>Jumia</w:t>
      </w:r>
      <w:r>
        <w:t xml:space="preserve"> utilise déjà une PWA pour certains marchés africains</w:t>
      </w:r>
    </w:p>
    <w:p>
      <w:pPr>
        <w:pStyle w:val="ListBullet"/>
      </w:pPr>
      <w:r>
        <w:t>67% des commandes Jumia CI en 2024 venaient de zones secondaires — preuve que le e-commerce fonctionne hors Abidjan</w:t>
      </w:r>
    </w:p>
    <w:p>
      <w:pPr>
        <w:pStyle w:val="Heading1"/>
      </w:pPr>
      <w:r>
        <w:t>6. Cadre Réglementaire</w:t>
      </w:r>
    </w:p>
    <w:p>
      <w:pPr>
        <w:pStyle w:val="Heading2"/>
      </w:pPr>
      <w:r>
        <w:t>6.1 Réglementation importation pièces auto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Règle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Droits de douane</w:t>
            </w:r>
          </w:p>
        </w:tc>
        <w:tc>
          <w:tcPr>
            <w:tcW w:type="dxa" w:w="4320"/>
          </w:tcPr>
          <w:p>
            <w:r>
              <w:t>15-25% selon le type de pièce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Pré-inspection</w:t>
            </w:r>
          </w:p>
        </w:tc>
        <w:tc>
          <w:tcPr>
            <w:tcW w:type="dxa" w:w="4320"/>
          </w:tcPr>
          <w:p>
            <w:r>
              <w:t>Obligatoire pour les importations</w:t>
            </w:r>
          </w:p>
        </w:tc>
      </w:tr>
      <w:tr>
        <w:tc>
          <w:tcPr>
            <w:tcW w:type="dxa" w:w="4320"/>
          </w:tcPr>
          <w:p>
            <w:r>
              <w:t>Certificat de conformité</w:t>
            </w:r>
          </w:p>
        </w:tc>
        <w:tc>
          <w:tcPr>
            <w:tcW w:type="dxa" w:w="4320"/>
          </w:tcPr>
          <w:p>
            <w:r>
              <w:t>Requis</w:t>
            </w:r>
          </w:p>
        </w:tc>
      </w:tr>
      <w:tr>
        <w:tc>
          <w:tcPr>
            <w:tcW w:type="dxa" w:w="4320"/>
          </w:tcPr>
          <w:p>
            <w:r>
              <w:t>Contrefaçon</w:t>
            </w:r>
          </w:p>
        </w:tc>
        <w:tc>
          <w:tcPr>
            <w:tcW w:type="dxa" w:w="4320"/>
          </w:tcPr>
          <w:p>
            <w:r>
              <w:t>Interdite à l'importation (loi douanière ivoirienne)</w:t>
            </w:r>
          </w:p>
        </w:tc>
      </w:tr>
      <w:tr>
        <w:tc>
          <w:tcPr>
            <w:tcW w:type="dxa" w:w="4320"/>
          </w:tcPr>
          <w:p>
            <w:r>
              <w:t>Marquage d'origine</w:t>
            </w:r>
          </w:p>
        </w:tc>
        <w:tc>
          <w:tcPr>
            <w:tcW w:type="dxa" w:w="4320"/>
          </w:tcPr>
          <w:p>
            <w:r>
              <w:t>Obligatoire — les produits sans indication d'origine sont prohibés</w:t>
            </w:r>
          </w:p>
        </w:tc>
      </w:tr>
    </w:tbl>
    <w:p/>
    <w:p>
      <w:r>
        <w:rPr>
          <w:i/>
        </w:rPr>
        <w:t>Source : [Douanes ivoiriennes](https://www.douanes.ci/professionnel/marchandises-prohibeesinterdites)</w:t>
      </w:r>
    </w:p>
    <w:p>
      <w:pPr>
        <w:pStyle w:val="Heading2"/>
      </w:pPr>
      <w:r>
        <w:t>6.2 Réglementation e-commerce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Texte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t>Loi n°2013-546 (transactions électroniques)</w:t>
            </w:r>
          </w:p>
        </w:tc>
        <w:tc>
          <w:tcPr>
            <w:tcW w:type="dxa" w:w="4320"/>
          </w:tcPr>
          <w:p>
            <w:r>
              <w:t>Cadre juridique du e-commerce en CI</w:t>
            </w:r>
          </w:p>
        </w:tc>
      </w:tr>
      <w:tr>
        <w:tc>
          <w:tcPr>
            <w:tcW w:type="dxa" w:w="4320"/>
          </w:tcPr>
          <w:p>
            <w:r>
              <w:t>Loi n°2013-450 (protection des données personnelles)</w:t>
            </w:r>
          </w:p>
        </w:tc>
        <w:tc>
          <w:tcPr>
            <w:tcW w:type="dxa" w:w="4320"/>
          </w:tcPr>
          <w:p>
            <w:r>
              <w:t>Equivalent local du RGPD</w:t>
            </w:r>
          </w:p>
        </w:tc>
      </w:tr>
      <w:tr>
        <w:tc>
          <w:tcPr>
            <w:tcW w:type="dxa" w:w="4320"/>
          </w:tcPr>
          <w:p>
            <w:r>
              <w:t>Stratégie nationale e-commerce</w:t>
            </w:r>
          </w:p>
        </w:tc>
        <w:tc>
          <w:tcPr>
            <w:tcW w:type="dxa" w:w="4320"/>
          </w:tcPr>
          <w:p>
            <w:r>
              <w:t>En cours d'élaboration — plan d'actions horizon 2028</w:t>
            </w:r>
          </w:p>
        </w:tc>
      </w:tr>
    </w:tbl>
    <w:p/>
    <w:p>
      <w:r>
        <w:rPr>
          <w:b/>
        </w:rPr>
        <w:t>Environnement favorable :</w:t>
      </w:r>
      <w:r>
        <w:t xml:space="preserve"> Le gouvernement ivoirien encourage activement le e-commerce et la digitalisation de l'économie. Pas de barrière réglementaire spécifique à une marketplace de pièces auto.</w:t>
      </w:r>
    </w:p>
    <w:p>
      <w:pPr>
        <w:pStyle w:val="Heading2"/>
      </w:pPr>
      <w:r>
        <w:t>6.3 Réglementation véhicules d'occasion</w:t>
      </w:r>
    </w:p>
    <w:p>
      <w:pPr>
        <w:pStyle w:val="ListBullet"/>
      </w:pPr>
      <w:r>
        <w:t>Depuis 2018 : limitation progressive de l'âge des véhicules importés d'occasion</w:t>
      </w:r>
    </w:p>
    <w:p>
      <w:pPr>
        <w:pStyle w:val="ListBullet"/>
      </w:pPr>
      <w:r>
        <w:t>Objectif : rajeunir le parc automobile</w:t>
      </w:r>
    </w:p>
    <w:p>
      <w:pPr>
        <w:pStyle w:val="ListBullet"/>
      </w:pPr>
      <w:r>
        <w:rPr>
          <w:b/>
        </w:rPr>
        <w:t>Effet indirect :</w:t>
      </w:r>
      <w:r>
        <w:t xml:space="preserve"> Augmente la demande de pièces pour les véhicules plus récents (moins de pièces d'occasion disponibles pour les modèles récents)</w:t>
      </w:r>
    </w:p>
    <w:p>
      <w:pPr>
        <w:pStyle w:val="Heading1"/>
      </w:pPr>
      <w:r>
        <w:t>7. Modèles de Référence</w:t>
      </w:r>
    </w:p>
    <w:p>
      <w:pPr>
        <w:pStyle w:val="Heading2"/>
      </w:pPr>
      <w:r>
        <w:t>7.1 Marketplaces pièces auto dans les marchés émergents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Plateforme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Marché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Modèle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Leçons pour Pièces</w:t>
            </w:r>
          </w:p>
        </w:tc>
      </w:tr>
      <w:tr>
        <w:tc>
          <w:tcPr>
            <w:tcW w:type="dxa" w:w="2160"/>
          </w:tcPr>
          <w:p>
            <w:r>
              <w:t>Garage (YC S22)</w:t>
            </w:r>
          </w:p>
        </w:tc>
        <w:tc>
          <w:tcPr>
            <w:tcW w:type="dxa" w:w="2160"/>
          </w:tcPr>
          <w:p>
            <w:r>
              <w:t>Ghana/Nigeria</w:t>
            </w:r>
          </w:p>
        </w:tc>
        <w:tc>
          <w:tcPr>
            <w:tcW w:type="dxa" w:w="2160"/>
          </w:tcPr>
          <w:p>
            <w:r>
              <w:t>B2B wholesale → détaillants</w:t>
            </w:r>
          </w:p>
        </w:tc>
        <w:tc>
          <w:tcPr>
            <w:tcW w:type="dxa" w:w="2160"/>
          </w:tcPr>
          <w:p>
            <w:r>
              <w:t>A pivoté — difficulté à monétiser le B2B, unit economics fragiles sur la distribution physique</w:t>
            </w:r>
          </w:p>
        </w:tc>
      </w:tr>
      <w:tr>
        <w:tc>
          <w:tcPr>
            <w:tcW w:type="dxa" w:w="2160"/>
          </w:tcPr>
          <w:p>
            <w:r>
              <w:t>Parts24</w:t>
            </w:r>
          </w:p>
        </w:tc>
        <w:tc>
          <w:tcPr>
            <w:tcW w:type="dxa" w:w="2160"/>
          </w:tcPr>
          <w:p>
            <w:r>
              <w:t>Maroc</w:t>
            </w:r>
          </w:p>
        </w:tc>
        <w:tc>
          <w:tcPr>
            <w:tcW w:type="dxa" w:w="2160"/>
          </w:tcPr>
          <w:p>
            <w:r>
              <w:t>Multi-vendeurs, occasion</w:t>
            </w:r>
          </w:p>
        </w:tc>
        <w:tc>
          <w:tcPr>
            <w:tcW w:type="dxa" w:w="2160"/>
          </w:tcPr>
          <w:p>
            <w:r>
              <w:t>Fonctionne dans un marché plus structuré — le Maroc a un adressage, des références, etc.</w:t>
            </w:r>
          </w:p>
        </w:tc>
      </w:tr>
      <w:tr>
        <w:tc>
          <w:tcPr>
            <w:tcW w:type="dxa" w:w="2160"/>
          </w:tcPr>
          <w:p>
            <w:r>
              <w:t>BuyParts24</w:t>
            </w:r>
          </w:p>
        </w:tc>
        <w:tc>
          <w:tcPr>
            <w:tcW w:type="dxa" w:w="2160"/>
          </w:tcPr>
          <w:p>
            <w:r>
              <w:t>UAE</w:t>
            </w:r>
          </w:p>
        </w:tc>
        <w:tc>
          <w:tcPr>
            <w:tcW w:type="dxa" w:w="2160"/>
          </w:tcPr>
          <w:p>
            <w:r>
              <w:t>B2B distributeurs → garages</w:t>
            </w:r>
          </w:p>
        </w:tc>
        <w:tc>
          <w:tcPr>
            <w:tcW w:type="dxa" w:w="2160"/>
          </w:tcPr>
          <w:p>
            <w:r>
              <w:t>Modèle VIN-driven — difficile à transposer en Afrique (pas de données VIN)</w:t>
            </w:r>
          </w:p>
        </w:tc>
      </w:tr>
      <w:tr>
        <w:tc>
          <w:tcPr>
            <w:tcW w:type="dxa" w:w="2160"/>
          </w:tcPr>
          <w:p>
            <w:r>
              <w:t>Partium</w:t>
            </w:r>
          </w:p>
        </w:tc>
        <w:tc>
          <w:tcPr>
            <w:tcW w:type="dxa" w:w="2160"/>
          </w:tcPr>
          <w:p>
            <w:r>
              <w:t>Global (B2B)</w:t>
            </w:r>
          </w:p>
        </w:tc>
        <w:tc>
          <w:tcPr>
            <w:tcW w:type="dxa" w:w="2160"/>
          </w:tcPr>
          <w:p>
            <w:r>
              <w:t>IA visual search pour pièces industrielles</w:t>
            </w:r>
          </w:p>
        </w:tc>
        <w:tc>
          <w:tcPr>
            <w:tcW w:type="dxa" w:w="2160"/>
          </w:tcPr>
          <w:p>
            <w:r>
              <w:t>Technologie de référence — 350M+ pièces OEM dans leur catalogue</w:t>
            </w:r>
          </w:p>
        </w:tc>
      </w:tr>
      <w:tr>
        <w:tc>
          <w:tcPr>
            <w:tcW w:type="dxa" w:w="2160"/>
          </w:tcPr>
          <w:p>
            <w:r>
              <w:t>Autodoc</w:t>
            </w:r>
          </w:p>
        </w:tc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E-commerce pièces auto</w:t>
            </w:r>
          </w:p>
        </w:tc>
        <w:tc>
          <w:tcPr>
            <w:tcW w:type="dxa" w:w="2160"/>
          </w:tcPr>
          <w:p>
            <w:r>
              <w:t>Leader européen — recherche par véhicule, catalogue structuré</w:t>
            </w:r>
          </w:p>
        </w:tc>
      </w:tr>
    </w:tbl>
    <w:p/>
    <w:p>
      <w:pPr>
        <w:pStyle w:val="Heading2"/>
      </w:pPr>
      <w:r>
        <w:t>7.2 Leçons de l'échec de Garage (YC S22)</w:t>
      </w:r>
    </w:p>
    <w:p>
      <w:r>
        <w:t xml:space="preserve">L'échec de Garage est </w:t>
      </w:r>
      <w:r>
        <w:rPr>
          <w:b/>
        </w:rPr>
        <w:t>le cas d'étude le plus pertinent</w:t>
      </w:r>
      <w:r>
        <w:t xml:space="preserve"> pour Pièces :</w:t>
      </w:r>
    </w:p>
    <w:p>
      <w:pPr>
        <w:pStyle w:val="ListBullet"/>
      </w:pPr>
      <w:r>
        <w:rPr>
          <w:b/>
        </w:rPr>
        <w:t>Ce qu'ils ont bien fait :</w:t>
      </w:r>
      <w:r>
        <w:t xml:space="preserve"> Identifié le marché ($25B aftermarket Afrique), approche B2B, financement YC</w:t>
      </w:r>
    </w:p>
    <w:p>
      <w:pPr>
        <w:pStyle w:val="ListBullet"/>
      </w:pPr>
      <w:r>
        <w:rPr>
          <w:b/>
        </w:rPr>
        <w:t>Pourquoi ils ont pivoté :</w:t>
      </w:r>
    </w:p>
    <w:p>
      <w:pPr>
        <w:pStyle w:val="ListBullet"/>
      </w:pPr>
      <w:r>
        <w:t>Difficulté à construire un catalogue sans références standardisées</w:t>
      </w:r>
    </w:p>
    <w:p>
      <w:pPr>
        <w:pStyle w:val="ListBullet"/>
      </w:pPr>
      <w:r>
        <w:t>Unit economics fragiles sur la logistique physique (livrer des pièces est coûteux)</w:t>
      </w:r>
    </w:p>
    <w:p>
      <w:pPr>
        <w:pStyle w:val="ListBullet"/>
      </w:pPr>
      <w:r>
        <w:t>Résistance des retailers informels au changement</w:t>
      </w:r>
    </w:p>
    <w:p>
      <w:pPr>
        <w:pStyle w:val="ListBullet"/>
      </w:pPr>
      <w:r>
        <w:t>Modèle B2B wholesale = marges faibles, volume nécessaire énorme</w:t>
      </w:r>
    </w:p>
    <w:p>
      <w:r>
        <w:rPr>
          <w:b/>
        </w:rPr>
        <w:t>Ce que Pièces fait différemment :</w:t>
      </w:r>
    </w:p>
    <w:p>
      <w:pPr>
        <w:pStyle w:val="ListNumber"/>
      </w:pPr>
      <w:r>
        <w:rPr>
          <w:b/>
        </w:rPr>
        <w:t>IA photo</w:t>
      </w:r>
      <w:r>
        <w:t xml:space="preserve"> → résout le problème des références manquantes</w:t>
      </w:r>
    </w:p>
    <w:p>
      <w:pPr>
        <w:pStyle w:val="ListNumber"/>
      </w:pPr>
      <w:r>
        <w:rPr>
          <w:b/>
        </w:rPr>
        <w:t>Modèle B2C2C</w:t>
      </w:r>
      <w:r>
        <w:t xml:space="preserve"> (pas seulement B2B) → accès au consommateur final via le workflow tripartite</w:t>
      </w:r>
    </w:p>
    <w:p>
      <w:pPr>
        <w:pStyle w:val="ListNumber"/>
      </w:pPr>
      <w:r>
        <w:rPr>
          <w:b/>
        </w:rPr>
        <w:t>WhatsApp-first</w:t>
      </w:r>
      <w:r>
        <w:t xml:space="preserve"> → zéro friction d'adoption</w:t>
      </w:r>
    </w:p>
    <w:p>
      <w:pPr>
        <w:pStyle w:val="ListNumber"/>
      </w:pPr>
      <w:r>
        <w:rPr>
          <w:b/>
        </w:rPr>
        <w:t>Revenus logistique</w:t>
      </w:r>
      <w:r>
        <w:t xml:space="preserve"> → capture de valeur à chaque transaction, pas seulement commission</w:t>
      </w:r>
    </w:p>
    <w:p>
      <w:pPr>
        <w:pStyle w:val="ListNumber"/>
      </w:pPr>
      <w:r>
        <w:rPr>
          <w:b/>
        </w:rPr>
        <w:t>Focus CI francophone</w:t>
      </w:r>
      <w:r>
        <w:t xml:space="preserve"> → marché plus petit mais pas de concurrence</w:t>
      </w:r>
    </w:p>
    <w:p>
      <w:pPr>
        <w:pStyle w:val="Heading2"/>
      </w:pPr>
      <w:r>
        <w:t>7.3 Success stories e-commerce en Afrique de l'Ouest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Entreprise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Leçon applicable</w:t>
            </w:r>
          </w:p>
        </w:tc>
      </w:tr>
      <w:tr>
        <w:tc>
          <w:tcPr>
            <w:tcW w:type="dxa" w:w="2880"/>
          </w:tcPr>
          <w:p>
            <w:r>
              <w:t>Jumia</w:t>
            </w:r>
          </w:p>
        </w:tc>
        <w:tc>
          <w:tcPr>
            <w:tcW w:type="dxa" w:w="2880"/>
          </w:tcPr>
          <w:p>
            <w:r>
              <w:t>E-commerce généraliste</w:t>
            </w:r>
          </w:p>
        </w:tc>
        <w:tc>
          <w:tcPr>
            <w:tcW w:type="dxa" w:w="2880"/>
          </w:tcPr>
          <w:p>
            <w:r>
              <w:t>Le COD et les points de retrait sont indispensables. 67% des commandes viennent hors capitales.</w:t>
            </w:r>
          </w:p>
        </w:tc>
      </w:tr>
      <w:tr>
        <w:tc>
          <w:tcPr>
            <w:tcW w:type="dxa" w:w="2880"/>
          </w:tcPr>
          <w:p>
            <w:r>
              <w:t>Glovo/Yango</w:t>
            </w:r>
          </w:p>
        </w:tc>
        <w:tc>
          <w:tcPr>
            <w:tcW w:type="dxa" w:w="2880"/>
          </w:tcPr>
          <w:p>
            <w:r>
              <w:t>Livraison à la demande</w:t>
            </w:r>
          </w:p>
        </w:tc>
        <w:tc>
          <w:tcPr>
            <w:tcW w:type="dxa" w:w="2880"/>
          </w:tcPr>
          <w:p>
            <w:r>
              <w:t>La flotte de moto-coursiers fonctionne à Abidjan. Infrastructure de livraison existante.</w:t>
            </w:r>
          </w:p>
        </w:tc>
      </w:tr>
      <w:tr>
        <w:tc>
          <w:tcPr>
            <w:tcW w:type="dxa" w:w="2880"/>
          </w:tcPr>
          <w:p>
            <w:r>
              <w:t>Wave</w:t>
            </w:r>
          </w:p>
        </w:tc>
        <w:tc>
          <w:tcPr>
            <w:tcW w:type="dxa" w:w="2880"/>
          </w:tcPr>
          <w:p>
            <w:r>
              <w:t>Mobile money</w:t>
            </w:r>
          </w:p>
        </w:tc>
        <w:tc>
          <w:tcPr>
            <w:tcW w:type="dxa" w:w="2880"/>
          </w:tcPr>
          <w:p>
            <w:r>
              <w:t>L'adoption explose quand on supprime les frais et simplifie l'UX.</w:t>
            </w:r>
          </w:p>
        </w:tc>
      </w:tr>
      <w:tr>
        <w:tc>
          <w:tcPr>
            <w:tcW w:type="dxa" w:w="2880"/>
          </w:tcPr>
          <w:p>
            <w:r>
              <w:t>Twiga Foods</w:t>
            </w:r>
          </w:p>
        </w:tc>
        <w:tc>
          <w:tcPr>
            <w:tcW w:type="dxa" w:w="2880"/>
          </w:tcPr>
          <w:p>
            <w:r>
              <w:t>Agri-tech (Kenya)</w:t>
            </w:r>
          </w:p>
        </w:tc>
        <w:tc>
          <w:tcPr>
            <w:tcW w:type="dxa" w:w="2880"/>
          </w:tcPr>
          <w:p>
            <w:r>
              <w:t>Agrégation de l'offre informelle + livraison structurée — modèle très similaire à Pièces</w:t>
            </w:r>
          </w:p>
        </w:tc>
      </w:tr>
    </w:tbl>
    <w:p/>
    <w:p>
      <w:pPr>
        <w:pStyle w:val="Heading2"/>
      </w:pPr>
      <w:r>
        <w:t>7.4 Leçons clés pour Pièces</w:t>
      </w:r>
    </w:p>
    <w:p>
      <w:pPr>
        <w:pStyle w:val="ListNumber"/>
      </w:pPr>
      <w:r>
        <w:rPr>
          <w:b/>
        </w:rPr>
        <w:t>Cash-on-delivery est non-négociable</w:t>
      </w:r>
      <w:r>
        <w:t xml:space="preserve"> au lancement (leçon Jumia)</w:t>
      </w:r>
    </w:p>
    <w:p>
      <w:pPr>
        <w:pStyle w:val="ListNumber"/>
      </w:pPr>
      <w:r>
        <w:rPr>
          <w:b/>
        </w:rPr>
        <w:t>Les agents terrain sont essentiels</w:t>
      </w:r>
      <w:r>
        <w:t xml:space="preserve"> pour onboarder les vendeurs informels (leçon M-Pesa, Twiga)</w:t>
      </w:r>
    </w:p>
    <w:p>
      <w:pPr>
        <w:pStyle w:val="ListNumber"/>
      </w:pPr>
      <w:r>
        <w:rPr>
          <w:b/>
        </w:rPr>
        <w:t>WhatsApp &gt; App native</w:t>
      </w:r>
      <w:r>
        <w:t xml:space="preserve"> pour l'adoption initiale (leçon Wave, comportement local)</w:t>
      </w:r>
    </w:p>
    <w:p>
      <w:pPr>
        <w:pStyle w:val="ListNumber"/>
      </w:pPr>
      <w:r>
        <w:rPr>
          <w:b/>
        </w:rPr>
        <w:t>Commencer petit et parfait</w:t>
      </w:r>
      <w:r>
        <w:t xml:space="preserve"> plutôt que large et médiocre (leçon Garage — ils ont essayé de scaler trop vite)</w:t>
      </w:r>
    </w:p>
    <w:p>
      <w:pPr>
        <w:pStyle w:val="ListNumber"/>
      </w:pPr>
      <w:r>
        <w:rPr>
          <w:b/>
        </w:rPr>
        <w:t>La logistique est un centre de profit</w:t>
      </w:r>
      <w:r>
        <w:t>, pas juste un coût (leçon Glovo)</w:t>
      </w:r>
    </w:p>
    <w:p>
      <w:pPr>
        <w:pStyle w:val="ListNumber"/>
      </w:pPr>
      <w:r>
        <w:rPr>
          <w:b/>
        </w:rPr>
        <w:t>La data est la vraie moat</w:t>
      </w:r>
      <w:r>
        <w:t xml:space="preserve"> à long terme — qui achète quoi, à quel prix, où (leçon Afridigest)</w:t>
      </w:r>
    </w:p>
    <w:p>
      <w:pPr>
        <w:pStyle w:val="Heading1"/>
      </w:pPr>
      <w:r>
        <w:t>Sources Principales</w:t>
      </w:r>
    </w:p>
    <w:p>
      <w:pPr>
        <w:pStyle w:val="ListBullet"/>
      </w:pPr>
      <w:r>
        <w:t>Douanes ivoiriennes</w:t>
      </w:r>
    </w:p>
    <w:p>
      <w:pPr>
        <w:pStyle w:val="ListBullet"/>
      </w:pPr>
      <w:r>
        <w:t>Revue RASP — Garages automobiles Abidjan</w:t>
      </w:r>
    </w:p>
    <w:p>
      <w:pPr>
        <w:pStyle w:val="ListBullet"/>
      </w:pPr>
      <w:r>
        <w:t>BSTP — Cluster mécanique automobile</w:t>
      </w:r>
    </w:p>
    <w:p>
      <w:pPr>
        <w:pStyle w:val="ListBullet"/>
      </w:pPr>
      <w:r>
        <w:t>DALOGÉO — Mécaniciens Korhogo</w:t>
      </w:r>
    </w:p>
    <w:p>
      <w:pPr>
        <w:pStyle w:val="ListBullet"/>
      </w:pPr>
      <w:r>
        <w:t>DataReportal — Digital 2024 Côte d'Ivoire</w:t>
      </w:r>
    </w:p>
    <w:p>
      <w:pPr>
        <w:pStyle w:val="ListBullet"/>
      </w:pPr>
      <w:r>
        <w:t>AskYazi — WhatsApp Africa</w:t>
      </w:r>
    </w:p>
    <w:p>
      <w:pPr>
        <w:pStyle w:val="ListBullet"/>
      </w:pPr>
      <w:r>
        <w:t>MTN — Mobile Money Revolution</w:t>
      </w:r>
    </w:p>
    <w:p>
      <w:pPr>
        <w:pStyle w:val="ListBullet"/>
      </w:pPr>
      <w:r>
        <w:t>TriplePundit — Wave CI</w:t>
      </w:r>
    </w:p>
    <w:p>
      <w:pPr>
        <w:pStyle w:val="ListBullet"/>
      </w:pPr>
      <w:r>
        <w:t>The Africa Report — Wave vs MTN/Orange</w:t>
      </w:r>
    </w:p>
    <w:p>
      <w:pPr>
        <w:pStyle w:val="ListBullet"/>
      </w:pPr>
      <w:r>
        <w:t>Afridigest — Africa's Spare Parts Opportunity</w:t>
      </w:r>
    </w:p>
    <w:p>
      <w:pPr>
        <w:pStyle w:val="ListBullet"/>
      </w:pPr>
      <w:r>
        <w:t>Future Africa — Spare Parts Opportunity</w:t>
      </w:r>
    </w:p>
    <w:p>
      <w:pPr>
        <w:pStyle w:val="ListBullet"/>
      </w:pPr>
      <w:r>
        <w:t>YC — Garage/Rima AI</w:t>
      </w:r>
    </w:p>
    <w:p>
      <w:pPr>
        <w:pStyle w:val="ListBullet"/>
      </w:pPr>
      <w:r>
        <w:t>Partium — Visual Part Search</w:t>
      </w:r>
    </w:p>
    <w:p>
      <w:pPr>
        <w:pStyle w:val="ListBullet"/>
      </w:pPr>
      <w:r>
        <w:t>CinetPay</w:t>
      </w:r>
    </w:p>
    <w:p>
      <w:pPr>
        <w:pStyle w:val="ListBullet"/>
      </w:pPr>
      <w:r>
        <w:t>FedaPay</w:t>
      </w:r>
    </w:p>
    <w:p>
      <w:pPr>
        <w:pStyle w:val="ListBullet"/>
      </w:pPr>
      <w:r>
        <w:t>Jumia Group — E-Commerce Rural 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