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b3da8a3d2d65441fe43742b8dc8d7b59582320"/>
    <w:p>
      <w:pPr>
        <w:pStyle w:val="Heading1"/>
      </w:pPr>
      <w:r>
        <w:t xml:space="preserve">Où trouver les pièces que la Côte d'Ivoire n'a pas</w:t>
      </w:r>
    </w:p>
    <w:bookmarkStart w:id="20" w:name="ce-que-la-rubrique-doit-servir"/>
    <w:p>
      <w:pPr>
        <w:pStyle w:val="Heading2"/>
      </w:pPr>
      <w:r>
        <w:t xml:space="preserve">Ce que la rubrique doit servir</w:t>
      </w:r>
    </w:p>
    <w:p>
      <w:pPr>
        <w:pStyle w:val="FirstParagraph"/>
      </w:pPr>
      <w:r>
        <w:t xml:space="preserve">Le parc ivoirien compte plus de 600 000 véhicules, dont environ</w:t>
      </w:r>
      <w:r>
        <w:t xml:space="preserve"> </w:t>
      </w:r>
      <w:r>
        <w:rPr>
          <w:b/>
          <w:bCs/>
        </w:rPr>
        <w:t xml:space="preserve">77 % d'occasion importée</w:t>
      </w:r>
      <w:r>
        <w:t xml:space="preserve">, majoritairement de France, de Belgique et d'Allemagne. Cette origine décide de la nature du stock de pièces dont nous avons besoin.</w:t>
      </w:r>
    </w:p>
    <w:p>
      <w:pPr>
        <w:pStyle w:val="BodyText"/>
      </w:pPr>
      <w:r>
        <w:t xml:space="preserve">Mais le flux de renouvellement raconte autre chose : sur les ventes 2025,</w:t>
      </w:r>
      <w:r>
        <w:t xml:space="preserve"> </w:t>
      </w:r>
      <w:r>
        <w:rPr>
          <w:b/>
          <w:bCs/>
        </w:rPr>
        <w:t xml:space="preserve">Toyota pèse près de 47 %</w:t>
      </w:r>
      <w:r>
        <w:t xml:space="preserve"> </w:t>
      </w:r>
      <w:r>
        <w:t xml:space="preserve">du marché et Suzuki occupe la deuxième place — les deux marques cumulant 84 % des parts. Le parc roulant est donc européen par héritage et japonais par tendance.</w:t>
      </w:r>
    </w:p>
    <w:p>
      <w:pPr>
        <w:pStyle w:val="BodyText"/>
      </w:pPr>
      <w:r>
        <w:t xml:space="preserve">Conséquence directe sur le sourcing : une source unique nous laisserait aveugles sur la moitié de la demande. L'ordre d'intégration doit suivre cette géographie, pas la taille brute des catalogues.</w:t>
      </w:r>
    </w:p>
    <w:bookmarkEnd w:id="20"/>
    <w:bookmarkStart w:id="21" w:name="X9b5cdf9000d11e98721795a2f547fe7571d1464"/>
    <w:p>
      <w:pPr>
        <w:pStyle w:val="Heading2"/>
      </w:pPr>
      <w:r>
        <w:t xml:space="preserve">Les gisements, classés par intégrabilité réelle</w:t>
      </w:r>
    </w:p>
    <w:p>
      <w:pPr>
        <w:pStyle w:val="FirstParagraph"/>
      </w:pPr>
      <w:r>
        <w:t xml:space="preserve">Chaque candidat a été testé techniquement : fichier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 accès effectif à une page, structure des données servies.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Stock indexé</w:t>
            </w:r>
          </w:p>
        </w:tc>
        <w:tc>
          <w:tcPr/>
          <w:p>
            <w:pPr>
              <w:pStyle w:val="Compact"/>
            </w:pPr>
            <w:r>
              <w:t xml:space="preserve">Accès vérifié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Opisto</w:t>
            </w:r>
            <w:r>
              <w:t xml:space="preserve"> </w:t>
            </w:r>
            <w:r>
              <w:t xml:space="preserve">(France, 230+ centres VHU)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12,05 M pièces</w:t>
            </w:r>
          </w:p>
        </w:tc>
        <w:tc>
          <w:tcPr/>
          <w:p>
            <w:pPr>
              <w:pStyle w:val="Compact"/>
            </w:pPr>
            <w:r>
              <w:t xml:space="preserve">Ouvert — index de recherche public,</w:t>
            </w:r>
            <w:r>
              <w:t xml:space="preserve"> </w:t>
            </w:r>
            <w:r>
              <w:rPr>
                <w:rStyle w:val="VerbatimChar"/>
              </w:rPr>
              <w:t xml:space="preserve">robots.txt</w:t>
            </w:r>
            <w:r>
              <w:t xml:space="preserve"> </w:t>
            </w:r>
            <w:r>
              <w:t xml:space="preserve">permissif, quatre sitemaps, aucune protection anti-robot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eBay Motors</w:t>
            </w:r>
            <w:r>
              <w:t xml:space="preserve"> </w:t>
            </w:r>
            <w:r>
              <w:t xml:space="preserve">(API Browse)</w:t>
            </w:r>
          </w:p>
        </w:tc>
        <w:tc>
          <w:tcPr/>
          <w:p>
            <w:pPr>
              <w:pStyle w:val="Compact"/>
            </w:pPr>
            <w:r>
              <w:t xml:space="preserve">Très large — Allemagne, Royaume-Uni, États-Unis</w:t>
            </w:r>
          </w:p>
        </w:tc>
        <w:tc>
          <w:tcPr/>
          <w:p>
            <w:pPr>
              <w:pStyle w:val="Compact"/>
            </w:pPr>
            <w:r>
              <w:t xml:space="preserve">API officielle et gratuite, avec filtre de compatibilité marque / modèle / année / motorisation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Ovoko (Baltique, pan-européen)</w:t>
            </w:r>
          </w:p>
        </w:tc>
        <w:tc>
          <w:tcPr/>
          <w:p>
            <w:pPr>
              <w:pStyle w:val="Compact"/>
            </w:pPr>
            <w:r>
              <w:t xml:space="preserve">32 M pièces, 5 000 vendeurs</w:t>
            </w:r>
          </w:p>
        </w:tc>
        <w:tc>
          <w:tcPr/>
          <w:p>
            <w:pPr>
              <w:pStyle w:val="Compact"/>
            </w:pPr>
            <w:r>
              <w:t xml:space="preserve">Bloqué (Cloudflare, HTTP 403)</w:t>
            </w:r>
          </w:p>
        </w:tc>
        <w:tc>
          <w:tcPr/>
          <w:p>
            <w:pPr>
              <w:pStyle w:val="Compact"/>
            </w:pPr>
            <w:r>
              <w:t xml:space="preserve">Partenariat requis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Partsouq (Émirats)</w:t>
            </w:r>
          </w:p>
        </w:tc>
        <w:tc>
          <w:tcPr/>
          <w:p>
            <w:pPr>
              <w:pStyle w:val="Compact"/>
            </w:pPr>
            <w:r>
              <w:t xml:space="preserve">Catalogue OEM mondial</w:t>
            </w:r>
          </w:p>
        </w:tc>
        <w:tc>
          <w:tcPr/>
          <w:p>
            <w:pPr>
              <w:pStyle w:val="Compact"/>
            </w:pPr>
            <w:r>
              <w:t xml:space="preserve">Bloqué (Cloudflare, HTTP 403)</w:t>
            </w:r>
          </w:p>
        </w:tc>
        <w:tc>
          <w:tcPr/>
          <w:p>
            <w:pPr>
              <w:pStyle w:val="Compact"/>
            </w:pPr>
            <w:r>
              <w:t xml:space="preserve">Partenariat requis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Amayama (Japon)</w:t>
            </w:r>
          </w:p>
        </w:tc>
        <w:tc>
          <w:tcPr/>
          <w:p>
            <w:pPr>
              <w:pStyle w:val="Compact"/>
            </w:pPr>
            <w:r>
              <w:t xml:space="preserve">OEM japonais neuf</w:t>
            </w:r>
          </w:p>
        </w:tc>
        <w:tc>
          <w:tcPr/>
          <w:p>
            <w:pPr>
              <w:pStyle w:val="Compact"/>
            </w:pPr>
            <w:r>
              <w:t xml:space="preserve">Bloqué (Cloudflare, HTTP 403) ; prix et API explicitement interdits au robot</w:t>
            </w:r>
          </w:p>
        </w:tc>
        <w:tc>
          <w:tcPr/>
          <w:p>
            <w:pPr>
              <w:pStyle w:val="Compact"/>
            </w:pPr>
            <w:r>
              <w:t xml:space="preserve">Partenariat requis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UpGarage / Croooober (Japon)</w:t>
            </w:r>
          </w:p>
        </w:tc>
        <w:tc>
          <w:tcPr/>
          <w:p>
            <w:pPr>
              <w:pStyle w:val="Compact"/>
            </w:pPr>
            <w:r>
              <w:t xml:space="preserve">800 000 articles</w:t>
            </w:r>
          </w:p>
        </w:tc>
        <w:tc>
          <w:tcPr/>
          <w:p>
            <w:pPr>
              <w:pStyle w:val="Compact"/>
            </w:pPr>
            <w:r>
              <w:t xml:space="preserve">Accessible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Écarté</w:t>
            </w:r>
            <w:r>
              <w:t xml:space="preserve"> </w:t>
            </w:r>
            <w:r>
              <w:t xml:space="preserve">— catalogue JDM de préparation, pas les pièces d'usure</w:t>
            </w:r>
          </w:p>
        </w:tc>
      </w:tr>
    </w:tbl>
    <w:bookmarkEnd w:id="21"/>
    <w:bookmarkStart w:id="22" w:name="pourquoi-opisto-passe-en-premier"/>
    <w:p>
      <w:pPr>
        <w:pStyle w:val="Heading2"/>
      </w:pPr>
      <w:r>
        <w:t xml:space="preserve">Pourquoi Opisto passe en premier</w:t>
      </w:r>
    </w:p>
    <w:p>
      <w:pPr>
        <w:pStyle w:val="FirstParagraph"/>
      </w:pPr>
      <w:r>
        <w:t xml:space="preserve">Ce n'est pas le plus gros catalogue accessible : c'est celui dont les données sont</w:t>
      </w:r>
      <w:r>
        <w:t xml:space="preserve"> </w:t>
      </w:r>
      <w:r>
        <w:rPr>
          <w:b/>
          <w:bCs/>
        </w:rPr>
        <w:t xml:space="preserve">déjà dans notre format</w:t>
      </w:r>
      <w:r>
        <w:t xml:space="preserve">. Les libellés sont en français, la référence constructeur est présente, la garantie est de 24 mois, et le véhicule compatible est décrit champ par champ.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Donnée Opisto</w:t>
            </w:r>
          </w:p>
        </w:tc>
        <w:tc>
          <w:tcPr/>
          <w:p>
            <w:pPr>
              <w:pStyle w:val="Compact"/>
            </w:pPr>
            <w:r>
              <w:t xml:space="preserve">Champ Pièces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Libellé français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— aucune traduction à produire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Marque · modèle · finition · année · code moteur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CatalogItemFitment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Référence constructeur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oemReference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Prix, frais et délais de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, délai partenaire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Photo, garantie 24 mois, état</w:t>
            </w:r>
          </w:p>
        </w:tc>
        <w:tc>
          <w:tcPr/>
          <w:p>
            <w:pPr>
              <w:pStyle w:val="Compact"/>
            </w:pPr>
            <w:r>
              <w:t xml:space="preserve">image,</w:t>
            </w:r>
            <w:r>
              <w:t xml:space="preserve"> </w:t>
            </w:r>
            <w:r>
              <w:rPr>
                <w:rStyle w:val="VerbatimChar"/>
              </w:rPr>
              <w:t xml:space="preserve">warranty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Vendeur et localisation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</w:t>
            </w:r>
            <w:r>
              <w:t xml:space="preserve"> </w:t>
            </w:r>
            <w:r>
              <w:t xml:space="preserve">(centre VHU)</w:t>
            </w:r>
          </w:p>
        </w:tc>
      </w:tr>
    </w:tbl>
    <w:p>
      <w:pPr>
        <w:pStyle w:val="BodyText"/>
      </w:pPr>
      <w:r>
        <w:t xml:space="preserve">Le normalizer d'ingestion devient un travail de correspondance, pas d'extraction.</w:t>
      </w:r>
    </w:p>
    <w:p>
      <w:pPr>
        <w:pStyle w:val="BodyText"/>
      </w:pPr>
      <w:r>
        <w:t xml:space="preserve">Niveau de prix relevé sur les marques japonaises du parc ivoirien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Pièce</w:t>
            </w:r>
          </w:p>
        </w:tc>
        <w:tc>
          <w:tcPr/>
          <w:p>
            <w:pPr>
              <w:pStyle w:val="Compact"/>
            </w:pPr>
            <w:r>
              <w:t xml:space="preserve">Stock disponible</w:t>
            </w:r>
          </w:p>
        </w:tc>
        <w:tc>
          <w:tcPr/>
          <w:p>
            <w:pPr>
              <w:pStyle w:val="Compact"/>
            </w:pPr>
            <w:r>
              <w:t xml:space="preserve">Prix médian</w:t>
            </w:r>
          </w:p>
        </w:tc>
        <w:tc>
          <w:tcPr/>
          <w:p>
            <w:pPr>
              <w:pStyle w:val="Compact"/>
            </w:pPr>
            <w:r>
              <w:t xml:space="preserve">Équivalent FCFA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Démarreur</w:t>
            </w:r>
          </w:p>
        </w:tc>
        <w:tc>
          <w:tcPr/>
          <w:p>
            <w:pPr>
              <w:pStyle w:val="Compact"/>
            </w:pPr>
            <w:r>
              <w:t xml:space="preserve">14 827</w:t>
            </w:r>
          </w:p>
        </w:tc>
        <w:tc>
          <w:tcPr/>
          <w:p>
            <w:pPr>
              <w:pStyle w:val="Compact"/>
            </w:pPr>
            <w:r>
              <w:t xml:space="preserve">30 €</w:t>
            </w:r>
          </w:p>
        </w:tc>
        <w:tc>
          <w:tcPr/>
          <w:p>
            <w:pPr>
              <w:pStyle w:val="Compact"/>
            </w:pPr>
            <w:r>
              <w:t xml:space="preserve">~19 500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Alternateur</w:t>
            </w:r>
          </w:p>
        </w:tc>
        <w:tc>
          <w:tcPr/>
          <w:p>
            <w:pPr>
              <w:pStyle w:val="Compact"/>
            </w:pPr>
            <w:r>
              <w:t xml:space="preserve">11 753</w:t>
            </w:r>
          </w:p>
        </w:tc>
        <w:tc>
          <w:tcPr/>
          <w:p>
            <w:pPr>
              <w:pStyle w:val="Compact"/>
            </w:pPr>
            <w:r>
              <w:t xml:space="preserve">40 €</w:t>
            </w:r>
          </w:p>
        </w:tc>
        <w:tc>
          <w:tcPr/>
          <w:p>
            <w:pPr>
              <w:pStyle w:val="Compact"/>
            </w:pPr>
            <w:r>
              <w:t xml:space="preserve">~26 000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Boîte de vitesses</w:t>
            </w:r>
          </w:p>
        </w:tc>
        <w:tc>
          <w:tcPr/>
          <w:p>
            <w:pPr>
              <w:pStyle w:val="Compact"/>
            </w:pPr>
            <w:r>
              <w:t xml:space="preserve">11 313</w:t>
            </w:r>
          </w:p>
        </w:tc>
        <w:tc>
          <w:tcPr/>
          <w:p>
            <w:pPr>
              <w:pStyle w:val="Compact"/>
            </w:pPr>
            <w:r>
              <w:t xml:space="preserve">80 €</w:t>
            </w:r>
          </w:p>
        </w:tc>
        <w:tc>
          <w:tcPr/>
          <w:p>
            <w:pPr>
              <w:pStyle w:val="Compact"/>
            </w:pPr>
            <w:r>
              <w:t xml:space="preserve">~52 500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Moteur</w:t>
            </w:r>
          </w:p>
        </w:tc>
        <w:tc>
          <w:tcPr/>
          <w:p>
            <w:pPr>
              <w:pStyle w:val="Compact"/>
            </w:pPr>
            <w:r>
              <w:t xml:space="preserve">44 215</w:t>
            </w:r>
          </w:p>
        </w:tc>
        <w:tc>
          <w:tcPr/>
          <w:p>
            <w:pPr>
              <w:pStyle w:val="Compact"/>
            </w:pPr>
            <w:r>
              <w:t xml:space="preserve">278 €</w:t>
            </w:r>
          </w:p>
        </w:tc>
        <w:tc>
          <w:tcPr/>
          <w:p>
            <w:pPr>
              <w:pStyle w:val="Compact"/>
            </w:pPr>
            <w:r>
              <w:t xml:space="preserve">~182 000 F</w:t>
            </w:r>
          </w:p>
        </w:tc>
      </w:tr>
    </w:tbl>
    <w:p>
      <w:pPr>
        <w:pStyle w:val="BodyText"/>
      </w:pPr>
      <w:r>
        <w:t xml:space="preserve">Une boîte de vitesses à 52 500 F de coût d'achat laisse de la marge pour le fret, la douane et notre rémunération tout en restant défendable face au marché local.</w:t>
      </w:r>
    </w:p>
    <w:p>
      <w:pPr>
        <w:pStyle w:val="BodyText"/>
      </w:pPr>
      <w:r>
        <w:rPr>
          <w:b/>
          <w:bCs/>
        </w:rPr>
        <w:t xml:space="preserve">La limite à connaître avant de s'engager.</w:t>
      </w:r>
      <w:r>
        <w:t xml:space="preserve"> </w:t>
      </w:r>
      <w:r>
        <w:t xml:space="preserve">Opisto est un réseau français : son stock épouse le parc français. Les marques présentes dans le parc ivoirien y totalisent 5,94 M pièces, mais la répartition est parlante — Renault 2,07 M, Peugeot 1,61 M, contre</w:t>
      </w:r>
      <w:r>
        <w:t xml:space="preserve"> </w:t>
      </w:r>
      <w:r>
        <w:rPr>
          <w:b/>
          <w:bCs/>
        </w:rPr>
        <w:t xml:space="preserve">Toyota 306 000 et Suzuki 132 000</w:t>
      </w:r>
      <w:r>
        <w:t xml:space="preserve">. Opisto sert la couche « occasion importée d'Europe » ; il ne sert pas la couche Toyota-Suzuki, qui est la plus vendue. D'où eBay en phase 2, dont le filtre de compatibilité correspond exactement à notre modèle de fitment et dont la base de vendeurs allemands et britanniques est mieux fournie en japonaises.</w:t>
      </w:r>
    </w:p>
    <w:bookmarkEnd w:id="22"/>
    <w:bookmarkStart w:id="23" w:name="Xa06d18d802ee91163c2e49a8458afda3dc763d0"/>
    <w:p>
      <w:pPr>
        <w:pStyle w:val="Heading2"/>
      </w:pPr>
      <w:r>
        <w:t xml:space="preserve">Le chemin technique n'est pas le chemin durable</w:t>
      </w:r>
    </w:p>
    <w:p>
      <w:pPr>
        <w:pStyle w:val="FirstParagraph"/>
      </w:pPr>
      <w:r>
        <w:t xml:space="preserve">La clé de recherche d'Opisto est publique — le navigateur en a besoin pour afficher le catalogue — et l'interroger est techniquement trivial. Mais chaque requête consomme leur quota de recherche payant, et c'est très probablement contraire à leurs conditions d'utilisation.</w:t>
      </w:r>
    </w:p>
    <w:p>
      <w:pPr>
        <w:pStyle w:val="BodyText"/>
      </w:pPr>
      <w:r>
        <w:t xml:space="preserve">Or Opisto exploite</w:t>
      </w:r>
      <w:r>
        <w:t xml:space="preserve"> </w:t>
      </w:r>
      <w:r>
        <w:rPr>
          <w:b/>
          <w:bCs/>
        </w:rPr>
        <w:t xml:space="preserve">une plateforme B2B destinée aux garages</w:t>
      </w:r>
      <w:r>
        <w:t xml:space="preserve">, et Ovoko déclare ouvertement chercher des débouchés à l'export. Nous sommes exactement le client qu'ils cherchent : un canal de vente en Afrique de l'Ouest.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Scraper pour prouver le concept</w:t>
      </w:r>
      <w:r>
        <w:t xml:space="preserve"> </w:t>
      </w:r>
      <w:r>
        <w:t xml:space="preserve">sur quelques milliers de références, mesurer la conversion réelle, établir le panier moyen.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Ouvrir la discussion partenariat avant d'en dépendre.</w:t>
      </w:r>
      <w:r>
        <w:t xml:space="preserve"> </w:t>
      </w:r>
      <w:r>
        <w:t xml:space="preserve">Un accord supprime le risque juridique, survit au prochain changement de leur interface, et surtout donne accès aux</w:t>
      </w:r>
      <w:r>
        <w:t xml:space="preserve"> </w:t>
      </w:r>
      <w:r>
        <w:rPr>
          <w:b/>
          <w:bCs/>
        </w:rPr>
        <w:t xml:space="preserve">poids réels</w:t>
      </w:r>
      <w:r>
        <w:t xml:space="preserve"> </w:t>
      </w:r>
      <w:r>
        <w:t xml:space="preserve">— le fret est notre premier poste de coût et Opisto ne publie pas les poids.</w:t>
      </w:r>
    </w:p>
    <w:bookmarkEnd w:id="23"/>
    <w:bookmarkStart w:id="24" w:name="ce-que-la-douane-coûte-vraiment"/>
    <w:p>
      <w:pPr>
        <w:pStyle w:val="Heading2"/>
      </w:pPr>
      <w:r>
        <w:t xml:space="preserve">Ce que la douane coûte vraiment</w:t>
      </w:r>
    </w:p>
    <w:p>
      <w:pPr>
        <w:pStyle w:val="FirstParagraph"/>
      </w:pPr>
      <w:r>
        <w:t xml:space="preserve">Le taux de 20 % utilisé aujourd'hui dans notre moteur de tarification était un ordre de grandeur de cadrage. Le tarif officiel de la Direction générale des douanes, à jour du</w:t>
      </w:r>
      <w:r>
        <w:t xml:space="preserve"> </w:t>
      </w:r>
      <w:r>
        <w:rPr>
          <w:b/>
          <w:bCs/>
        </w:rPr>
        <w:t xml:space="preserve">27 mars 2026</w:t>
      </w:r>
      <w:r>
        <w:t xml:space="preserve">, donne des chiffres nettement plus favorables.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Nature de la pièce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Droit de douane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Freins, boîtes, suspension, radiateurs, embrayages, direction, carrosserie, vitrages, roues, ceintures, airbags</w:t>
            </w:r>
          </w:p>
        </w:tc>
        <w:tc>
          <w:tcPr/>
          <w:p>
            <w:pPr>
              <w:pStyle w:val="Compact"/>
            </w:pPr>
            <w:r>
              <w:t xml:space="preserve">8708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Filtres à huile, à air, à carburant</w:t>
            </w:r>
          </w:p>
        </w:tc>
        <w:tc>
          <w:tcPr/>
          <w:p>
            <w:pPr>
              <w:pStyle w:val="Compact"/>
            </w:pPr>
            <w:r>
              <w:t xml:space="preserve">8421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Bougies, démarreurs, alternateurs, bobines</w:t>
            </w:r>
          </w:p>
        </w:tc>
        <w:tc>
          <w:tcPr/>
          <w:p>
            <w:pPr>
              <w:pStyle w:val="Compact"/>
            </w:pPr>
            <w:r>
              <w:t xml:space="preserve">8511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Moteurs diesel, parties de moteurs, pompes, engrenages, éclairage</w:t>
            </w:r>
          </w:p>
        </w:tc>
        <w:tc>
          <w:tcPr/>
          <w:p>
            <w:pPr>
              <w:pStyle w:val="Compact"/>
            </w:pPr>
            <w:r>
              <w:t xml:space="preserve">8408 · 8409 · 8413 · 8483 · 8512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Garnitures de frein sans amiante, roulements</w:t>
            </w:r>
          </w:p>
        </w:tc>
        <w:tc>
          <w:tcPr/>
          <w:p>
            <w:pPr>
              <w:pStyle w:val="Compact"/>
            </w:pPr>
            <w:r>
              <w:t xml:space="preserve">6813 · 8482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Batteries de démarrage</w:t>
            </w:r>
          </w:p>
        </w:tc>
        <w:tc>
          <w:tcPr/>
          <w:p>
            <w:pPr>
              <w:pStyle w:val="Compact"/>
            </w:pPr>
            <w:r>
              <w:t xml:space="preserve">8507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Pneus neufs</w:t>
            </w:r>
          </w:p>
        </w:tc>
        <w:tc>
          <w:tcPr/>
          <w:p>
            <w:pPr>
              <w:pStyle w:val="Compact"/>
            </w:pPr>
            <w:r>
              <w:t xml:space="preserve">4011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Pneus rechapés ou usagés</w:t>
            </w:r>
          </w:p>
        </w:tc>
        <w:tc>
          <w:tcPr/>
          <w:p>
            <w:pPr>
              <w:pStyle w:val="Compact"/>
            </w:pPr>
            <w:r>
              <w:t xml:space="preserve">4012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20 %</w:t>
            </w:r>
          </w:p>
        </w:tc>
      </w:tr>
    </w:tbl>
    <w:p>
      <w:pPr>
        <w:pStyle w:val="BodyText"/>
      </w:pPr>
      <w:r>
        <w:t xml:space="preserve">S'y ajoutent les prélèvements communautaires et la redevance statistique, identiques sur toutes ces lignes :</w:t>
      </w:r>
      <w:r>
        <w:t xml:space="preserve"> </w:t>
      </w:r>
      <w:r>
        <w:rPr>
          <w:b/>
          <w:bCs/>
        </w:rPr>
        <w:t xml:space="preserve">PCC 0,5 % + PCS 0,8 % + PUA 0,2 % + RST 1 % = 2,5 %</w:t>
      </w:r>
      <w:r>
        <w:t xml:space="preserve">. La TVA est de 18 %, mais elle est</w:t>
      </w:r>
      <w:r>
        <w:t xml:space="preserve"> </w:t>
      </w:r>
      <w:r>
        <w:rPr>
          <w:b/>
          <w:bCs/>
        </w:rPr>
        <w:t xml:space="preserve">récupérable</w:t>
      </w:r>
      <w:r>
        <w:t xml:space="preserve"> </w:t>
      </w:r>
      <w:r>
        <w:t xml:space="preserve">pour un assujetti : c'est une avance de trésorerie, pas un coût.</w:t>
      </w:r>
    </w:p>
    <w:bookmarkEnd w:id="24"/>
    <w:bookmarkStart w:id="26" w:name="décisions-à-prendre"/>
    <w:p>
      <w:pPr>
        <w:pStyle w:val="Heading2"/>
      </w:pPr>
      <w:r>
        <w:t xml:space="preserve">Décisions à prendre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Corriger le taux douanier</w:t>
      </w:r>
      <w:r>
        <w:t xml:space="preserve"> </w:t>
      </w:r>
      <w:r>
        <w:t xml:space="preserve">: passer de 20 % forfaitaires à 12,5 % de la valeur CAF, ou mieux, à un taux dérivé de la famille de pièce — 7,5 % pour les filtres, 12,5 % pour le gros du catalogue, 22,5 % pour les batteries et les pneus d'occasion.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Faire valider la classification par un transitaire.</w:t>
      </w:r>
      <w:r>
        <w:t xml:space="preserve"> </w:t>
      </w:r>
      <w:r>
        <w:t xml:space="preserve">Les taux ci-dessus sont ceux du tarif officiel ; c'est la position déclarée à l'arrivée qui fait foi, et elle dépend de la description et de la facture.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Lever une incertitude réglementaire.</w:t>
      </w:r>
      <w:r>
        <w:t xml:space="preserve"> </w:t>
      </w:r>
      <w:r>
        <w:t xml:space="preserve">Le code des douanes prévoit que les listes de marchandises prohibées sont fixées par décret, et ces listes ne sont pas publiées sur le portail. Nous n'avons trouvé</w:t>
      </w:r>
      <w:r>
        <w:t xml:space="preserve"> </w:t>
      </w:r>
      <w:r>
        <w:rPr>
          <w:b/>
          <w:bCs/>
        </w:rPr>
        <w:t xml:space="preserve">aucune interdiction d'importer des pièces d'occasion</w:t>
      </w:r>
      <w:r>
        <w:t xml:space="preserve"> </w:t>
      </w:r>
      <w:r>
        <w:t xml:space="preserve">— mais nous ne pouvons pas prouver qu'il n'en existe pas. À confirmer auprès de la DGD avant le premier conteneur, en particulier sur les organes de sécurité.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Arbitrer scraping contre partenariat</w:t>
      </w:r>
      <w:r>
        <w:t xml:space="preserve"> </w:t>
      </w:r>
      <w:r>
        <w:t xml:space="preserve">sur Opisto, sachant que les deux ne s'excluent pas dans le temps.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Pièces.ci — Marketplace pièces auto &amp; solutions flotte · Abidjan, Côte d'Ivoire ·</w:t>
      </w:r>
      <w:r>
        <w:t xml:space="preserve"> </w:t>
      </w:r>
      <w:hyperlink r:id="rId25">
        <w:r>
          <w:rPr>
            <w:rStyle w:val="Hyperlink"/>
          </w:rPr>
          <w:t xml:space="preserve">fernando.kouame@gmail.com</w:t>
        </w:r>
      </w:hyperlink>
    </w:p>
    <w:p>
      <w:pPr>
        <w:pStyle w:val="BodyText"/>
      </w:pPr>
      <w:r>
        <w:rPr>
          <w:i/>
          <w:iCs/>
        </w:rPr>
        <w:t xml:space="preserve">Volumes, prix et structures de données relevés directement sur les catalogues des sources citées en septembre 2026 ; les prix médians portent sur un échantillon des marques Toyota, Suzuki et Nissan. Taux douaniers extraits du « TEC CEDEAO enrichi des principaux droits et taxes relevant de la taxation nationale », Direction générale des douanes de Côte d'Ivoire, mise à jour du 27 mars 2026. Document interne : il contient notre évaluation d'intégrabilité et notre structure de coût, et n'est pas destiné à être transmis aux sources évaluées.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mailto:fernando.kouam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mailto:fernando.kouam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2026-09-13T00:15:27Z</dcterms:created>
  <dcterms:modified xsi:type="dcterms:W3CDTF">2026-09-13T00:15:27Z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