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21"/>
    <w:bookmarkStart w:id="26" w:name="Xfcc00fc1d37f94df108041d709986dc2b69be95"/>
    <w:p>
      <w:pPr>
        <w:pStyle w:val="Heading2"/>
      </w:pPr>
      <w:r>
        <w:t xml:space="preserve">1. Accès et connexion</w:t>
      </w:r>
    </w:p>
    <w:bookmarkStart w:id="22"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22"/>
    <w:bookmarkStart w:id="23"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23"/>
    <w:bookmarkStart w:id="24"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24"/>
    <w:bookmarkStart w:id="25"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25"/>
    <w:bookmarkEnd w:id="26"/>
    <w:bookmarkStart w:id="30" w:name="X869920c3ae2cd0b228351e08246487ea80824ef"/>
    <w:p>
      <w:pPr>
        <w:pStyle w:val="Heading2"/>
      </w:pPr>
      <w:r>
        <w:t xml:space="preserve">2. Architecture rôles et permissions</w:t>
      </w:r>
    </w:p>
    <w:bookmarkStart w:id="27"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27"/>
    <w:bookmarkStart w:id="28"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28"/>
    <w:bookmarkStart w:id="29"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29"/>
    <w:bookmarkEnd w:id="30"/>
    <w:bookmarkStart w:id="33" w:name="X72ba7d91701a1456dbed5be8a25d83a25246a11"/>
    <w:p>
      <w:pPr>
        <w:pStyle w:val="Heading2"/>
      </w:pPr>
      <w:r>
        <w:t xml:space="preserve">3. Tableau de bord et navigation admin</w:t>
      </w:r>
    </w:p>
    <w:bookmarkStart w:id="31"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31"/>
    <w:bookmarkStart w:id="32"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32"/>
    <w:bookmarkEnd w:id="33"/>
    <w:bookmarkStart w:id="38" w:name="X3accf84a077d1e2420998efb1d830cb64fed585"/>
    <w:p>
      <w:pPr>
        <w:pStyle w:val="Heading2"/>
      </w:pPr>
      <w:r>
        <w:t xml:space="preserve">4. Gestion des utilisateurs (clients)</w:t>
      </w:r>
    </w:p>
    <w:bookmarkStart w:id="34"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34"/>
    <w:bookmarkStart w:id="35"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35"/>
    <w:bookmarkStart w:id="36"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36"/>
    <w:bookmarkStart w:id="37"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37"/>
    <w:bookmarkEnd w:id="38"/>
    <w:bookmarkStart w:id="44" w:name="Xa5f3269634beb99be42d78d18eb118ebf2b969c"/>
    <w:p>
      <w:pPr>
        <w:pStyle w:val="Heading2"/>
      </w:pPr>
      <w:r>
        <w:t xml:space="preserve">5. Gestion des Liaisons et journal d'audit</w:t>
      </w:r>
    </w:p>
    <w:p>
      <w:pPr>
        <w:pStyle w:val="FirstParagraph"/>
      </w:pPr>
      <w:r>
        <w:t xml:space="preserve">Section nouvelle — déployée mai 2026.</w:t>
      </w:r>
    </w:p>
    <w:bookmarkStart w:id="39"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39"/>
    <w:bookmarkStart w:id="40"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40"/>
    <w:bookmarkStart w:id="41"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41"/>
    <w:bookmarkStart w:id="42"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42"/>
    <w:bookmarkStart w:id="43"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43"/>
    <w:bookmarkEnd w:id="44"/>
    <w:bookmarkStart w:id="50" w:name="X0fc8443132021b9fd16e1dc8ebf1ca0f7cdc348"/>
    <w:p>
      <w:pPr>
        <w:pStyle w:val="Heading2"/>
      </w:pPr>
      <w:r>
        <w:t xml:space="preserve">6. Gestion des vendeurs et scoring</w:t>
      </w:r>
    </w:p>
    <w:bookmarkStart w:id="45"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45"/>
    <w:bookmarkStart w:id="46"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46"/>
    <w:bookmarkStart w:id="47"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47"/>
    <w:bookmarkStart w:id="48"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48"/>
    <w:bookmarkStart w:id="49"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49"/>
    <w:bookmarkEnd w:id="50"/>
    <w:bookmarkStart w:id="59" w:name="X236ce11d0fb3833e6481893b0d8a1c0276dda14"/>
    <w:p>
      <w:pPr>
        <w:pStyle w:val="Heading2"/>
      </w:pPr>
      <w:r>
        <w:t xml:space="preserve">7. Gestion du catalogue et politique commission</w:t>
      </w:r>
    </w:p>
    <w:bookmarkStart w:id="51"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51"/>
    <w:bookmarkStart w:id="52"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52"/>
    <w:bookmarkStart w:id="53"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53"/>
    <w:bookmarkStart w:id="54"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54"/>
    <w:bookmarkStart w:id="55"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55"/>
    <w:bookmarkStart w:id="56"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56"/>
    <w:bookmarkStart w:id="57"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57"/>
    <w:bookmarkStart w:id="58"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58"/>
    <w:bookmarkEnd w:id="59"/>
    <w:bookmarkStart w:id="66"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60"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60"/>
    <w:bookmarkStart w:id="61"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61"/>
    <w:bookmarkStart w:id="62"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62"/>
    <w:bookmarkStart w:id="63"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63"/>
    <w:bookmarkStart w:id="64"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64"/>
    <w:bookmarkStart w:id="65"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65"/>
    <w:bookmarkEnd w:id="66"/>
    <w:bookmarkStart w:id="69"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67"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67"/>
    <w:bookmarkStart w:id="68"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68"/>
    <w:bookmarkEnd w:id="69"/>
    <w:bookmarkStart w:id="75" w:name="X9dfafef41e04f10a763235cd05e6f85b7c14814"/>
    <w:p>
      <w:pPr>
        <w:pStyle w:val="Heading2"/>
      </w:pPr>
      <w:r>
        <w:t xml:space="preserve">10. Stocks tampon entreprise</w:t>
      </w:r>
    </w:p>
    <w:p>
      <w:pPr>
        <w:pStyle w:val="FirstParagraph"/>
      </w:pPr>
      <w:r>
        <w:t xml:space="preserve">Section nouvelle — chantier 9, déployé mai 2026.</w:t>
      </w:r>
    </w:p>
    <w:bookmarkStart w:id="70"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70"/>
    <w:bookmarkStart w:id="71"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71"/>
    <w:bookmarkStart w:id="72"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72"/>
    <w:bookmarkStart w:id="73"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73"/>
    <w:bookmarkStart w:id="74"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74"/>
    <w:bookmarkEnd w:id="75"/>
    <w:bookmarkStart w:id="81" w:name="Xeef6de1fe7a9f94ec7f1a0d11f4ce95f162fb59"/>
    <w:p>
      <w:pPr>
        <w:pStyle w:val="Heading2"/>
      </w:pPr>
      <w:r>
        <w:t xml:space="preserve">11. Gestion des commandes</w:t>
      </w:r>
    </w:p>
    <w:bookmarkStart w:id="76"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76"/>
    <w:bookmarkStart w:id="77"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77"/>
    <w:bookmarkStart w:id="78"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78"/>
    <w:bookmarkStart w:id="79"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79"/>
    <w:bookmarkStart w:id="80"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80"/>
    <w:bookmarkEnd w:id="81"/>
    <w:bookmarkStart w:id="85" w:name="X3e2a60808929efaeb5063ad0f5eeb37dd1d396b"/>
    <w:p>
      <w:pPr>
        <w:pStyle w:val="Heading2"/>
      </w:pPr>
      <w:r>
        <w:t xml:space="preserve">12. Gestion des livraisons</w:t>
      </w:r>
    </w:p>
    <w:bookmarkStart w:id="82"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82"/>
    <w:bookmarkStart w:id="83"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83"/>
    <w:bookmarkStart w:id="84"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84"/>
    <w:bookmarkEnd w:id="85"/>
    <w:bookmarkStart w:id="88" w:name="Xc285b4f5f6fe873cc60a8368c727f554861420a"/>
    <w:p>
      <w:pPr>
        <w:pStyle w:val="Heading2"/>
      </w:pPr>
      <w:r>
        <w:t xml:space="preserve">13. Retours et litiges</w:t>
      </w:r>
    </w:p>
    <w:bookmarkStart w:id="86"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86"/>
    <w:bookmarkStart w:id="87"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87"/>
    <w:bookmarkEnd w:id="88"/>
    <w:bookmarkStart w:id="94" w:name="Xf1cc4449493b531d54563ff4c8c76f1690bde42"/>
    <w:p>
      <w:pPr>
        <w:pStyle w:val="Heading2"/>
      </w:pPr>
      <w:r>
        <w:t xml:space="preserve">14. Paiements et escrow</w:t>
      </w:r>
    </w:p>
    <w:bookmarkStart w:id="89"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89"/>
    <w:bookmarkStart w:id="90"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90"/>
    <w:bookmarkStart w:id="91"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91"/>
    <w:bookmarkStart w:id="92"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92"/>
    <w:bookmarkStart w:id="93"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93"/>
    <w:bookmarkEnd w:id="94"/>
    <w:bookmarkStart w:id="99" w:name="Xd5a7eda04d596f0321c83b340e81a9764203a59"/>
    <w:p>
      <w:pPr>
        <w:pStyle w:val="Heading2"/>
      </w:pPr>
      <w:r>
        <w:t xml:space="preserve">15. Notifications et messagerie</w:t>
      </w:r>
    </w:p>
    <w:bookmarkStart w:id="95"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95"/>
    <w:bookmarkStart w:id="96"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96"/>
    <w:bookmarkStart w:id="97"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97"/>
    <w:bookmarkStart w:id="98"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98"/>
    <w:bookmarkEnd w:id="99"/>
    <w:bookmarkStart w:id="100"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100"/>
    <w:bookmarkStart w:id="109"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101"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101"/>
    <w:bookmarkStart w:id="102"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102"/>
    <w:bookmarkStart w:id="103"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103"/>
    <w:bookmarkStart w:id="104"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104"/>
    <w:bookmarkStart w:id="105"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105"/>
    <w:bookmarkStart w:id="106"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106"/>
    <w:bookmarkStart w:id="107"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107"/>
    <w:bookmarkStart w:id="108"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108"/>
    <w:bookmarkEnd w:id="109"/>
    <w:bookmarkStart w:id="117"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110"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110"/>
    <w:bookmarkStart w:id="111"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11"/>
    <w:bookmarkStart w:id="112"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12"/>
    <w:bookmarkStart w:id="113"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13"/>
    <w:bookmarkStart w:id="114"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14"/>
    <w:bookmarkStart w:id="115"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15"/>
    <w:bookmarkStart w:id="116"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16"/>
    <w:bookmarkEnd w:id="117"/>
    <w:bookmarkStart w:id="128" w:name="X4d0a191853749d7f242afaf8b7f67286ba39128"/>
    <w:p>
      <w:pPr>
        <w:pStyle w:val="Heading2"/>
      </w:pPr>
      <w:r>
        <w:t xml:space="preserve">19. Abonnements entreprise — Flotte Pro / Flotte Pro +</w:t>
      </w:r>
    </w:p>
    <w:bookmarkStart w:id="118"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3 h chrono + SLA monétisé</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18"/>
    <w:bookmarkStart w:id="119"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19"/>
    <w:bookmarkStart w:id="120"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d'expiration d'essai,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(sortir d'essai),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essai 30 jours</w:t>
      </w:r>
      <w:r>
        <w:t xml:space="preserve"> </w:t>
      </w:r>
      <w:r>
        <w:t xml:space="preserve">(paramétrable de 1 à 90 jours, activé par défaut sauf FREE)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20"/>
    <w:bookmarkStart w:id="121"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Essai 30 j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payant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 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21"/>
    <w:bookmarkStart w:id="122"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22"/>
    <w:bookmarkStart w:id="123"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23"/>
    <w:bookmarkStart w:id="124"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24"/>
    <w:bookmarkStart w:id="125"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25"/>
    <w:bookmarkStart w:id="126"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26"/>
    <w:bookmarkStart w:id="127"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27"/>
    <w:bookmarkEnd w:id="128"/>
    <w:bookmarkStart w:id="141" w:name="X2718e7e9379bcfd46c4311092bbebb0a7fed213"/>
    <w:p>
      <w:pPr>
        <w:pStyle w:val="Heading2"/>
      </w:pPr>
      <w:r>
        <w:t xml:space="preserve">20. Factures normalisées FNE-CI</w:t>
      </w:r>
    </w:p>
    <w:bookmarkStart w:id="129"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29"/>
    <w:bookmarkStart w:id="130"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30"/>
    <w:bookmarkStart w:id="131"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31"/>
    <w:bookmarkStart w:id="132"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32"/>
    <w:bookmarkStart w:id="133"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33"/>
    <w:bookmarkStart w:id="134"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34"/>
    <w:bookmarkStart w:id="135"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35"/>
    <w:bookmarkStart w:id="136"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36"/>
    <w:bookmarkStart w:id="137"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37"/>
    <w:bookmarkStart w:id="138"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38"/>
    <w:bookmarkStart w:id="139"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39"/>
    <w:bookmarkStart w:id="140"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40"/>
    <w:bookmarkEnd w:id="141"/>
    <w:bookmarkStart w:id="142"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42"/>
    <w:bookmarkStart w:id="143"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2026-05-27T22:28:27Z</dcterms:created>
  <dcterms:modified xsi:type="dcterms:W3CDTF">2026-05-27T22:28:27Z</dcterms:modified>
</cp:coreProperties>
</file>

<file path=docProps/custom.xml><?xml version="1.0" encoding="utf-8"?>
<Properties xmlns="http://schemas.openxmlformats.org/officeDocument/2006/custom-properties" xmlns:vt="http://schemas.openxmlformats.org/officeDocument/2006/docPropsVTypes"/>
</file>