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9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10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1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12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12"/>
    <w:bookmarkStart w:id="16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13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13"/>
    <w:bookmarkStart w:id="14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14"/>
    <w:bookmarkStart w:id="15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17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17"/>
    <w:bookmarkStart w:id="18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18"/>
    <w:bookmarkStart w:id="19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353076d39ab32980c5c0131cbb388e7f3962e82"/>
    <w:p>
      <w:pPr>
        <w:pStyle w:val="Heading2"/>
      </w:pPr>
      <w:r>
        <w:t xml:space="preserve">4. Pricing — le laboratoire</w:t>
      </w:r>
    </w:p>
    <w:bookmarkStart w:id="21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21"/>
    <w:bookmarkStart w:id="22" w:name="X267eea488fd1450c388dd08e9e72486e8939e74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C'est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 §6.4).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l'écart de prix moyen vs le marché en ligne sur votre panier réel ».</w:t>
      </w:r>
    </w:p>
    <w:p>
      <w:pPr>
        <w:pStyle w:val="Compact"/>
        <w:numPr>
          <w:ilvl w:val="0"/>
          <w:numId w:val="1007"/>
        </w:numPr>
      </w:pPr>
      <w:r>
        <w:t xml:space="preserve">Refresh périodique du scraper = la donnée reste fraîche (chantier ingest §3 CTO Bible).</w:t>
      </w:r>
    </w:p>
    <w:bookmarkEnd w:id="22"/>
    <w:bookmarkStart w:id="23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23"/>
    <w:bookmarkStart w:id="24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24"/>
    <w:bookmarkStart w:id="25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27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2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2"/>
        </w:numPr>
      </w:pPr>
      <w:r>
        <w:t xml:space="preserve">« Je verrai plus tard » → pilote gratuit 30 jours, ROI mesuré, zéro engagement avant la preuve.</w:t>
      </w:r>
    </w:p>
    <w:bookmarkEnd w:id="27"/>
    <w:bookmarkStart w:id="28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28"/>
    <w:bookmarkStart w:id="29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4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4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29"/>
    <w:bookmarkStart w:id="30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ed9896037dc5849041596de9934dfe50f004d47"/>
    <w:p>
      <w:pPr>
        <w:pStyle w:val="Heading2"/>
      </w:pPr>
      <w:r>
        <w:t xml:space="preserve">6. Revenue Operations — la prévisibilité</w:t>
      </w:r>
    </w:p>
    <w:bookmarkStart w:id="32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5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5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5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32"/>
    <w:bookmarkStart w:id="33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6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33"/>
    <w:bookmarkStart w:id="34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7"/>
        </w:numPr>
      </w:pPr>
      <w:r>
        <w:t xml:space="preserve">Réconciliation mensuelle CRM ↔ facturation ↔ encaissement réel. Le revenu reconnu = le revenu encaissé, pas le revenu signé.</w:t>
      </w:r>
    </w:p>
    <w:bookmarkEnd w:id="34"/>
    <w:bookmarkStart w:id="35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37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37"/>
    <w:bookmarkStart w:id="38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9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9"/>
        </w:numPr>
      </w:pPr>
      <w:r>
        <w:t xml:space="preserve">Leviers anti-contraction : pilotage proactif des flottes qui réduisent leur parc, alertes sur baisse d'usage.</w:t>
      </w:r>
    </w:p>
    <w:bookmarkEnd w:id="38"/>
    <w:bookmarkStart w:id="39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39"/>
    <w:bookmarkStart w:id="40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42"/>
    <w:bookmarkStart w:id="47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43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43"/>
    <w:bookmarkStart w:id="44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44"/>
    <w:bookmarkStart w:id="45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45"/>
    <w:bookmarkStart w:id="46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d31b8cfedc5dbc4440ab9b13e5560f9199a401d"/>
    <w:p>
      <w:pPr>
        <w:pStyle w:val="Heading2"/>
      </w:pPr>
      <w:r>
        <w:t xml:space="preserve">10. KPIs — le dashboard CRO</w:t>
      </w:r>
    </w:p>
    <w:bookmarkStart w:id="48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3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3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3"/>
        </w:numPr>
      </w:pPr>
      <w:r>
        <w:t xml:space="preserve">Prélèvements abonnement échoués (à relancer dans la journée).</w:t>
      </w:r>
    </w:p>
    <w:bookmarkEnd w:id="48"/>
    <w:bookmarkStart w:id="49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4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4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4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4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4"/>
        </w:numPr>
      </w:pPr>
      <w:r>
        <w:t xml:space="preserve">Take rate effective vs affichée (détection de leakage remise).</w:t>
      </w:r>
    </w:p>
    <w:bookmarkEnd w:id="49"/>
    <w:bookmarkStart w:id="50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5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5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5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5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5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5"/>
        </w:numPr>
      </w:pPr>
      <w:r>
        <w:t xml:space="preserve">Cohortes : rétention par cohorte de signature (la vérité sur la durabilité du revenu).</w:t>
      </w:r>
    </w:p>
    <w:bookmarkEnd w:id="50"/>
    <w:bookmarkStart w:id="51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6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6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6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6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6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53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7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7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7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8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8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8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9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9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9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9"/>
        </w:numPr>
      </w:pPr>
      <w:r>
        <w:t xml:space="preserve">Premier QBR avec les plus gros comptes flotte.</w:t>
      </w:r>
    </w:p>
    <w:bookmarkEnd w:id="53"/>
    <w:bookmarkStart w:id="54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30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30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30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30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30"/>
        </w:numPr>
      </w:pPr>
      <w:r>
        <w:t xml:space="preserve">Take rate effective ≥ 7,5% (après toutes fuites).</w:t>
      </w:r>
    </w:p>
    <w:bookmarkEnd w:id="54"/>
    <w:bookmarkStart w:id="55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1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1"/>
        </w:numPr>
      </w:pPr>
      <w:r>
        <w:t xml:space="preserve">NRR &gt; 115%.</w:t>
      </w:r>
    </w:p>
    <w:p>
      <w:pPr>
        <w:pStyle w:val="Compact"/>
        <w:numPr>
          <w:ilvl w:val="0"/>
          <w:numId w:val="1031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1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1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57"/>
    <w:bookmarkStart w:id="58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brochure-commerciale-entreprises-2026-06-03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2026-06-07T17:32:07Z</dcterms:created>
  <dcterms:modified xsi:type="dcterms:W3CDTF">2026-06-07T17:32:07Z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