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9"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9"/>
    <w:bookmarkStart w:id="10"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10"/>
    <w:bookmarkStart w:id="11" w:name="Xef82784e60c357660802af90fdddd6453ff4945"/>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r>
        <w:pict>
          <v:rect style="width:0;height:1.5pt" o:hralign="center" o:hrstd="t" o:hr="t"/>
        </w:pict>
      </w:r>
    </w:p>
    <w:bookmarkEnd w:id="11"/>
    <w:bookmarkStart w:id="15" w:name="Xb13f330a6fa486f5acdc47a35b1bd1bdc237a21"/>
    <w:p>
      <w:pPr>
        <w:pStyle w:val="Heading2"/>
      </w:pPr>
      <w:r>
        <w:t xml:space="preserve">2. Connexion et accès au tableau de bord</w:t>
      </w:r>
    </w:p>
    <w:bookmarkStart w:id="12"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12"/>
    <w:bookmarkStart w:id="13"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13"/>
    <w:bookmarkStart w:id="14"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14"/>
    <w:bookmarkEnd w:id="15"/>
    <w:bookmarkStart w:id="16" w:name="Xcccabe0b2358512fd693ccc289ace883a6f4817"/>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bl>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r>
        <w:pict>
          <v:rect style="width:0;height:1.5pt" o:hralign="center" o:hrstd="t" o:hr="t"/>
        </w:pict>
      </w:r>
    </w:p>
    <w:bookmarkEnd w:id="16"/>
    <w:bookmarkStart w:id="19" w:name="X092761085ebabd06212466505d798800833670f"/>
    <w:p>
      <w:pPr>
        <w:pStyle w:val="Heading2"/>
      </w:pPr>
      <w:r>
        <w:t xml:space="preserve">4. Onboarder un nouveau vendeur</w:t>
      </w:r>
    </w:p>
    <w:bookmarkStart w:id="17"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 "En attente d'activation".</w:t>
      </w:r>
    </w:p>
    <w:bookmarkEnd w:id="17"/>
    <w:bookmarkStart w:id="18"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La</w:t>
      </w:r>
      <w:r>
        <w:t xml:space="preserve"> </w:t>
      </w:r>
      <w:r>
        <w:rPr>
          <w:b/>
          <w:bCs/>
        </w:rPr>
        <w:t xml:space="preserve">signature des garanties vendeur</w:t>
      </w:r>
      <w:r>
        <w:t xml:space="preserve"> </w:t>
      </w:r>
      <w:r>
        <w:t xml:space="preserve">(responsabilité produit, délais, conditions de retour).</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18"/>
    <w:bookmarkEnd w:id="19"/>
    <w:bookmarkStart w:id="21" w:name="Xc054165293ab4060396782f88f62f89fd72a249"/>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 "Alternateur 90A")</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 "Toyota Hilux 2010-2015")</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20"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20"/>
    <w:bookmarkEnd w:id="21"/>
    <w:bookmarkStart w:id="25" w:name="X1fdfb4ab5f1f454a77c5f0b2ec3251babb69e4e"/>
    <w:p>
      <w:pPr>
        <w:pStyle w:val="Heading2"/>
      </w:pPr>
      <w:r>
        <w:t xml:space="preserve">6. Négocier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 Cette commission est</w:t>
      </w:r>
      <w:r>
        <w:t xml:space="preserve"> </w:t>
      </w:r>
      <w:r>
        <w:rPr>
          <w:b/>
          <w:bCs/>
        </w:rPr>
        <w:t xml:space="preserve">agréée avec le vendeur</w:t>
      </w:r>
      <w:r>
        <w:t xml:space="preserve"> </w:t>
      </w:r>
      <w:r>
        <w:t xml:space="preserve">lors de l'onboarding ou de l'ajout de chaque pièce.</w:t>
      </w:r>
    </w:p>
    <w:bookmarkStart w:id="22" w:name="comment-fixer-le-montant"/>
    <w:p>
      <w:pPr>
        <w:pStyle w:val="Heading3"/>
      </w:pPr>
      <w:r>
        <w:t xml:space="preserve">Comment fixer le montant</w:t>
      </w:r>
    </w:p>
    <w:p>
      <w:pPr>
        <w:pStyle w:val="FirstParagraph"/>
      </w:pPr>
      <w:r>
        <w:t xml:space="preserve">Il n'y a</w:t>
      </w:r>
      <w:r>
        <w:t xml:space="preserve"> </w:t>
      </w:r>
      <w:r>
        <w:rPr>
          <w:b/>
          <w:bCs/>
        </w:rPr>
        <w:t xml:space="preserve">pas de pourcentage imposé</w:t>
      </w:r>
      <w:r>
        <w:t xml:space="preserve">. Le Liaison négocie de bonne foi avec le vendeur en fonction :</w:t>
      </w:r>
    </w:p>
    <w:p>
      <w:pPr>
        <w:pStyle w:val="Compact"/>
        <w:numPr>
          <w:ilvl w:val="0"/>
          <w:numId w:val="1013"/>
        </w:numPr>
      </w:pPr>
      <w:r>
        <w:t xml:space="preserve">du type de pièce (rotative vs. lente),</w:t>
      </w:r>
    </w:p>
    <w:p>
      <w:pPr>
        <w:pStyle w:val="Compact"/>
        <w:numPr>
          <w:ilvl w:val="0"/>
          <w:numId w:val="1013"/>
        </w:numPr>
      </w:pPr>
      <w:r>
        <w:t xml:space="preserve">du prix de vente,</w:t>
      </w:r>
    </w:p>
    <w:p>
      <w:pPr>
        <w:pStyle w:val="Compact"/>
        <w:numPr>
          <w:ilvl w:val="0"/>
          <w:numId w:val="1013"/>
        </w:numPr>
      </w:pPr>
      <w:r>
        <w:t xml:space="preserve">de la marge habituelle du vendeur,</w:t>
      </w:r>
    </w:p>
    <w:p>
      <w:pPr>
        <w:pStyle w:val="Compact"/>
        <w:numPr>
          <w:ilvl w:val="0"/>
          <w:numId w:val="1013"/>
        </w:numPr>
      </w:pPr>
      <w:r>
        <w:t xml:space="preserve">de la complexité de la transaction.</w:t>
      </w:r>
    </w:p>
    <w:p>
      <w:pPr>
        <w:pStyle w:val="BlockText"/>
      </w:pPr>
      <w:r>
        <w:rPr>
          <w:b/>
          <w:bCs/>
        </w:rPr>
        <w:t xml:space="preserve">À titre indicatif</w:t>
      </w:r>
      <w:r>
        <w:t xml:space="preserve"> </w:t>
      </w:r>
      <w:r>
        <w:t xml:space="preserve">: on observe que les commissions s'établissent généralement entre</w:t>
      </w:r>
      <w:r>
        <w:t xml:space="preserve"> </w:t>
      </w:r>
      <w:r>
        <w:rPr>
          <w:b/>
          <w:bCs/>
        </w:rPr>
        <w:t xml:space="preserve">5 % et 10 %</w:t>
      </w:r>
      <w:r>
        <w:t xml:space="preserve"> </w:t>
      </w:r>
      <w:r>
        <w:t xml:space="preserve">du prix de vente, souvent autour de 8 %. Cela peut varier selon les vendeurs et les types de pièces ; à terme, les données collectées permettront d'affiner.</w:t>
      </w:r>
    </w:p>
    <w:bookmarkEnd w:id="22"/>
    <w:bookmarkStart w:id="23" w:name="plancher-de-sécurité"/>
    <w:p>
      <w:pPr>
        <w:pStyle w:val="Heading3"/>
      </w:pPr>
      <w:r>
        <w:t xml:space="preserve">Plancher de sécurité</w:t>
      </w:r>
    </w:p>
    <w:p>
      <w:pPr>
        <w:pStyle w:val="FirstParagraph"/>
      </w:pPr>
      <w:r>
        <w:t xml:space="preserve">Pour protéger l'équilibre économique de la plateforme, un</w:t>
      </w:r>
      <w:r>
        <w:t xml:space="preserve"> </w:t>
      </w:r>
      <w:r>
        <w:rPr>
          <w:b/>
          <w:bCs/>
        </w:rPr>
        <w:t xml:space="preserve">plancher minimum</w:t>
      </w:r>
      <w:r>
        <w:t xml:space="preserve"> </w:t>
      </w:r>
      <w:r>
        <w:t xml:space="preserve">est appliqué automatiquement :</w:t>
      </w:r>
    </w:p>
    <w:p>
      <w:pPr>
        <w:pStyle w:val="BlockText"/>
      </w:pPr>
      <w:r>
        <w:rPr>
          <w:b/>
          <w:bCs/>
        </w:rPr>
        <w:t xml:space="preserve">Commission minimale = max(1 000 FCFA, 5 % du prix de vente)</w:t>
      </w:r>
    </w:p>
    <w:p>
      <w:pPr>
        <w:pStyle w:val="FirstParagraph"/>
      </w:pPr>
      <w:r>
        <w:t xml:space="preserve">Si le Liaison saisit un montant inférieur à ce plancher, le système l'enregistre automatiquement à la valeur du plancher. Un message discret prévient le Liaison quand cela arrive (</w:t>
      </w:r>
      <w:r>
        <w:rPr>
          <w:rStyle w:val="VerbatimChar"/>
        </w:rPr>
        <w:t xml:space="preserve">Plancher de sécurité : sera enregistrée à X FCFA minimum</w:t>
      </w:r>
      <w:r>
        <w:t xml:space="preserve">).</w:t>
      </w:r>
    </w:p>
    <w:p>
      <w:pPr>
        <w:pStyle w:val="BodyText"/>
      </w:pPr>
      <w:r>
        <w:t xml:space="preserve">Le plancher est une</w:t>
      </w:r>
      <w:r>
        <w:t xml:space="preserve"> </w:t>
      </w:r>
      <w:r>
        <w:rPr>
          <w:b/>
          <w:bCs/>
        </w:rPr>
        <w:t xml:space="preserve">règle technique de sécurité</w:t>
      </w:r>
      <w:r>
        <w:t xml:space="preserve">, pas une cible commerciale. La cible commerciale est celle qu'on a négociée avec le vendeur.</w:t>
      </w:r>
    </w:p>
    <w:bookmarkEnd w:id="23"/>
    <w:bookmarkStart w:id="24" w:name="X938cc4b0ba0e92b6c51dda7c2f2f6790d3e0085"/>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doit lui-même indiquer la commission</w:t>
      </w:r>
      <w:r>
        <w:t xml:space="preserve"> </w:t>
      </w:r>
      <w:r>
        <w:t xml:space="preserve">dans son interface vendeur. La même règle de plancher s'applique. Le Liaison peut accompagner le vendeur dans cette étape lors de l'onboarding, mais à terme c'est au vendeur de définir la commission de chacune de ses pièces.</w:t>
      </w:r>
    </w:p>
    <w:p>
      <w:r>
        <w:pict>
          <v:rect style="width:0;height:1.5pt" o:hralign="center" o:hrstd="t" o:hr="t"/>
        </w:pict>
      </w:r>
    </w:p>
    <w:bookmarkEnd w:id="24"/>
    <w:bookmarkEnd w:id="25"/>
    <w:bookmarkStart w:id="29" w:name="X0cfa6e42ab7eb24fef3db5fc0847ca345d136f1"/>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26" w:name="workflow"/>
    <w:p>
      <w:pPr>
        <w:pStyle w:val="Heading3"/>
      </w:pPr>
      <w:r>
        <w:t xml:space="preserve">Workflow</w:t>
      </w:r>
    </w:p>
    <w:p>
      <w:pPr>
        <w:pStyle w:val="Compact"/>
        <w:numPr>
          <w:ilvl w:val="0"/>
          <w:numId w:val="1014"/>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4"/>
        </w:numPr>
      </w:pPr>
      <w:r>
        <w:t xml:space="preserve">Énoncer clairement : "Pour cette pièce, vous nous reversez X FCFA de commission par vente."</w:t>
      </w:r>
    </w:p>
    <w:p>
      <w:pPr>
        <w:pStyle w:val="Compact"/>
        <w:numPr>
          <w:ilvl w:val="0"/>
          <w:numId w:val="1014"/>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5"/>
        </w:numPr>
      </w:pPr>
      <w:r>
        <w:t xml:space="preserve">Cliquer le bouton vert</w:t>
      </w:r>
      <w:r>
        <w:t xml:space="preserve"> </w:t>
      </w:r>
      <w:r>
        <w:rPr>
          <w:b/>
          <w:bCs/>
        </w:rPr>
        <w:t xml:space="preserve">"Marquer agréée"</w:t>
      </w:r>
      <w:r>
        <w:t xml:space="preserve">.</w:t>
      </w:r>
    </w:p>
    <w:p>
      <w:pPr>
        <w:pStyle w:val="Compact"/>
        <w:numPr>
          <w:ilvl w:val="1"/>
          <w:numId w:val="1015"/>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26"/>
    <w:bookmarkStart w:id="27" w:name="visualiser-le-statut"/>
    <w:p>
      <w:pPr>
        <w:pStyle w:val="Heading3"/>
      </w:pPr>
      <w:r>
        <w:t xml:space="preserve">Visualiser le statut</w:t>
      </w:r>
    </w:p>
    <w:p>
      <w:pPr>
        <w:pStyle w:val="Compact"/>
        <w:numPr>
          <w:ilvl w:val="0"/>
          <w:numId w:val="1016"/>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7"/>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7"/>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6"/>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27"/>
    <w:bookmarkStart w:id="28"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 "À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28"/>
    <w:bookmarkEnd w:id="29"/>
    <w:bookmarkStart w:id="30" w:name="X8415148df7315cff8f1445153f691bb00b1fdd3"/>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8"/>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8"/>
        </w:numPr>
      </w:pPr>
      <w:r>
        <w:t xml:space="preserve">Cliquer</w:t>
      </w:r>
      <w:r>
        <w:t xml:space="preserve"> </w:t>
      </w:r>
      <w:r>
        <w:rPr>
          <w:b/>
          <w:bCs/>
        </w:rPr>
        <w:t xml:space="preserve">Modifier</w:t>
      </w:r>
      <w:r>
        <w:t xml:space="preserve"> </w:t>
      </w:r>
      <w:r>
        <w:t xml:space="preserve">sur la ligne de la pièce.</w:t>
      </w:r>
    </w:p>
    <w:p>
      <w:pPr>
        <w:pStyle w:val="Compact"/>
        <w:numPr>
          <w:ilvl w:val="0"/>
          <w:numId w:val="1018"/>
        </w:numPr>
      </w:pPr>
      <w:r>
        <w:t xml:space="preserve">Ajuster les champs nécessaires (nom, prix, état, commission, stock…).</w:t>
      </w:r>
    </w:p>
    <w:p>
      <w:pPr>
        <w:pStyle w:val="Compact"/>
        <w:numPr>
          <w:ilvl w:val="0"/>
          <w:numId w:val="1018"/>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9"/>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9"/>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 "Marquer agréée" après accord oral.</w:t>
      </w:r>
    </w:p>
    <w:p>
      <w:pPr>
        <w:pStyle w:val="Compact"/>
        <w:numPr>
          <w:ilvl w:val="0"/>
          <w:numId w:val="1019"/>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30"/>
    <w:bookmarkStart w:id="31" w:name="Xf28a4ca483dafbb8db9b5a20ed53cdc83debfac"/>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20"/>
        </w:numPr>
      </w:pPr>
      <w:r>
        <w:rPr>
          <w:b/>
          <w:bCs/>
        </w:rPr>
        <w:t xml:space="preserve">Notification</w:t>
      </w:r>
      <w:r>
        <w:t xml:space="preserve"> </w:t>
      </w:r>
      <w:r>
        <w:t xml:space="preserve">— le système notifie le Liaison (et le vendeur s'il a un compte actif).</w:t>
      </w:r>
    </w:p>
    <w:p>
      <w:pPr>
        <w:pStyle w:val="Compact"/>
        <w:numPr>
          <w:ilvl w:val="0"/>
          <w:numId w:val="1020"/>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20"/>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20"/>
        </w:numPr>
      </w:pPr>
      <w:r>
        <w:rPr>
          <w:b/>
          <w:bCs/>
        </w:rPr>
        <w:t xml:space="preserve">Préparation et remise au livreur</w:t>
      </w:r>
      <w:r>
        <w:t xml:space="preserve"> </w:t>
      </w:r>
      <w:r>
        <w:t xml:space="preserve">— coordonner avec le vendeur et le livreur le retrait de la pièce.</w:t>
      </w:r>
    </w:p>
    <w:p>
      <w:pPr>
        <w:pStyle w:val="Compact"/>
        <w:numPr>
          <w:ilvl w:val="0"/>
          <w:numId w:val="1020"/>
        </w:numPr>
      </w:pPr>
      <w:r>
        <w:rPr>
          <w:b/>
          <w:bCs/>
        </w:rPr>
        <w:t xml:space="preserve">Suivi</w:t>
      </w:r>
      <w:r>
        <w:t xml:space="preserve"> </w:t>
      </w:r>
      <w:r>
        <w:t xml:space="preserve">— vérifier que la commande passe par les états DISPATCHED → IN_TRANSIT → DELIVERED → CONFIRMED.</w:t>
      </w:r>
    </w:p>
    <w:p>
      <w:pPr>
        <w:pStyle w:val="Compact"/>
        <w:numPr>
          <w:ilvl w:val="0"/>
          <w:numId w:val="1020"/>
        </w:numPr>
      </w:pPr>
      <w:r>
        <w:rPr>
          <w:b/>
          <w:bCs/>
        </w:rPr>
        <w:t xml:space="preserve">Paiement</w:t>
      </w:r>
      <w:r>
        <w:t xml:space="preserve"> </w:t>
      </w:r>
      <w:r>
        <w:t xml:space="preserve">— une fois confirmée, l'escrow libère les fonds vers le vendeur. La commission Pièces est automatiquement prélevée.</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31"/>
    <w:bookmarkStart w:id="32" w:name="X000b37cb40e53d7bab47580d935df7634ad80e9"/>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Relancer la signature des garanties / activation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32"/>
    <w:bookmarkStart w:id="35" w:name="X9463a526ce0b230316ab266b51dc8420adfd57c"/>
    <w:p>
      <w:pPr>
        <w:pStyle w:val="Heading2"/>
      </w:pPr>
      <w:r>
        <w:t xml:space="preserve">11. Bonnes pratiques et erreurs à éviter</w:t>
      </w:r>
    </w:p>
    <w:bookmarkStart w:id="33" w:name="à-faire-systématiquement"/>
    <w:p>
      <w:pPr>
        <w:pStyle w:val="Heading3"/>
      </w:pPr>
      <w:r>
        <w:t xml:space="preserve">À faire systématiquement</w:t>
      </w:r>
    </w:p>
    <w:p>
      <w:pPr>
        <w:pStyle w:val="Compact"/>
        <w:numPr>
          <w:ilvl w:val="0"/>
          <w:numId w:val="1021"/>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1"/>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1"/>
        </w:numPr>
      </w:pPr>
      <w:r>
        <w:rPr>
          <w:b/>
          <w:bCs/>
        </w:rPr>
        <w:t xml:space="preserve">Faire agréer la commission le jour même</w:t>
      </w:r>
      <w:r>
        <w:t xml:space="preserve"> </w:t>
      </w:r>
      <w:r>
        <w:t xml:space="preserve">de la saisie, idéalement avant de quitter la boutique.</w:t>
      </w:r>
    </w:p>
    <w:p>
      <w:pPr>
        <w:pStyle w:val="Compact"/>
        <w:numPr>
          <w:ilvl w:val="0"/>
          <w:numId w:val="1021"/>
        </w:numPr>
      </w:pPr>
      <w:r>
        <w:rPr>
          <w:b/>
          <w:bCs/>
        </w:rPr>
        <w:t xml:space="preserve">Mettre à jour le statut "En stock"</w:t>
      </w:r>
      <w:r>
        <w:t xml:space="preserve"> </w:t>
      </w:r>
      <w:r>
        <w:t xml:space="preserve">dès qu'une pièce part — vendre une pièce indisponible dégrade la confiance dans Pièces.</w:t>
      </w:r>
    </w:p>
    <w:p>
      <w:pPr>
        <w:pStyle w:val="Compact"/>
        <w:numPr>
          <w:ilvl w:val="0"/>
          <w:numId w:val="1021"/>
        </w:numPr>
      </w:pPr>
      <w:r>
        <w:rPr>
          <w:b/>
          <w:bCs/>
        </w:rPr>
        <w:t xml:space="preserve">Mettre à jour les zones de livraison</w:t>
      </w:r>
      <w:r>
        <w:t xml:space="preserve"> </w:t>
      </w:r>
      <w:r>
        <w:t xml:space="preserve">quand le vendeur étend son rayon.</w:t>
      </w:r>
    </w:p>
    <w:bookmarkEnd w:id="33"/>
    <w:bookmarkStart w:id="34" w:name="à-éviter"/>
    <w:p>
      <w:pPr>
        <w:pStyle w:val="Heading3"/>
      </w:pPr>
      <w:r>
        <w:t xml:space="preserve">À éviter</w:t>
      </w:r>
    </w:p>
    <w:p>
      <w:pPr>
        <w:pStyle w:val="Compact"/>
        <w:numPr>
          <w:ilvl w:val="0"/>
          <w:numId w:val="1022"/>
        </w:numPr>
      </w:pPr>
      <w:r>
        <w:t xml:space="preserve">❌ Saisir une commission à 0 ou très basse en pensant "on verra plus tard" — le plancher de sécurité va corriger automatiquement, mais l'agrément vendeur ne sera plus aligné avec ce qui est vraiment perçu.</w:t>
      </w:r>
    </w:p>
    <w:p>
      <w:pPr>
        <w:pStyle w:val="Compact"/>
        <w:numPr>
          <w:ilvl w:val="0"/>
          <w:numId w:val="1022"/>
        </w:numPr>
      </w:pPr>
      <w:r>
        <w:t xml:space="preserve">❌ Modifier le prix d'une pièce sans en informer le vendeur — risque de litige.</w:t>
      </w:r>
    </w:p>
    <w:p>
      <w:pPr>
        <w:pStyle w:val="Compact"/>
        <w:numPr>
          <w:ilvl w:val="0"/>
          <w:numId w:val="1022"/>
        </w:numPr>
      </w:pPr>
      <w:r>
        <w:t xml:space="preserve">❌ Marquer une commission comme agréée sans avoir eu l'accord oral du vendeur — c'est une fausse déclaration.</w:t>
      </w:r>
    </w:p>
    <w:p>
      <w:pPr>
        <w:pStyle w:val="Compact"/>
        <w:numPr>
          <w:ilvl w:val="0"/>
          <w:numId w:val="1022"/>
        </w:numPr>
      </w:pPr>
      <w:r>
        <w:t xml:space="preserve">❌ Créer un doublon de vendeur (même numéro de téléphone) — le système refusera mais cela perd du temps.</w:t>
      </w:r>
    </w:p>
    <w:p>
      <w:pPr>
        <w:pStyle w:val="Compact"/>
        <w:numPr>
          <w:ilvl w:val="0"/>
          <w:numId w:val="1022"/>
        </w:numPr>
      </w:pPr>
      <w:r>
        <w:t xml:space="preserve">❌ Laisser des vendeurs en PENDING_ACTIVATION pendant des semaines — leurs pièces ne se vendent pas tant que le statut n'est pas ACTIVE.</w:t>
      </w:r>
    </w:p>
    <w:p>
      <w:r>
        <w:pict>
          <v:rect style="width:0;height:1.5pt" o:hralign="center" o:hrstd="t" o:hr="t"/>
        </w:pict>
      </w:r>
    </w:p>
    <w:bookmarkEnd w:id="34"/>
    <w:bookmarkEnd w:id="35"/>
    <w:bookmarkStart w:id="36" w:name="X9926e109b1acf5829590e67183508910bbfe874"/>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36"/>
    <w:bookmarkStart w:id="37"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2026-06-07T17:29:25Z</dcterms:created>
  <dcterms:modified xsi:type="dcterms:W3CDTF">2026-06-07T17:29:25Z</dcterms:modified>
</cp:coreProperties>
</file>

<file path=docProps/custom.xml><?xml version="1.0" encoding="utf-8"?>
<Properties xmlns="http://schemas.openxmlformats.org/officeDocument/2006/custom-properties" xmlns:vt="http://schemas.openxmlformats.org/officeDocument/2006/docPropsVTypes"/>
</file>