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PCS-VTC-2026-06-001 · Date : 3 juin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Le périmètre Flotte Pro inclut désormais la</w:t>
      </w:r>
      <w:r>
        <w:t xml:space="preserve"> </w:t>
      </w:r>
      <w:r>
        <w:rPr>
          <w:b/>
          <w:bCs/>
        </w:rPr>
        <w:t xml:space="preserve">gestion complète des chauffeurs</w:t>
      </w:r>
      <w:r>
        <w:t xml:space="preserve"> </w:t>
      </w:r>
      <w:r>
        <w:t xml:space="preserve">(enrôlement, affectation, recette quotidienne, incidents, KPIs et espace self-service) — voir §2.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structurés, cascade marque/modèle/année/motorisation,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Calendrier d'entretien prédictif par véhicule + 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Gestion des chauffeurs (nouveau)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Enrôlement chauffeur (nom, téléphone, permis, photo) + activation par OTP</w:t>
      </w:r>
    </w:p>
    <w:p>
      <w:pPr>
        <w:pStyle w:val="Compact"/>
        <w:numPr>
          <w:ilvl w:val="1"/>
          <w:numId w:val="1002"/>
        </w:numPr>
      </w:pPr>
      <w:r>
        <w:t xml:space="preserve">Affectation chauffeur ↔ véhicule avec historique complet des rotations</w:t>
      </w:r>
    </w:p>
    <w:p>
      <w:pPr>
        <w:pStyle w:val="Compact"/>
        <w:numPr>
          <w:ilvl w:val="1"/>
          <w:numId w:val="1002"/>
        </w:numPr>
      </w:pPr>
      <w:r>
        <w:t xml:space="preserve">Recette quotidienne tracée : CA du jour, carburant, autres dépenses, kilométrage, résultat net calculé</w:t>
      </w:r>
    </w:p>
    <w:p>
      <w:pPr>
        <w:pStyle w:val="Compact"/>
        <w:numPr>
          <w:ilvl w:val="1"/>
          <w:numId w:val="1002"/>
        </w:numPr>
      </w:pPr>
      <w:r>
        <w:t xml:space="preserve">Suivi des incidents (accident, infraction, panne, plainte) qualifiés par gravité et chiffrés</w:t>
      </w:r>
    </w:p>
    <w:p>
      <w:pPr>
        <w:pStyle w:val="Compact"/>
        <w:numPr>
          <w:ilvl w:val="1"/>
          <w:numId w:val="1002"/>
        </w:numPr>
      </w:pPr>
      <w:r>
        <w:t xml:space="preserve">KPIs chauffeur : rentabilité nette, tendance, classement entre chauffeurs et véhicules</w:t>
      </w:r>
    </w:p>
    <w:p>
      <w:pPr>
        <w:pStyle w:val="Compact"/>
        <w:numPr>
          <w:ilvl w:val="1"/>
          <w:numId w:val="1002"/>
        </w:numPr>
      </w:pPr>
      <w:r>
        <w:t xml:space="preserve">Espace chauffeur self-service confidentiel (chaque chauffeur ne voit que ses propres données)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Devis PDF professionnels</w:t>
      </w:r>
      <w:r>
        <w:t xml:space="preserve"> </w:t>
      </w:r>
      <w:r>
        <w:t xml:space="preserve">signés Pièces, générés à la demande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3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5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5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5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6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6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6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7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7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7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8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Flotte Pro (ou Flotte Pro +) activées, gestion des chauffeurs comprise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8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9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9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9"/>
        </w:numPr>
      </w:pPr>
      <w:r>
        <w:t xml:space="preserve">Enrôlement des chauffeurs et affectation aux véhicules (activation OTP, ~5 min par chauffeur)</w:t>
      </w:r>
    </w:p>
    <w:p>
      <w:pPr>
        <w:pStyle w:val="Compact"/>
        <w:numPr>
          <w:ilvl w:val="0"/>
          <w:numId w:val="1009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9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9"/>
        </w:numPr>
      </w:pPr>
      <w:r>
        <w:t xml:space="preserve">Bascule des chauffeurs sur l'application et saisie de la recette quotidienne dès le premier jour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10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10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10"/>
        </w:numPr>
      </w:pPr>
      <w:r>
        <w:t xml:space="preserve">Optimisation continue (ajout de centres, ajout de SKU critiques, ajustement seuils alertes, suivi des KPIs chauffeurs)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1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1"/>
        </w:numPr>
      </w:pPr>
      <w:r>
        <w:t xml:space="preserve">Données : export complet CSV / FEC à la sortie (historique commandes, factures, fiches véhicules, alertes maintenance, recettes et incidents chauffeurs).</w:t>
      </w:r>
    </w:p>
    <w:p>
      <w:pPr>
        <w:pStyle w:val="Compact"/>
        <w:numPr>
          <w:ilvl w:val="0"/>
          <w:numId w:val="1011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La gestion des chauffeurs étant incluse dès Flotte Pro, le ROI se joue sur deux dimensions simultanées dès le premier mois : économie pièces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recette mieux suivie.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trois dimensions (économie pièces + recette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3 juin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PCS-VTC-2026-06-001.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2026-06-07T17:31:35Z</dcterms:created>
  <dcterms:modified xsi:type="dcterms:W3CDTF">2026-06-07T17:31:35Z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