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anuel-dutilisation-liaison-pièces"/>
    <w:p>
      <w:pPr>
        <w:pStyle w:val="Heading1"/>
      </w:pPr>
      <w:r>
        <w:t xml:space="preserve">Manuel d’utilisation — Liaison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Mai 2026</w:t>
      </w:r>
    </w:p>
    <w:p>
      <w:r>
        <w:pict>
          <v:rect style="width:0;height:1.5pt" o:hralign="center" o:hrstd="t" o:hr="t"/>
        </w:pict>
      </w:r>
    </w:p>
    <w:bookmarkStart w:id="20" w:name="à-qui-sadresse-ce-document"/>
    <w:p>
      <w:pPr>
        <w:pStyle w:val="Heading2"/>
      </w:pPr>
      <w:r>
        <w:t xml:space="preserve">À qui s’adresse ce document</w:t>
      </w:r>
    </w:p>
    <w:p>
      <w:pPr>
        <w:pStyle w:val="FirstParagraph"/>
      </w:pPr>
      <w:r>
        <w:t xml:space="preserve">Ce manuel décrit le rôle et les procédures du</w:t>
      </w:r>
      <w:r>
        <w:t xml:space="preserve"> </w:t>
      </w:r>
      <w:r>
        <w:rPr>
          <w:b/>
          <w:bCs/>
        </w:rPr>
        <w:t xml:space="preserve">Liaison Pièces</w:t>
      </w:r>
      <w:r>
        <w:t xml:space="preserve">, employé terrain chargé de démarcher les vendeurs de pièces auto, de les onboarder sur la plateforme, et — pour une partie d’entre eux — de gérer le compte vendeur en leur nom le temps qu’ils prennent leur autonomie.</w:t>
      </w:r>
    </w:p>
    <w:p>
      <w:pPr>
        <w:pStyle w:val="BodyText"/>
      </w:pPr>
      <w:r>
        <w:t xml:space="preserve">C’est la première personne que voit le vendeur. C’est aussi celle qui rend le catalogue de Pièces possible.</w:t>
      </w:r>
    </w:p>
    <w:p>
      <w:r>
        <w:pict>
          <v:rect style="width:0;height:1.5pt" o:hralign="center" o:hrstd="t" o:hr="t"/>
        </w:pict>
      </w:r>
    </w:p>
    <w:bookmarkEnd w:id="20"/>
    <w:bookmarkStart w:id="21" w:name="table-des-matières"/>
    <w:p>
      <w:pPr>
        <w:pStyle w:val="Heading2"/>
      </w:pPr>
      <w:r>
        <w:t xml:space="preserve">Table des matières</w:t>
      </w:r>
    </w:p>
    <w:p>
      <w:pPr>
        <w:pStyle w:val="Compact"/>
        <w:numPr>
          <w:ilvl w:val="0"/>
          <w:numId w:val="1001"/>
        </w:numPr>
      </w:pPr>
      <w:hyperlink w:anchor="Xef82784e60c357660802af90fdddd6453ff4945">
        <w:r>
          <w:rPr>
            <w:rStyle w:val="Hyperlink"/>
          </w:rPr>
          <w:t xml:space="preserve">Mission du Liaison</w:t>
        </w:r>
      </w:hyperlink>
    </w:p>
    <w:p>
      <w:pPr>
        <w:pStyle w:val="Compact"/>
        <w:numPr>
          <w:ilvl w:val="0"/>
          <w:numId w:val="1001"/>
        </w:numPr>
      </w:pPr>
      <w:hyperlink w:anchor="Xb13f330a6fa486f5acdc47a35b1bd1bdc237a21">
        <w:r>
          <w:rPr>
            <w:rStyle w:val="Hyperlink"/>
          </w:rPr>
          <w:t xml:space="preserve">Connexion et accès au tableau de bord</w:t>
        </w:r>
      </w:hyperlink>
    </w:p>
    <w:p>
      <w:pPr>
        <w:pStyle w:val="Compact"/>
        <w:numPr>
          <w:ilvl w:val="0"/>
          <w:numId w:val="1001"/>
        </w:numPr>
      </w:pPr>
      <w:hyperlink w:anchor="Xcccabe0b2358512fd693ccc289ace883a6f4817">
        <w:r>
          <w:rPr>
            <w:rStyle w:val="Hyperlink"/>
          </w:rPr>
          <w:t xml:space="preserve">Préparation d’une visite vendeur</w:t>
        </w:r>
      </w:hyperlink>
    </w:p>
    <w:p>
      <w:pPr>
        <w:pStyle w:val="Compact"/>
        <w:numPr>
          <w:ilvl w:val="0"/>
          <w:numId w:val="1001"/>
        </w:numPr>
      </w:pPr>
      <w:hyperlink w:anchor="X092761085ebabd06212466505d798800833670f">
        <w:r>
          <w:rPr>
            <w:rStyle w:val="Hyperlink"/>
          </w:rPr>
          <w:t xml:space="preserve">Onboarder un nouveau vendeur</w:t>
        </w:r>
      </w:hyperlink>
    </w:p>
    <w:p>
      <w:pPr>
        <w:pStyle w:val="Compact"/>
        <w:numPr>
          <w:ilvl w:val="0"/>
          <w:numId w:val="1001"/>
        </w:numPr>
      </w:pPr>
      <w:hyperlink w:anchor="Xc054165293ab4060396782f88f62f89fd72a249">
        <w:r>
          <w:rPr>
            <w:rStyle w:val="Hyperlink"/>
          </w:rPr>
          <w:t xml:space="preserve">Ajouter une pièce au catalogue</w:t>
        </w:r>
      </w:hyperlink>
    </w:p>
    <w:p>
      <w:pPr>
        <w:pStyle w:val="Compact"/>
        <w:numPr>
          <w:ilvl w:val="0"/>
          <w:numId w:val="1001"/>
        </w:numPr>
      </w:pPr>
      <w:hyperlink w:anchor="X1fdfb4ab5f1f454a77c5f0b2ec3251babb69e4e">
        <w:r>
          <w:rPr>
            <w:rStyle w:val="Hyperlink"/>
          </w:rPr>
          <w:t xml:space="preserve">Négocier et enregistrer la commission</w:t>
        </w:r>
      </w:hyperlink>
    </w:p>
    <w:p>
      <w:pPr>
        <w:pStyle w:val="Compact"/>
        <w:numPr>
          <w:ilvl w:val="0"/>
          <w:numId w:val="1001"/>
        </w:numPr>
      </w:pPr>
      <w:hyperlink w:anchor="X0cfa6e42ab7eb24fef3db5fc0847ca345d136f1">
        <w:r>
          <w:rPr>
            <w:rStyle w:val="Hyperlink"/>
          </w:rPr>
          <w:t xml:space="preserve">Faire agréer la commission par le vendeur</w:t>
        </w:r>
      </w:hyperlink>
    </w:p>
    <w:p>
      <w:pPr>
        <w:pStyle w:val="Compact"/>
        <w:numPr>
          <w:ilvl w:val="0"/>
          <w:numId w:val="1001"/>
        </w:numPr>
      </w:pPr>
      <w:hyperlink w:anchor="X8415148df7315cff8f1445153f691bb00b1fdd3">
        <w:r>
          <w:rPr>
            <w:rStyle w:val="Hyperlink"/>
          </w:rPr>
          <w:t xml:space="preserve">Modifier une annonce existante</w:t>
        </w:r>
      </w:hyperlink>
    </w:p>
    <w:p>
      <w:pPr>
        <w:pStyle w:val="Compact"/>
        <w:numPr>
          <w:ilvl w:val="0"/>
          <w:numId w:val="1001"/>
        </w:numPr>
      </w:pPr>
      <w:hyperlink w:anchor="Xf28a4ca483dafbb8db9b5a20ed53cdc83debfac">
        <w:r>
          <w:rPr>
            <w:rStyle w:val="Hyperlink"/>
          </w:rPr>
          <w:t xml:space="preserve">Coordination des commandes</w:t>
        </w:r>
      </w:hyperlink>
    </w:p>
    <w:p>
      <w:pPr>
        <w:pStyle w:val="Compact"/>
        <w:numPr>
          <w:ilvl w:val="0"/>
          <w:numId w:val="1001"/>
        </w:numPr>
      </w:pPr>
      <w:hyperlink w:anchor="X000b37cb40e53d7bab47580d935df7634ad80e9">
        <w:r>
          <w:rPr>
            <w:rStyle w:val="Hyperlink"/>
          </w:rPr>
          <w:t xml:space="preserve">Suivi quotidien du tableau de bord</w:t>
        </w:r>
      </w:hyperlink>
    </w:p>
    <w:p>
      <w:pPr>
        <w:pStyle w:val="Compact"/>
        <w:numPr>
          <w:ilvl w:val="0"/>
          <w:numId w:val="1001"/>
        </w:numPr>
      </w:pPr>
      <w:hyperlink w:anchor="X9463a526ce0b230316ab266b51dc8420adfd57c">
        <w:r>
          <w:rPr>
            <w:rStyle w:val="Hyperlink"/>
          </w:rPr>
          <w:t xml:space="preserve">Bonnes pratiques et erreurs à éviter</w:t>
        </w:r>
      </w:hyperlink>
    </w:p>
    <w:p>
      <w:pPr>
        <w:pStyle w:val="Compact"/>
        <w:numPr>
          <w:ilvl w:val="0"/>
          <w:numId w:val="1001"/>
        </w:numPr>
      </w:pPr>
      <w:hyperlink w:anchor="X9926e109b1acf5829590e67183508910bbfe874">
        <w:r>
          <w:rPr>
            <w:rStyle w:val="Hyperlink"/>
          </w:rPr>
          <w:t xml:space="preserve">FAQ Liaison</w:t>
        </w:r>
      </w:hyperlink>
    </w:p>
    <w:p>
      <w:r>
        <w:pict>
          <v:rect style="width:0;height:1.5pt" o:hralign="center" o:hrstd="t" o:hr="t"/>
        </w:pict>
      </w:r>
    </w:p>
    <w:bookmarkEnd w:id="21"/>
    <w:bookmarkStart w:id="23" w:name="mission-du-liaison"/>
    <w:p>
      <w:pPr>
        <w:pStyle w:val="Heading2"/>
      </w:pPr>
      <w:r>
        <w:t xml:space="preserve">1. Mission du Liaison</w:t>
      </w:r>
    </w:p>
    <w:p>
      <w:pPr>
        <w:pStyle w:val="FirstParagraph"/>
      </w:pPr>
      <w:r>
        <w:t xml:space="preserve">Le Liaison a trois responsabilités principales :</w:t>
      </w:r>
    </w:p>
    <w:p>
      <w:pPr>
        <w:pStyle w:val="Compact"/>
        <w:numPr>
          <w:ilvl w:val="0"/>
          <w:numId w:val="1002"/>
        </w:numPr>
      </w:pPr>
      <w:r>
        <w:rPr>
          <w:b/>
          <w:bCs/>
        </w:rPr>
        <w:t xml:space="preserve">Démarcher</w:t>
      </w:r>
      <w:r>
        <w:t xml:space="preserve"> </w:t>
      </w:r>
      <w:r>
        <w:t xml:space="preserve">les vendeurs de pièces auto sur le terrain (casses, garages, magasins, marchés).</w:t>
      </w:r>
    </w:p>
    <w:p>
      <w:pPr>
        <w:pStyle w:val="Compact"/>
        <w:numPr>
          <w:ilvl w:val="0"/>
          <w:numId w:val="1002"/>
        </w:numPr>
      </w:pPr>
      <w:r>
        <w:rPr>
          <w:b/>
          <w:bCs/>
        </w:rPr>
        <w:t xml:space="preserve">Onboarder</w:t>
      </w:r>
      <w:r>
        <w:t xml:space="preserve"> </w:t>
      </w:r>
      <w:r>
        <w:t xml:space="preserve">les vendeurs sur la plateforme Pièces : créer leur compte, saisir leur KYC,</w:t>
      </w:r>
      <w:r>
        <w:t xml:space="preserve"> </w:t>
      </w:r>
      <w:r>
        <w:rPr>
          <w:b/>
          <w:bCs/>
        </w:rPr>
        <w:t xml:space="preserve">recenser tout le stock</w:t>
      </w:r>
      <w:r>
        <w:t xml:space="preserve"> </w:t>
      </w:r>
      <w:r>
        <w:t xml:space="preserve">(photo et description, rayon par rayon — pas un échantillon), fixer une commission agréée pour chaque article.</w:t>
      </w:r>
    </w:p>
    <w:p>
      <w:pPr>
        <w:pStyle w:val="Compact"/>
        <w:numPr>
          <w:ilvl w:val="0"/>
          <w:numId w:val="1002"/>
        </w:numPr>
      </w:pPr>
      <w:r>
        <w:rPr>
          <w:b/>
          <w:bCs/>
        </w:rPr>
        <w:t xml:space="preserve">Coordonner</w:t>
      </w:r>
      <w:r>
        <w:t xml:space="preserve"> </w:t>
      </w:r>
      <w:r>
        <w:t xml:space="preserve">les commandes pour les vendeurs qui n’ont pas encore leur propre compte actif : transmettre les demandes, suivre la livraison, faire le pont avec un employé du vendeur ou le vendeur lui-même.</w:t>
      </w:r>
    </w:p>
    <w:p>
      <w:pPr>
        <w:pStyle w:val="FirstParagraph"/>
      </w:pPr>
      <w:r>
        <w:t xml:space="preserve">Un vendeur peut soit :</w:t>
      </w:r>
    </w:p>
    <w:p>
      <w:pPr>
        <w:pStyle w:val="Compact"/>
        <w:numPr>
          <w:ilvl w:val="0"/>
          <w:numId w:val="1003"/>
        </w:numPr>
      </w:pPr>
      <w:r>
        <w:rPr>
          <w:b/>
          <w:bCs/>
        </w:rPr>
        <w:t xml:space="preserve">Avoir son propre compte vendeur</w:t>
      </w:r>
      <w:r>
        <w:t xml:space="preserve"> </w:t>
      </w:r>
      <w:r>
        <w:t xml:space="preserve">(le Liaison l’a aidé à l’activer, le vendeur prend le relais) — le Liaison agit alors comme accompagnateur, pas comme gestionnaire.</w:t>
      </w:r>
    </w:p>
    <w:p>
      <w:pPr>
        <w:pStyle w:val="Compact"/>
        <w:numPr>
          <w:ilvl w:val="0"/>
          <w:numId w:val="1003"/>
        </w:numPr>
      </w:pPr>
      <w:r>
        <w:rPr>
          <w:b/>
          <w:bCs/>
        </w:rPr>
        <w:t xml:space="preserve">Être géré par le Liaison</w:t>
      </w:r>
      <w:r>
        <w:t xml:space="preserve"> </w:t>
      </w:r>
      <w:r>
        <w:t xml:space="preserve">— le compte vendeur existe dans la base mais c’est le Liaison qui saisit le catalogue et coordonne les ventes au quotidien.</w:t>
      </w:r>
    </w:p>
    <w:p>
      <w:pPr>
        <w:pStyle w:val="FirstParagraph"/>
      </w:pPr>
      <w:r>
        <w:t xml:space="preserve">Dans les deux cas, le Liaison reste l’interlocuteur de premier niveau pour le vendeur.</w:t>
      </w:r>
    </w:p>
    <w:p>
      <w:pPr>
        <w:pStyle w:val="BlockText"/>
      </w:pPr>
      <w:r>
        <w:rPr>
          <w:b/>
          <w:bCs/>
        </w:rPr>
        <w:t xml:space="preserve">Ce manuel couvre l’outil, pas la conversation.</w:t>
      </w:r>
      <w:r>
        <w:t xml:space="preserve"> </w:t>
      </w:r>
      <w:r>
        <w:t xml:space="preserve">Pour le démarchage proprement dit — ce qu’on dit en entrant dans le magasin, la trame d’entretien, l’argumentaire, les objections et le closing — la référence est la</w:t>
      </w:r>
      <w:r>
        <w:t xml:space="preserve"> </w:t>
      </w:r>
      <w:hyperlink r:id="rId22">
        <w:r>
          <w:rPr>
            <w:rStyle w:val="Hyperlink"/>
          </w:rPr>
          <w:t xml:space="preserve">Bible du démarchage vendeurs</w:t>
        </w:r>
      </w:hyperlink>
      <w:r>
        <w:t xml:space="preserve">. Les deux documents se lisent ensemble : la bible amène le « oui », ce manuel l’exécute.</w:t>
      </w:r>
    </w:p>
    <w:p>
      <w:r>
        <w:pict>
          <v:rect style="width:0;height:1.5pt" o:hralign="center" o:hrstd="t" o:hr="t"/>
        </w:pict>
      </w:r>
    </w:p>
    <w:bookmarkEnd w:id="23"/>
    <w:bookmarkStart w:id="27" w:name="connexion-et-accès-au-tableau-de-bord"/>
    <w:p>
      <w:pPr>
        <w:pStyle w:val="Heading2"/>
      </w:pPr>
      <w:r>
        <w:t xml:space="preserve">2. Connexion et accès au tableau de bord</w:t>
      </w:r>
    </w:p>
    <w:bookmarkStart w:id="24" w:name="première-connexion"/>
    <w:p>
      <w:pPr>
        <w:pStyle w:val="Heading3"/>
      </w:pPr>
      <w:r>
        <w:t xml:space="preserve">Première connexion</w:t>
      </w:r>
    </w:p>
    <w:p>
      <w:pPr>
        <w:pStyle w:val="Compact"/>
        <w:numPr>
          <w:ilvl w:val="0"/>
          <w:numId w:val="1004"/>
        </w:numPr>
      </w:pPr>
      <w:r>
        <w:t xml:space="preserve">Ouvrir</w:t>
      </w:r>
      <w:r>
        <w:t xml:space="preserve"> </w:t>
      </w:r>
      <w:r>
        <w:rPr>
          <w:rStyle w:val="VerbatimChar"/>
        </w:rPr>
        <w:t xml:space="preserve">https://pieces.ci</w:t>
      </w:r>
      <w:r>
        <w:t xml:space="preserve"> </w:t>
      </w:r>
      <w:r>
        <w:t xml:space="preserve">sur navigateur mobile ou ordinateur.</w:t>
      </w:r>
    </w:p>
    <w:p>
      <w:pPr>
        <w:pStyle w:val="Compact"/>
        <w:numPr>
          <w:ilvl w:val="0"/>
          <w:numId w:val="1004"/>
        </w:numPr>
      </w:pPr>
      <w:r>
        <w:t xml:space="preserve">Se connecter avec son numéro de téléphone professionnel (+225 XX XX XX XX XX).</w:t>
      </w:r>
    </w:p>
    <w:p>
      <w:pPr>
        <w:pStyle w:val="Compact"/>
        <w:numPr>
          <w:ilvl w:val="0"/>
          <w:numId w:val="1004"/>
        </w:numPr>
      </w:pPr>
      <w:r>
        <w:t xml:space="preserve">Saisir le code OTP reçu par SMS.</w:t>
      </w:r>
    </w:p>
    <w:p>
      <w:pPr>
        <w:pStyle w:val="FirstParagraph"/>
      </w:pPr>
      <w:r>
        <w:t xml:space="preserve">Le rôle</w:t>
      </w:r>
      <w:r>
        <w:t xml:space="preserve"> </w:t>
      </w:r>
      <w:r>
        <w:rPr>
          <w:b/>
          <w:bCs/>
        </w:rPr>
        <w:t xml:space="preserve">LIAISON</w:t>
      </w:r>
      <w:r>
        <w:t xml:space="preserve"> </w:t>
      </w:r>
      <w:r>
        <w:t xml:space="preserve">doit être attribué par un administrateur Pièces. Sans ce rôle, l’espace Liaison est inaccessible.</w:t>
      </w:r>
    </w:p>
    <w:bookmarkEnd w:id="24"/>
    <w:bookmarkStart w:id="25" w:name="accéder-à-lespace-liaison"/>
    <w:p>
      <w:pPr>
        <w:pStyle w:val="Heading3"/>
      </w:pPr>
      <w:r>
        <w:t xml:space="preserve">Accéder à l’espace Liaison</w:t>
      </w:r>
    </w:p>
    <w:p>
      <w:pPr>
        <w:pStyle w:val="FirstParagraph"/>
      </w:pPr>
      <w:r>
        <w:t xml:space="preserve">Une fois connecté :</w:t>
      </w:r>
    </w:p>
    <w:p>
      <w:pPr>
        <w:pStyle w:val="Compact"/>
        <w:numPr>
          <w:ilvl w:val="0"/>
          <w:numId w:val="1005"/>
        </w:numPr>
      </w:pPr>
      <w:r>
        <w:rPr>
          <w:b/>
          <w:bCs/>
        </w:rPr>
        <w:t xml:space="preserve">Desktop</w:t>
      </w:r>
      <w:r>
        <w:t xml:space="preserve"> </w:t>
      </w:r>
      <w:r>
        <w:t xml:space="preserve">: menu latéral gauche → onglets</w:t>
      </w:r>
      <w:r>
        <w:t xml:space="preserve"> </w:t>
      </w:r>
      <w:r>
        <w:rPr>
          <w:i/>
          <w:iCs/>
        </w:rPr>
        <w:t xml:space="preserve">Tableau de bord</w:t>
      </w:r>
      <w:r>
        <w:t xml:space="preserve">,</w:t>
      </w:r>
      <w:r>
        <w:t xml:space="preserve"> </w:t>
      </w:r>
      <w:r>
        <w:rPr>
          <w:i/>
          <w:iCs/>
        </w:rPr>
        <w:t xml:space="preserve">Vendeurs</w:t>
      </w:r>
      <w:r>
        <w:t xml:space="preserve">,</w:t>
      </w:r>
      <w:r>
        <w:t xml:space="preserve"> </w:t>
      </w:r>
      <w:r>
        <w:rPr>
          <w:i/>
          <w:iCs/>
        </w:rPr>
        <w:t xml:space="preserve">Pièces</w:t>
      </w:r>
      <w:r>
        <w:t xml:space="preserve">.</w:t>
      </w:r>
    </w:p>
    <w:p>
      <w:pPr>
        <w:pStyle w:val="Compact"/>
        <w:numPr>
          <w:ilvl w:val="0"/>
          <w:numId w:val="1005"/>
        </w:numPr>
      </w:pPr>
      <w:r>
        <w:rPr>
          <w:b/>
          <w:bCs/>
        </w:rPr>
        <w:t xml:space="preserve">Mobile</w:t>
      </w:r>
      <w:r>
        <w:t xml:space="preserve"> </w:t>
      </w:r>
      <w:r>
        <w:t xml:space="preserve">: barre de navigation en bas → icônes</w:t>
      </w:r>
      <w:r>
        <w:t xml:space="preserve"> </w:t>
      </w:r>
      <w:r>
        <w:rPr>
          <w:i/>
          <w:iCs/>
        </w:rPr>
        <w:t xml:space="preserve">Liaison</w:t>
      </w:r>
      <w:r>
        <w:t xml:space="preserve">,</w:t>
      </w:r>
      <w:r>
        <w:t xml:space="preserve"> </w:t>
      </w:r>
      <w:r>
        <w:rPr>
          <w:i/>
          <w:iCs/>
        </w:rPr>
        <w:t xml:space="preserve">Vendeurs</w:t>
      </w:r>
      <w:r>
        <w:t xml:space="preserve">,</w:t>
      </w:r>
      <w:r>
        <w:t xml:space="preserve"> </w:t>
      </w:r>
      <w:r>
        <w:rPr>
          <w:i/>
          <w:iCs/>
        </w:rPr>
        <w:t xml:space="preserve">Pièces</w:t>
      </w:r>
      <w:r>
        <w:t xml:space="preserve">.</w:t>
      </w:r>
    </w:p>
    <w:p>
      <w:pPr>
        <w:pStyle w:val="FirstParagraph"/>
      </w:pPr>
      <w:r>
        <w:t xml:space="preserve">L’URL directe est</w:t>
      </w:r>
      <w:r>
        <w:t xml:space="preserve"> </w:t>
      </w:r>
      <w:r>
        <w:rPr>
          <w:rStyle w:val="VerbatimChar"/>
        </w:rPr>
        <w:t xml:space="preserve">https://pieces.ci/liaison</w:t>
      </w:r>
      <w:r>
        <w:t xml:space="preserve">.</w:t>
      </w:r>
    </w:p>
    <w:bookmarkEnd w:id="25"/>
    <w:bookmarkStart w:id="26" w:name="changer-de-contexte"/>
    <w:p>
      <w:pPr>
        <w:pStyle w:val="Heading3"/>
      </w:pPr>
      <w:r>
        <w:t xml:space="preserve">Changer de contexte</w:t>
      </w:r>
    </w:p>
    <w:p>
      <w:pPr>
        <w:pStyle w:val="FirstParagraph"/>
      </w:pPr>
      <w:r>
        <w:t xml:space="preserve">Si le compte du Liaison cumule plusieurs rôles (par exemple LIAISON + MECHANIC), basculer via le menu</w:t>
      </w:r>
      <w:r>
        <w:t xml:space="preserve"> </w:t>
      </w:r>
      <w:r>
        <w:rPr>
          <w:i/>
          <w:iCs/>
        </w:rPr>
        <w:t xml:space="preserve">Mon compte</w:t>
      </w:r>
      <w:r>
        <w:t xml:space="preserve"> </w:t>
      </w:r>
      <w:r>
        <w:t xml:space="preserve">→</w:t>
      </w:r>
      <w:r>
        <w:t xml:space="preserve"> </w:t>
      </w:r>
      <w:r>
        <w:rPr>
          <w:i/>
          <w:iCs/>
        </w:rPr>
        <w:t xml:space="preserve">Changer de contexte</w:t>
      </w:r>
      <w:r>
        <w:t xml:space="preserve">. Toutes les fonctionnalités décrites ici nécessitent que le contexte actif soit</w:t>
      </w:r>
      <w:r>
        <w:t xml:space="preserve"> </w:t>
      </w:r>
      <w:r>
        <w:rPr>
          <w:b/>
          <w:bCs/>
        </w:rPr>
        <w:t xml:space="preserve">LIAISON</w:t>
      </w:r>
      <w:r>
        <w:t xml:space="preserve">.</w:t>
      </w:r>
    </w:p>
    <w:p>
      <w:r>
        <w:pict>
          <v:rect style="width:0;height:1.5pt" o:hralign="center" o:hrstd="t" o:hr="t"/>
        </w:pict>
      </w:r>
    </w:p>
    <w:bookmarkEnd w:id="26"/>
    <w:bookmarkEnd w:id="27"/>
    <w:bookmarkStart w:id="28" w:name="préparation-dune-visite-vendeur"/>
    <w:p>
      <w:pPr>
        <w:pStyle w:val="Heading2"/>
      </w:pPr>
      <w:r>
        <w:t xml:space="preserve">3. Préparation d’une visite vendeur</w:t>
      </w:r>
    </w:p>
    <w:p>
      <w:pPr>
        <w:pStyle w:val="FirstParagraph"/>
      </w:pPr>
      <w:r>
        <w:t xml:space="preserve">Avant d’aller voir un nouveau vendeur, rassembler les informations suivantes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Pourquoi</w:t>
            </w:r>
          </w:p>
        </w:tc>
      </w:tr>
      <w:tr>
        <w:tc>
          <w:tcPr/>
          <w:p>
            <w:pPr>
              <w:pStyle w:val="Compact"/>
            </w:pPr>
            <w:r>
              <w:t xml:space="preserve">Nom commercial de la boutique</w:t>
            </w:r>
          </w:p>
        </w:tc>
        <w:tc>
          <w:tcPr/>
          <w:p>
            <w:pPr>
              <w:pStyle w:val="Compact"/>
            </w:pPr>
            <w:r>
              <w:t xml:space="preserve">Apparaîtra sur les annonces</w:t>
            </w:r>
          </w:p>
        </w:tc>
      </w:tr>
      <w:tr>
        <w:tc>
          <w:tcPr/>
          <w:p>
            <w:pPr>
              <w:pStyle w:val="Compact"/>
            </w:pPr>
            <w:r>
              <w:t xml:space="preserve">Nom du contact principal</w:t>
            </w:r>
          </w:p>
        </w:tc>
        <w:tc>
          <w:tcPr/>
          <w:p>
            <w:pPr>
              <w:pStyle w:val="Compact"/>
            </w:pPr>
            <w:r>
              <w:t xml:space="preserve">Personne qui valide les ventes</w:t>
            </w:r>
          </w:p>
        </w:tc>
      </w:tr>
      <w:tr>
        <w:tc>
          <w:tcPr/>
          <w:p>
            <w:pPr>
              <w:pStyle w:val="Compact"/>
            </w:pPr>
            <w:r>
              <w:t xml:space="preserve">Numéro de téléphone</w:t>
            </w:r>
          </w:p>
        </w:tc>
        <w:tc>
          <w:tcPr/>
          <w:p>
            <w:pPr>
              <w:pStyle w:val="Compact"/>
            </w:pPr>
            <w:r>
              <w:t xml:space="preserve">Doit être unique sur la plateforme</w:t>
            </w:r>
          </w:p>
        </w:tc>
      </w:tr>
      <w:tr>
        <w:tc>
          <w:tcPr/>
          <w:p>
            <w:pPr>
              <w:pStyle w:val="Compact"/>
            </w:pPr>
            <w:r>
              <w:t xml:space="preserve">Type de vendeur (formel/informel)</w:t>
            </w:r>
          </w:p>
        </w:tc>
        <w:tc>
          <w:tcPr/>
          <w:p>
            <w:pPr>
              <w:pStyle w:val="Compact"/>
            </w:pPr>
            <w:r>
              <w:t xml:space="preserve">Détermine le document KYC</w:t>
            </w:r>
          </w:p>
        </w:tc>
      </w:tr>
      <w:tr>
        <w:tc>
          <w:tcPr/>
          <w:p>
            <w:pPr>
              <w:pStyle w:val="Compact"/>
            </w:pPr>
            <w:r>
              <w:t xml:space="preserve">Document KYC (RCCM si formel, CNI si informel)</w:t>
            </w:r>
          </w:p>
        </w:tc>
        <w:tc>
          <w:tcPr/>
          <w:p>
            <w:pPr>
              <w:pStyle w:val="Compact"/>
            </w:pPr>
            <w:r>
              <w:t xml:space="preserve">Obligatoire pour activer le compte</w:t>
            </w:r>
          </w:p>
        </w:tc>
      </w:tr>
      <w:tr>
        <w:tc>
          <w:tcPr/>
          <w:p>
            <w:pPr>
              <w:pStyle w:val="Compact"/>
            </w:pPr>
            <w:r>
              <w:t xml:space="preserve">Commune et adresse</w:t>
            </w:r>
          </w:p>
        </w:tc>
        <w:tc>
          <w:tcPr/>
          <w:p>
            <w:pPr>
              <w:pStyle w:val="Compact"/>
            </w:pPr>
            <w:r>
              <w:t xml:space="preserve">Localisation client</w:t>
            </w:r>
          </w:p>
        </w:tc>
      </w:tr>
      <w:tr>
        <w:tc>
          <w:tcPr/>
          <w:p>
            <w:pPr>
              <w:pStyle w:val="Compact"/>
            </w:pPr>
            <w:r>
              <w:t xml:space="preserve">Coordonnées GPS approximatives</w:t>
            </w:r>
          </w:p>
        </w:tc>
        <w:tc>
          <w:tcPr/>
          <w:p>
            <w:pPr>
              <w:pStyle w:val="Compact"/>
            </w:pPr>
            <w:r>
              <w:t xml:space="preserve">Idéalement prises sur place</w:t>
            </w:r>
          </w:p>
        </w:tc>
      </w:tr>
      <w:tr>
        <w:tc>
          <w:tcPr/>
          <w:p>
            <w:pPr>
              <w:pStyle w:val="Compact"/>
            </w:pPr>
            <w:r>
              <w:t xml:space="preserve">Zones de livraison acceptées</w:t>
            </w:r>
          </w:p>
        </w:tc>
        <w:tc>
          <w:tcPr/>
          <w:p>
            <w:pPr>
              <w:pStyle w:val="Compact"/>
            </w:pPr>
            <w:r>
              <w:t xml:space="preserve">Communes où le vendeur peut livrer</w:t>
            </w:r>
          </w:p>
        </w:tc>
      </w:tr>
      <w:tr>
        <w:tc>
          <w:tcPr/>
          <w:p>
            <w:pPr>
              <w:pStyle w:val="Compact"/>
            </w:pPr>
            <w:r>
              <w:rPr>
                <w:b/>
                <w:bCs/>
              </w:rPr>
              <w:t xml:space="preserve">Employé désigné pour la saisie</w:t>
            </w:r>
            <w:r>
              <w:t xml:space="preserve"> </w:t>
            </w:r>
            <w:r>
              <w:t xml:space="preserve">(nom + téléphone)</w:t>
            </w:r>
          </w:p>
        </w:tc>
        <w:tc>
          <w:tcPr/>
          <w:p>
            <w:pPr>
              <w:pStyle w:val="Compact"/>
            </w:pPr>
            <w:r>
              <w:rPr>
                <w:b/>
                <w:bCs/>
              </w:rPr>
              <w:t xml:space="preserve">C’est lui qui publiera les arrivages après le passage du Liaison.</w:t>
            </w:r>
            <w:r>
              <w:t xml:space="preserve"> </w:t>
            </w:r>
            <w:r>
              <w:t xml:space="preserve">Sans ce nom, le catalogue s’arrête au jour de la visite</w:t>
            </w:r>
          </w:p>
        </w:tc>
      </w:tr>
    </w:tbl>
    <w:p>
      <w:pPr>
        <w:pStyle w:val="BodyText"/>
      </w:pPr>
      <w:r>
        <w:t xml:space="preserve">Les six dernières lignes ne se remplissent pas au bureau : elles sortent de la découverte menée en magasin (blocs 1 à 5 de la trame d’entretien). Le nom de l’employé, en particulier, est la réponse à la question « qui connaît le stock par cœur ici ? ».</w:t>
      </w:r>
    </w:p>
    <w:p>
      <w:pPr>
        <w:pStyle w:val="BodyText"/>
      </w:pPr>
      <w:r>
        <w:rPr>
          <w:b/>
          <w:bCs/>
        </w:rPr>
        <w:t xml:space="preserve">Pour un vendeur qui n’est pas encore au CRM, il n’y a rien à préparer du tout.</w:t>
      </w:r>
      <w:r>
        <w:t xml:space="preserve"> </w:t>
      </w:r>
      <w:r>
        <w:t xml:space="preserve">L’entretien se démarre à blanc —</w:t>
      </w:r>
      <w:r>
        <w:t xml:space="preserve"> </w:t>
      </w:r>
      <w:r>
        <w:rPr>
          <w:i/>
          <w:iCs/>
        </w:rPr>
        <w:t xml:space="preserve">Prospection</w:t>
      </w:r>
      <w:r>
        <w:t xml:space="preserve"> </w:t>
      </w:r>
      <w:r>
        <w:t xml:space="preserve">→</w:t>
      </w:r>
      <w:r>
        <w:t xml:space="preserve"> </w:t>
      </w:r>
      <w:r>
        <w:rPr>
          <w:i/>
          <w:iCs/>
        </w:rPr>
        <w:t xml:space="preserve">Nouvel entretien</w:t>
      </w:r>
      <w:r>
        <w:t xml:space="preserve"> </w:t>
      </w:r>
      <w:r>
        <w:t xml:space="preserve">→ onglet</w:t>
      </w:r>
      <w:r>
        <w:t xml:space="preserve"> </w:t>
      </w:r>
      <w:r>
        <w:rPr>
          <w:b/>
          <w:bCs/>
        </w:rPr>
        <w:t xml:space="preserve">Nouveau</w:t>
      </w:r>
      <w:r>
        <w:t xml:space="preserve"> </w:t>
      </w:r>
      <w:r>
        <w:t xml:space="preserve">→</w:t>
      </w:r>
      <w:r>
        <w:t xml:space="preserve"> </w:t>
      </w:r>
      <w:r>
        <w:rPr>
          <w:b/>
          <w:bCs/>
        </w:rPr>
        <w:t xml:space="preserve">Démarrer l’entretien</w:t>
      </w:r>
      <w:r>
        <w:t xml:space="preserve">, aucun champ à saisir. Le nom du patron, l’enseigne, le téléphone et la commune se relèvent</w:t>
      </w:r>
      <w:r>
        <w:t xml:space="preserve"> </w:t>
      </w:r>
      <w:r>
        <w:rPr>
          <w:b/>
          <w:bCs/>
        </w:rPr>
        <w:t xml:space="preserve">à la fin</w:t>
      </w:r>
      <w:r>
        <w:t xml:space="preserve">, dans le bloc « Identité de la boutique » sous la trame, et ce sont eux qui créent la fiche prospect à la clôture. Demander ces informations en entrant ferme la porte ; les demander à la fin, après le oui, ne coûte rien (voir la bible, section 7, « Le relevé d’identité »). La clôture de l’entretien reste bloquée tant qu’un nom ou une enseigne n’est pas renseigné.</w:t>
      </w:r>
    </w:p>
    <w:p>
      <w:pPr>
        <w:pStyle w:val="BodyText"/>
      </w:pPr>
      <w:r>
        <w:rPr>
          <w:b/>
          <w:bCs/>
        </w:rPr>
        <w:t xml:space="preserve">Astuce :</w:t>
      </w:r>
      <w:r>
        <w:t xml:space="preserve"> </w:t>
      </w:r>
      <w:r>
        <w:t xml:space="preserve">prendre les coordonnées GPS pendant la visite via l’application Maps de son téléphone, puis les noter avant de remplir le formulaire dans Pièces.</w:t>
      </w:r>
    </w:p>
    <w:p>
      <w:pPr>
        <w:pStyle w:val="BodyText"/>
      </w:pPr>
      <w:r>
        <w:rPr>
          <w:b/>
          <w:bCs/>
        </w:rPr>
        <w:t xml:space="preserve">Après l’onboarding — la formation de l’employé.</w:t>
      </w:r>
      <w:r>
        <w:t xml:space="preserve"> </w:t>
      </w:r>
      <w:r>
        <w:t xml:space="preserve">La bible du démarchage promet au vendeur que son employé sera formé sur place,</w:t>
      </w:r>
      <w:r>
        <w:t xml:space="preserve"> </w:t>
      </w:r>
      <w:r>
        <w:rPr>
          <w:b/>
          <w:bCs/>
        </w:rPr>
        <w:t xml:space="preserve">en une demi-heure, sur son propre téléphone</w:t>
      </w:r>
      <w:r>
        <w:t xml:space="preserve">. C’est un engagement pris en visite : il se tient. Concrètement, on lui fait publier deux ou trois pièces lui-même pendant qu’on est là — photo, état, prix, commission énoncée par le patron — plutôt que de le regarder faire. Un employé qui n’a jamais publié seul devant nous ne publiera pas après notre départ.</w:t>
      </w:r>
    </w:p>
    <w:p>
      <w:r>
        <w:pict>
          <v:rect style="width:0;height:1.5pt" o:hralign="center" o:hrstd="t" o:hr="t"/>
        </w:pict>
      </w:r>
    </w:p>
    <w:bookmarkEnd w:id="28"/>
    <w:bookmarkStart w:id="31" w:name="onboarder-un-nouveau-vendeur"/>
    <w:p>
      <w:pPr>
        <w:pStyle w:val="Heading2"/>
      </w:pPr>
      <w:r>
        <w:t xml:space="preserve">4. Onboarder un nouveau vendeur</w:t>
      </w:r>
    </w:p>
    <w:bookmarkStart w:id="29" w:name="étape-par-étape"/>
    <w:p>
      <w:pPr>
        <w:pStyle w:val="Heading3"/>
      </w:pPr>
      <w:r>
        <w:t xml:space="preserve">Étape par étape</w:t>
      </w:r>
    </w:p>
    <w:p>
      <w:pPr>
        <w:pStyle w:val="Compact"/>
        <w:numPr>
          <w:ilvl w:val="0"/>
          <w:numId w:val="1006"/>
        </w:numPr>
      </w:pPr>
      <w:r>
        <w:t xml:space="preserve">Depuis le tableau de bord Liaison, cliquer</w:t>
      </w:r>
      <w:r>
        <w:t xml:space="preserve"> </w:t>
      </w:r>
      <w:r>
        <w:rPr>
          <w:b/>
          <w:bCs/>
        </w:rPr>
        <w:t xml:space="preserve">+ Onboarder un vendeur</w:t>
      </w:r>
      <w:r>
        <w:t xml:space="preserve"> </w:t>
      </w:r>
      <w:r>
        <w:t xml:space="preserve">ou aller dans</w:t>
      </w:r>
      <w:r>
        <w:t xml:space="preserve"> </w:t>
      </w:r>
      <w:r>
        <w:rPr>
          <w:i/>
          <w:iCs/>
        </w:rPr>
        <w:t xml:space="preserve">Vendeurs</w:t>
      </w:r>
      <w:r>
        <w:t xml:space="preserve"> </w:t>
      </w:r>
      <w:r>
        <w:t xml:space="preserve">→</w:t>
      </w:r>
      <w:r>
        <w:t xml:space="preserve"> </w:t>
      </w:r>
      <w:r>
        <w:rPr>
          <w:b/>
          <w:bCs/>
        </w:rPr>
        <w:t xml:space="preserve">+ Ajouter</w:t>
      </w:r>
      <w:r>
        <w:t xml:space="preserve">.</w:t>
      </w:r>
    </w:p>
    <w:p>
      <w:pPr>
        <w:pStyle w:val="Compact"/>
        <w:numPr>
          <w:ilvl w:val="0"/>
          <w:numId w:val="1006"/>
        </w:numPr>
      </w:pPr>
      <w:r>
        <w:t xml:space="preserve">Remplir le formulaire :</w:t>
      </w:r>
    </w:p>
    <w:p>
      <w:pPr>
        <w:pStyle w:val="Compact"/>
        <w:numPr>
          <w:ilvl w:val="1"/>
          <w:numId w:val="1007"/>
        </w:numPr>
      </w:pPr>
      <w:r>
        <w:rPr>
          <w:b/>
          <w:bCs/>
        </w:rPr>
        <w:t xml:space="preserve">Nom commercial</w:t>
      </w:r>
      <w:r>
        <w:t xml:space="preserve"> </w:t>
      </w:r>
      <w:r>
        <w:t xml:space="preserve">(2 à 100 caractères)</w:t>
      </w:r>
    </w:p>
    <w:p>
      <w:pPr>
        <w:pStyle w:val="Compact"/>
        <w:numPr>
          <w:ilvl w:val="1"/>
          <w:numId w:val="1007"/>
        </w:numPr>
      </w:pPr>
      <w:r>
        <w:rPr>
          <w:b/>
          <w:bCs/>
        </w:rPr>
        <w:t xml:space="preserve">Nom du contact</w:t>
      </w:r>
    </w:p>
    <w:p>
      <w:pPr>
        <w:pStyle w:val="Compact"/>
        <w:numPr>
          <w:ilvl w:val="1"/>
          <w:numId w:val="1007"/>
        </w:numPr>
      </w:pPr>
      <w:r>
        <w:rPr>
          <w:b/>
          <w:bCs/>
        </w:rPr>
        <w:t xml:space="preserve">Téléphone</w:t>
      </w:r>
      <w:r>
        <w:t xml:space="preserve"> </w:t>
      </w:r>
      <w:r>
        <w:t xml:space="preserve">au format</w:t>
      </w:r>
      <w:r>
        <w:t xml:space="preserve"> </w:t>
      </w:r>
      <w:r>
        <w:rPr>
          <w:rStyle w:val="VerbatimChar"/>
        </w:rPr>
        <w:t xml:space="preserve">+225XXXXXXXXXX</w:t>
      </w:r>
      <w:r>
        <w:t xml:space="preserve"> </w:t>
      </w:r>
      <w:r>
        <w:t xml:space="preserve">— ce numéro doit être</w:t>
      </w:r>
      <w:r>
        <w:t xml:space="preserve"> </w:t>
      </w:r>
      <w:r>
        <w:rPr>
          <w:b/>
          <w:bCs/>
        </w:rPr>
        <w:t xml:space="preserve">unique</w:t>
      </w:r>
      <w:r>
        <w:t xml:space="preserve"> </w:t>
      </w:r>
      <w:r>
        <w:t xml:space="preserve">dans la base</w:t>
      </w:r>
    </w:p>
    <w:p>
      <w:pPr>
        <w:pStyle w:val="Compact"/>
        <w:numPr>
          <w:ilvl w:val="1"/>
          <w:numId w:val="1007"/>
        </w:numPr>
      </w:pPr>
      <w:r>
        <w:rPr>
          <w:b/>
          <w:bCs/>
        </w:rPr>
        <w:t xml:space="preserve">Type vendeur</w:t>
      </w:r>
      <w:r>
        <w:t xml:space="preserve"> </w:t>
      </w:r>
      <w:r>
        <w:t xml:space="preserve">: Formel ou Informel</w:t>
      </w:r>
    </w:p>
    <w:p>
      <w:pPr>
        <w:pStyle w:val="Compact"/>
        <w:numPr>
          <w:ilvl w:val="1"/>
          <w:numId w:val="1007"/>
        </w:numPr>
      </w:pPr>
      <w:r>
        <w:rPr>
          <w:b/>
          <w:bCs/>
        </w:rPr>
        <w:t xml:space="preserve">Document KYC</w:t>
      </w:r>
      <w:r>
        <w:t xml:space="preserve"> </w:t>
      </w:r>
      <w:r>
        <w:t xml:space="preserve">:</w:t>
      </w:r>
    </w:p>
    <w:p>
      <w:pPr>
        <w:pStyle w:val="Compact"/>
        <w:numPr>
          <w:ilvl w:val="2"/>
          <w:numId w:val="1008"/>
        </w:numPr>
      </w:pPr>
      <w:r>
        <w:t xml:space="preserve">Si vendeur</w:t>
      </w:r>
      <w:r>
        <w:t xml:space="preserve"> </w:t>
      </w:r>
      <w:r>
        <w:rPr>
          <w:b/>
          <w:bCs/>
        </w:rPr>
        <w:t xml:space="preserve">FORMEL</w:t>
      </w:r>
      <w:r>
        <w:t xml:space="preserve"> </w:t>
      </w:r>
      <w:r>
        <w:t xml:space="preserve">: RCCM (numéro du registre du commerce)</w:t>
      </w:r>
    </w:p>
    <w:p>
      <w:pPr>
        <w:pStyle w:val="Compact"/>
        <w:numPr>
          <w:ilvl w:val="2"/>
          <w:numId w:val="1008"/>
        </w:numPr>
      </w:pPr>
      <w:r>
        <w:t xml:space="preserve">Si vendeur</w:t>
      </w:r>
      <w:r>
        <w:t xml:space="preserve"> </w:t>
      </w:r>
      <w:r>
        <w:rPr>
          <w:b/>
          <w:bCs/>
        </w:rPr>
        <w:t xml:space="preserve">INFORMEL</w:t>
      </w:r>
      <w:r>
        <w:t xml:space="preserve"> </w:t>
      </w:r>
      <w:r>
        <w:t xml:space="preserve">: CNI (numéro de carte nationale d’identité)</w:t>
      </w:r>
    </w:p>
    <w:p>
      <w:pPr>
        <w:pStyle w:val="Compact"/>
        <w:numPr>
          <w:ilvl w:val="1"/>
          <w:numId w:val="1007"/>
        </w:numPr>
      </w:pPr>
      <w:r>
        <w:rPr>
          <w:b/>
          <w:bCs/>
        </w:rPr>
        <w:t xml:space="preserve">Commune</w:t>
      </w:r>
      <w:r>
        <w:t xml:space="preserve"> </w:t>
      </w:r>
      <w:r>
        <w:t xml:space="preserve">(sélection dans la liste des communes d’Abidjan)</w:t>
      </w:r>
    </w:p>
    <w:p>
      <w:pPr>
        <w:pStyle w:val="Compact"/>
        <w:numPr>
          <w:ilvl w:val="1"/>
          <w:numId w:val="1007"/>
        </w:numPr>
      </w:pPr>
      <w:r>
        <w:rPr>
          <w:b/>
          <w:bCs/>
        </w:rPr>
        <w:t xml:space="preserve">Adresse</w:t>
      </w:r>
    </w:p>
    <w:p>
      <w:pPr>
        <w:pStyle w:val="Compact"/>
        <w:numPr>
          <w:ilvl w:val="1"/>
          <w:numId w:val="1007"/>
        </w:numPr>
      </w:pPr>
      <w:r>
        <w:rPr>
          <w:b/>
          <w:bCs/>
        </w:rPr>
        <w:t xml:space="preserve">GPS</w:t>
      </w:r>
      <w:r>
        <w:t xml:space="preserve"> </w:t>
      </w:r>
      <w:r>
        <w:t xml:space="preserve">(latitude / longitude)</w:t>
      </w:r>
    </w:p>
    <w:p>
      <w:pPr>
        <w:pStyle w:val="Compact"/>
        <w:numPr>
          <w:ilvl w:val="1"/>
          <w:numId w:val="1007"/>
        </w:numPr>
      </w:pPr>
      <w:r>
        <w:rPr>
          <w:b/>
          <w:bCs/>
        </w:rPr>
        <w:t xml:space="preserve">Zones de livraison</w:t>
      </w:r>
      <w:r>
        <w:t xml:space="preserve"> </w:t>
      </w:r>
      <w:r>
        <w:t xml:space="preserve">(sélection multiple de communes)</w:t>
      </w:r>
    </w:p>
    <w:p>
      <w:pPr>
        <w:pStyle w:val="Compact"/>
        <w:numPr>
          <w:ilvl w:val="0"/>
          <w:numId w:val="1006"/>
        </w:numPr>
      </w:pPr>
      <w:r>
        <w:t xml:space="preserve">Cliquer</w:t>
      </w:r>
      <w:r>
        <w:t xml:space="preserve"> </w:t>
      </w:r>
      <w:r>
        <w:rPr>
          <w:b/>
          <w:bCs/>
        </w:rPr>
        <w:t xml:space="preserve">Créer le vendeur</w:t>
      </w:r>
      <w:r>
        <w:t xml:space="preserve">.</w:t>
      </w:r>
    </w:p>
    <w:p>
      <w:pPr>
        <w:pStyle w:val="FirstParagraph"/>
      </w:pPr>
      <w:r>
        <w:t xml:space="preserve">À l’issue, le vendeur est créé avec le statut</w:t>
      </w:r>
      <w:r>
        <w:t xml:space="preserve"> </w:t>
      </w:r>
      <w:r>
        <w:rPr>
          <w:b/>
          <w:bCs/>
        </w:rPr>
        <w:t xml:space="preserve">PENDING_ACTIVATION</w:t>
      </w:r>
      <w:r>
        <w:t xml:space="preserve">. Il apparaît dans la liste</w:t>
      </w:r>
      <w:r>
        <w:t xml:space="preserve"> </w:t>
      </w:r>
      <w:r>
        <w:rPr>
          <w:i/>
          <w:iCs/>
        </w:rPr>
        <w:t xml:space="preserve">Vendeurs</w:t>
      </w:r>
      <w:r>
        <w:t xml:space="preserve"> </w:t>
      </w:r>
      <w:r>
        <w:t xml:space="preserve">du Liaison avec un badge orange</w:t>
      </w:r>
      <w:r>
        <w:t xml:space="preserve"> </w:t>
      </w:r>
      <w:r>
        <w:t xml:space="preserve">“En attente d’activation”</w:t>
      </w:r>
      <w:r>
        <w:t xml:space="preserve">.</w:t>
      </w:r>
    </w:p>
    <w:bookmarkEnd w:id="29"/>
    <w:bookmarkStart w:id="30" w:name="activer-le-vendeur"/>
    <w:p>
      <w:pPr>
        <w:pStyle w:val="Heading3"/>
      </w:pPr>
      <w:r>
        <w:t xml:space="preserve">Activer le vendeur</w:t>
      </w:r>
    </w:p>
    <w:p>
      <w:pPr>
        <w:pStyle w:val="FirstParagraph"/>
      </w:pPr>
      <w:r>
        <w:t xml:space="preserve">L’activation est l’étape qui passe le vendeur du statut PENDING_ACTIVATION à</w:t>
      </w:r>
      <w:r>
        <w:t xml:space="preserve"> </w:t>
      </w:r>
      <w:r>
        <w:rPr>
          <w:b/>
          <w:bCs/>
        </w:rPr>
        <w:t xml:space="preserve">ACTIVE</w:t>
      </w:r>
      <w:r>
        <w:t xml:space="preserve">. Elle requiert :</w:t>
      </w:r>
    </w:p>
    <w:p>
      <w:pPr>
        <w:pStyle w:val="Compact"/>
        <w:numPr>
          <w:ilvl w:val="0"/>
          <w:numId w:val="1009"/>
        </w:numPr>
      </w:pPr>
      <w:r>
        <w:t xml:space="preserve">L’</w:t>
      </w:r>
      <w:r>
        <w:rPr>
          <w:b/>
          <w:bCs/>
        </w:rPr>
        <w:t xml:space="preserve">acceptation du socle de reprise</w:t>
      </w:r>
      <w:r>
        <w:t xml:space="preserve"> </w:t>
      </w:r>
      <w:r>
        <w:t xml:space="preserve">(reprise si la livraison échoue, si l’acheteur refuse la pièce à la livraison, ou en cas de non-conformité signalée sous 24 h). La garantie commerciale, elle, reste au choix du vendeur, pièce par pièce.</w:t>
      </w:r>
    </w:p>
    <w:p>
      <w:pPr>
        <w:pStyle w:val="Compact"/>
        <w:numPr>
          <w:ilvl w:val="0"/>
          <w:numId w:val="1009"/>
        </w:numPr>
      </w:pPr>
      <w:r>
        <w:t xml:space="preserve">La validation du KYC par un administrateur Pièces.</w:t>
      </w:r>
    </w:p>
    <w:p>
      <w:pPr>
        <w:pStyle w:val="FirstParagraph"/>
      </w:pPr>
      <w:r>
        <w:t xml:space="preserve">Tant que le vendeur n’est pas ACTIVE, ses pièces peuvent être ajoutées au catalogue mais les</w:t>
      </w:r>
      <w:r>
        <w:t xml:space="preserve"> </w:t>
      </w:r>
      <w:r>
        <w:rPr>
          <w:b/>
          <w:bCs/>
        </w:rPr>
        <w:t xml:space="preserve">commandes ne pourront pas être finalisées</w:t>
      </w:r>
      <w:r>
        <w:t xml:space="preserve">.</w:t>
      </w:r>
    </w:p>
    <w:p>
      <w:r>
        <w:pict>
          <v:rect style="width:0;height:1.5pt" o:hralign="center" o:hrstd="t" o:hr="t"/>
        </w:pict>
      </w:r>
    </w:p>
    <w:bookmarkEnd w:id="30"/>
    <w:bookmarkEnd w:id="31"/>
    <w:bookmarkStart w:id="33" w:name="ajouter-une-pièce-au-catalogue"/>
    <w:p>
      <w:pPr>
        <w:pStyle w:val="Heading2"/>
      </w:pPr>
      <w:r>
        <w:t xml:space="preserve">5. Ajouter une pièce au catalogue</w:t>
      </w:r>
    </w:p>
    <w:p>
      <w:pPr>
        <w:pStyle w:val="FirstParagraph"/>
      </w:pPr>
      <w:r>
        <w:t xml:space="preserve">Une fois le vendeur créé, ajouter ses pièces une par une.</w:t>
      </w:r>
    </w:p>
    <w:p>
      <w:pPr>
        <w:pStyle w:val="Compact"/>
        <w:numPr>
          <w:ilvl w:val="0"/>
          <w:numId w:val="1010"/>
        </w:numPr>
      </w:pPr>
      <w:r>
        <w:t xml:space="preserve">Aller dans le détail du vendeur (</w:t>
      </w:r>
      <w:r>
        <w:rPr>
          <w:i/>
          <w:iCs/>
        </w:rPr>
        <w:t xml:space="preserve">Vendeurs</w:t>
      </w:r>
      <w:r>
        <w:t xml:space="preserve"> </w:t>
      </w:r>
      <w:r>
        <w:t xml:space="preserve">→ cliquer sur le vendeur) puis cliquer</w:t>
      </w:r>
      <w:r>
        <w:t xml:space="preserve"> </w:t>
      </w:r>
      <w:r>
        <w:rPr>
          <w:b/>
          <w:bCs/>
        </w:rPr>
        <w:t xml:space="preserve">+ Ajouter</w:t>
      </w:r>
      <w:r>
        <w:t xml:space="preserve">.</w:t>
      </w:r>
    </w:p>
    <w:p>
      <w:pPr>
        <w:pStyle w:val="Compact"/>
        <w:numPr>
          <w:ilvl w:val="0"/>
          <w:numId w:val="1010"/>
        </w:numPr>
      </w:pPr>
      <w:r>
        <w:t xml:space="preserve">Remplir le formulaire pièce :</w:t>
      </w:r>
    </w:p>
    <w:p>
      <w:pPr>
        <w:pStyle w:val="Compact"/>
        <w:numPr>
          <w:ilvl w:val="1"/>
          <w:numId w:val="1011"/>
        </w:numPr>
      </w:pPr>
      <w:r>
        <w:rPr>
          <w:b/>
          <w:bCs/>
        </w:rPr>
        <w:t xml:space="preserve">Nom de la pièce</w:t>
      </w:r>
      <w:r>
        <w:t xml:space="preserve"> </w:t>
      </w:r>
      <w:r>
        <w:t xml:space="preserve">(obligatoire, ex :</w:t>
      </w:r>
      <w:r>
        <w:t xml:space="preserve"> </w:t>
      </w:r>
      <w:r>
        <w:t xml:space="preserve">“Alternateur 90A”</w:t>
      </w:r>
      <w:r>
        <w:t xml:space="preserve">)</w:t>
      </w:r>
    </w:p>
    <w:p>
      <w:pPr>
        <w:pStyle w:val="Compact"/>
        <w:numPr>
          <w:ilvl w:val="1"/>
          <w:numId w:val="1011"/>
        </w:numPr>
      </w:pPr>
      <w:r>
        <w:rPr>
          <w:b/>
          <w:bCs/>
        </w:rPr>
        <w:t xml:space="preserve">Catégorie</w:t>
      </w:r>
      <w:r>
        <w:t xml:space="preserve"> </w:t>
      </w:r>
      <w:r>
        <w:t xml:space="preserve">(Moteur, Freinage, Suspension, Transmission, Carrosserie, Électronique, Filtration, Échappement, Climatisation, Allumage, ou texte libre)</w:t>
      </w:r>
    </w:p>
    <w:p>
      <w:pPr>
        <w:pStyle w:val="Compact"/>
        <w:numPr>
          <w:ilvl w:val="1"/>
          <w:numId w:val="1011"/>
        </w:numPr>
      </w:pPr>
      <w:r>
        <w:rPr>
          <w:b/>
          <w:bCs/>
        </w:rPr>
        <w:t xml:space="preserve">État</w:t>
      </w:r>
      <w:r>
        <w:t xml:space="preserve"> </w:t>
      </w:r>
      <w:r>
        <w:t xml:space="preserve">(obligatoire) :</w:t>
      </w:r>
    </w:p>
    <w:p>
      <w:pPr>
        <w:pStyle w:val="Compact"/>
        <w:numPr>
          <w:ilvl w:val="2"/>
          <w:numId w:val="1012"/>
        </w:numPr>
      </w:pPr>
      <w:r>
        <w:rPr>
          <w:b/>
          <w:bCs/>
        </w:rPr>
        <w:t xml:space="preserve">Neuf</w:t>
      </w:r>
      <w:r>
        <w:t xml:space="preserve"> </w:t>
      </w:r>
      <w:r>
        <w:t xml:space="preserve">— pièce jamais montée</w:t>
      </w:r>
    </w:p>
    <w:p>
      <w:pPr>
        <w:pStyle w:val="Compact"/>
        <w:numPr>
          <w:ilvl w:val="2"/>
          <w:numId w:val="1012"/>
        </w:numPr>
      </w:pPr>
      <w:r>
        <w:rPr>
          <w:b/>
          <w:bCs/>
        </w:rPr>
        <w:t xml:space="preserve">Occasion</w:t>
      </w:r>
      <w:r>
        <w:t xml:space="preserve"> </w:t>
      </w:r>
      <w:r>
        <w:t xml:space="preserve">— pièce démontée d’un véhicule</w:t>
      </w:r>
    </w:p>
    <w:p>
      <w:pPr>
        <w:pStyle w:val="Compact"/>
        <w:numPr>
          <w:ilvl w:val="2"/>
          <w:numId w:val="1012"/>
        </w:numPr>
      </w:pPr>
      <w:r>
        <w:rPr>
          <w:b/>
          <w:bCs/>
        </w:rPr>
        <w:t xml:space="preserve">Ré-usiné</w:t>
      </w:r>
      <w:r>
        <w:t xml:space="preserve"> </w:t>
      </w:r>
      <w:r>
        <w:t xml:space="preserve">— pièce remise à neuf en atelier</w:t>
      </w:r>
    </w:p>
    <w:p>
      <w:pPr>
        <w:pStyle w:val="Compact"/>
        <w:numPr>
          <w:ilvl w:val="1"/>
          <w:numId w:val="1011"/>
        </w:numPr>
      </w:pPr>
      <w:r>
        <w:rPr>
          <w:b/>
          <w:bCs/>
        </w:rPr>
        <w:t xml:space="preserve">Prix (FCFA)</w:t>
      </w:r>
      <w:r>
        <w:t xml:space="preserve"> </w:t>
      </w:r>
      <w:r>
        <w:t xml:space="preserve">— laisser vide si à confirmer plus tard</w:t>
      </w:r>
    </w:p>
    <w:p>
      <w:pPr>
        <w:pStyle w:val="Compact"/>
        <w:numPr>
          <w:ilvl w:val="1"/>
          <w:numId w:val="1011"/>
        </w:numPr>
      </w:pPr>
      <w:r>
        <w:rPr>
          <w:b/>
          <w:bCs/>
        </w:rPr>
        <w:t xml:space="preserve">Commission Pièces (FCFA)</w:t>
      </w:r>
      <w:r>
        <w:t xml:space="preserve"> </w:t>
      </w:r>
      <w:r>
        <w:t xml:space="preserve">— montant agréé avec le vendeur (voir section 6)</w:t>
      </w:r>
    </w:p>
    <w:p>
      <w:pPr>
        <w:pStyle w:val="Compact"/>
        <w:numPr>
          <w:ilvl w:val="1"/>
          <w:numId w:val="1011"/>
        </w:numPr>
      </w:pPr>
      <w:r>
        <w:rPr>
          <w:b/>
          <w:bCs/>
        </w:rPr>
        <w:t xml:space="preserve">Référence OEM</w:t>
      </w:r>
      <w:r>
        <w:t xml:space="preserve"> </w:t>
      </w:r>
      <w:r>
        <w:t xml:space="preserve">(numéro constructeur si visible sur la pièce)</w:t>
      </w:r>
    </w:p>
    <w:p>
      <w:pPr>
        <w:pStyle w:val="Compact"/>
        <w:numPr>
          <w:ilvl w:val="1"/>
          <w:numId w:val="1011"/>
        </w:numPr>
      </w:pPr>
      <w:r>
        <w:rPr>
          <w:b/>
          <w:bCs/>
        </w:rPr>
        <w:t xml:space="preserve">Compatibilité véhicule</w:t>
      </w:r>
      <w:r>
        <w:t xml:space="preserve"> </w:t>
      </w:r>
      <w:r>
        <w:t xml:space="preserve">(marque · modèle · année — ex :</w:t>
      </w:r>
      <w:r>
        <w:t xml:space="preserve"> </w:t>
      </w:r>
      <w:r>
        <w:t xml:space="preserve">“Toyota Hilux 2010-2015”</w:t>
      </w:r>
      <w:r>
        <w:t xml:space="preserve">)</w:t>
      </w:r>
    </w:p>
    <w:p>
      <w:pPr>
        <w:pStyle w:val="Compact"/>
        <w:numPr>
          <w:ilvl w:val="1"/>
          <w:numId w:val="1011"/>
        </w:numPr>
      </w:pPr>
      <w:r>
        <w:rPr>
          <w:b/>
          <w:bCs/>
        </w:rPr>
        <w:t xml:space="preserve">Garantie (mois)</w:t>
      </w:r>
      <w:r>
        <w:t xml:space="preserve"> </w:t>
      </w:r>
      <w:r>
        <w:t xml:space="preserve">— durée pendant laquelle le vendeur garantit la pièce</w:t>
      </w:r>
    </w:p>
    <w:p>
      <w:pPr>
        <w:pStyle w:val="Compact"/>
        <w:numPr>
          <w:ilvl w:val="1"/>
          <w:numId w:val="1011"/>
        </w:numPr>
      </w:pPr>
      <w:r>
        <w:rPr>
          <w:b/>
          <w:bCs/>
        </w:rPr>
        <w:t xml:space="preserve">En stock</w:t>
      </w:r>
      <w:r>
        <w:t xml:space="preserve"> </w:t>
      </w:r>
      <w:r>
        <w:t xml:space="preserve">(cocher si la pièce est physiquement disponible)</w:t>
      </w:r>
    </w:p>
    <w:p>
      <w:pPr>
        <w:pStyle w:val="Compact"/>
        <w:numPr>
          <w:ilvl w:val="0"/>
          <w:numId w:val="1010"/>
        </w:numPr>
      </w:pPr>
      <w:r>
        <w:t xml:space="preserve">Cliquer</w:t>
      </w:r>
      <w:r>
        <w:t xml:space="preserve"> </w:t>
      </w:r>
      <w:r>
        <w:rPr>
          <w:b/>
          <w:bCs/>
        </w:rPr>
        <w:t xml:space="preserve">Ajouter la pièce</w:t>
      </w:r>
      <w:r>
        <w:t xml:space="preserve">.</w:t>
      </w:r>
    </w:p>
    <w:p>
      <w:pPr>
        <w:pStyle w:val="FirstParagraph"/>
      </w:pPr>
      <w:r>
        <w:t xml:space="preserve">La pièce est immédiatement</w:t>
      </w:r>
      <w:r>
        <w:t xml:space="preserve"> </w:t>
      </w:r>
      <w:r>
        <w:rPr>
          <w:b/>
          <w:bCs/>
        </w:rPr>
        <w:t xml:space="preserve">PUBLIÉE</w:t>
      </w:r>
      <w:r>
        <w:t xml:space="preserve"> </w:t>
      </w:r>
      <w:r>
        <w:t xml:space="preserve">dans le catalogue public.</w:t>
      </w:r>
    </w:p>
    <w:bookmarkStart w:id="32" w:name="photos"/>
    <w:p>
      <w:pPr>
        <w:pStyle w:val="Heading3"/>
      </w:pPr>
      <w:r>
        <w:t xml:space="preserve">Photos</w:t>
      </w:r>
    </w:p>
    <w:p>
      <w:pPr>
        <w:pStyle w:val="FirstParagraph"/>
      </w:pPr>
      <w:r>
        <w:t xml:space="preserve">L’upload de photos détaillées (jusqu’à 3 par pièce) se fait via le flux vendeur classique. Pour les pièces saisies par le Liaison, prendre au minimum une photo claire qui sert d’image principale lors de la saisie initiale.</w:t>
      </w:r>
    </w:p>
    <w:p>
      <w:r>
        <w:pict>
          <v:rect style="width:0;height:1.5pt" o:hralign="center" o:hrstd="t" o:hr="t"/>
        </w:pict>
      </w:r>
    </w:p>
    <w:bookmarkEnd w:id="32"/>
    <w:bookmarkEnd w:id="33"/>
    <w:bookmarkStart w:id="37" w:name="faire-fixer-et-enregistrer-la-commission"/>
    <w:p>
      <w:pPr>
        <w:pStyle w:val="Heading2"/>
      </w:pPr>
      <w:r>
        <w:t xml:space="preserve">6. Faire fixer et enregistrer la commission</w:t>
      </w:r>
    </w:p>
    <w:p>
      <w:pPr>
        <w:pStyle w:val="FirstParagraph"/>
      </w:pPr>
      <w:r>
        <w:t xml:space="preserve">Chaque pièce mise en vente sur Pièces porte une</w:t>
      </w:r>
      <w:r>
        <w:t xml:space="preserve"> </w:t>
      </w:r>
      <w:r>
        <w:rPr>
          <w:b/>
          <w:bCs/>
        </w:rPr>
        <w:t xml:space="preserve">commission</w:t>
      </w:r>
      <w:r>
        <w:t xml:space="preserve"> </w:t>
      </w:r>
      <w:r>
        <w:t xml:space="preserve">: la part du prix de vente qui revient à la plateforme.</w:t>
      </w:r>
      <w:r>
        <w:t xml:space="preserve"> </w:t>
      </w:r>
      <w:r>
        <w:rPr>
          <w:b/>
          <w:bCs/>
        </w:rPr>
        <w:t xml:space="preserve">C’est le vendeur qui la fixe</w:t>
      </w:r>
      <w:r>
        <w:t xml:space="preserve">, pièce par pièce, au moment de la publication. Le rôle du Liaison est de lui poser la question, d’enregistrer sa réponse telle quelle, et de la faire agréer (section 7).</w:t>
      </w:r>
    </w:p>
    <w:bookmarkStart w:id="34" w:name="le-liaison-ne-propose-jamais-de-montant"/>
    <w:p>
      <w:pPr>
        <w:pStyle w:val="Heading3"/>
      </w:pPr>
      <w:r>
        <w:t xml:space="preserve">Le Liaison ne propose jamais de montant</w:t>
      </w:r>
    </w:p>
    <w:p>
      <w:pPr>
        <w:pStyle w:val="FirstParagraph"/>
      </w:pPr>
      <w:r>
        <w:t xml:space="preserve">C’est la règle la plus importante de cette section, et elle est sans exception :</w:t>
      </w:r>
      <w:r>
        <w:t xml:space="preserve"> </w:t>
      </w:r>
      <w:r>
        <w:rPr>
          <w:b/>
          <w:bCs/>
        </w:rPr>
        <w:t xml:space="preserve">on ne suggère ni taux, ni fourchette, ni montant</w:t>
      </w:r>
      <w:r>
        <w:t xml:space="preserve">, même quand le vendeur insiste, même quand il demande « et vous, vous mettez combien d’habitude ? ».</w:t>
      </w:r>
    </w:p>
    <w:p>
      <w:pPr>
        <w:pStyle w:val="BodyText"/>
      </w:pPr>
      <w:r>
        <w:t xml:space="preserve">On lui renvoie la question :</w:t>
      </w:r>
    </w:p>
    <w:p>
      <w:pPr>
        <w:pStyle w:val="BlockText"/>
      </w:pPr>
      <w:r>
        <w:t xml:space="preserve">« C’est vous qui décidez. Sur une pièce à 25 000 F, vous seriez à l’aise à combien, pour un client que vous n’auriez pas eu autrement ? »</w:t>
      </w:r>
    </w:p>
    <w:p>
      <w:pPr>
        <w:pStyle w:val="FirstParagraph"/>
      </w:pPr>
      <w:r>
        <w:t xml:space="preserve">La raison est commerciale, pas administrative :</w:t>
      </w:r>
      <w:r>
        <w:t xml:space="preserve"> </w:t>
      </w:r>
      <w:r>
        <w:rPr>
          <w:b/>
          <w:bCs/>
        </w:rPr>
        <w:t xml:space="preserve">le premier chiffre qu’un Liaison prononce devient le barème de tout le marché</w:t>
      </w:r>
      <w:r>
        <w:t xml:space="preserve">, et il ne redescend jamais. Nous voulons observer ce que les vendeurs acceptent réellement — c’est cette donnée qui permettra plus tard de construire une politique. Un chiffre soufflé la détruit.</w:t>
      </w:r>
    </w:p>
    <w:p>
      <w:pPr>
        <w:pStyle w:val="BodyText"/>
      </w:pPr>
      <w:r>
        <w:t xml:space="preserve">Ce que le Liaison a le droit de savoir, et que le vendeur n’a pas à entendre : sur le terrain, les commissions retenues se situent le plus souvent entre 5 et 10 %.</w:t>
      </w:r>
      <w:r>
        <w:t xml:space="preserve"> </w:t>
      </w:r>
      <w:r>
        <w:rPr>
          <w:b/>
          <w:bCs/>
        </w:rPr>
        <w:t xml:space="preserve">C’est une observation interne, jamais un argument de visite.</w:t>
      </w:r>
    </w:p>
    <w:bookmarkEnd w:id="34"/>
    <w:bookmarkStart w:id="35" w:name="il-ny-a-pas-de-plancher"/>
    <w:p>
      <w:pPr>
        <w:pStyle w:val="Heading3"/>
      </w:pPr>
      <w:r>
        <w:t xml:space="preserve">Il n’y a pas de plancher</w:t>
      </w:r>
    </w:p>
    <w:p>
      <w:pPr>
        <w:pStyle w:val="FirstParagraph"/>
      </w:pPr>
      <w:r>
        <w:t xml:space="preserve">Le système</w:t>
      </w:r>
      <w:r>
        <w:t xml:space="preserve"> </w:t>
      </w:r>
      <w:r>
        <w:rPr>
          <w:b/>
          <w:bCs/>
        </w:rPr>
        <w:t xml:space="preserve">enregistre le montant tel qu’il est saisi</w:t>
      </w:r>
      <w:r>
        <w:t xml:space="preserve">, et</w:t>
      </w:r>
      <w:r>
        <w:t xml:space="preserve"> </w:t>
      </w:r>
      <w:r>
        <w:rPr>
          <w:b/>
          <w:bCs/>
        </w:rPr>
        <w:t xml:space="preserve">0 est accepté</w:t>
      </w:r>
      <w:r>
        <w:t xml:space="preserve"> </w:t>
      </w:r>
      <w:r>
        <w:t xml:space="preserve">: un vendeur peut publier une pièce sans commission. On gagne peu sur cette annonce-là, mais la donnée a de la valeur et le vendeur est entré dans le catalogue.</w:t>
      </w:r>
    </w:p>
    <w:p>
      <w:pPr>
        <w:pStyle w:val="BodyText"/>
      </w:pPr>
      <w:r>
        <w:t xml:space="preserve">Il n’y a donc</w:t>
      </w:r>
      <w:r>
        <w:t xml:space="preserve"> </w:t>
      </w:r>
      <w:r>
        <w:rPr>
          <w:b/>
          <w:bCs/>
        </w:rPr>
        <w:t xml:space="preserve">aucun rattrapage automatique</w:t>
      </w:r>
      <w:r>
        <w:t xml:space="preserve"> </w:t>
      </w:r>
      <w:r>
        <w:t xml:space="preserve">: le montant saisi est exactement le montant qui sera prélevé à la vente. Et le message à tenir en visite — « il n’y a pas de montant minimum » — est exact, on peut le dire sans réserve.</w:t>
      </w:r>
    </w:p>
    <w:bookmarkEnd w:id="35"/>
    <w:bookmarkStart w:id="36" w:name="X6006da6b0c2839be6c1a64732efe3773690ee04"/>
    <w:p>
      <w:pPr>
        <w:pStyle w:val="Heading3"/>
      </w:pPr>
      <w:r>
        <w:t xml:space="preserve">Cas particulier — vendeur qui saisit lui-même</w:t>
      </w:r>
    </w:p>
    <w:p>
      <w:pPr>
        <w:pStyle w:val="FirstParagraph"/>
      </w:pPr>
      <w:r>
        <w:t xml:space="preserve">Quand le vendeur a son propre compte et saisit ses propres pièces,</w:t>
      </w:r>
      <w:r>
        <w:t xml:space="preserve"> </w:t>
      </w:r>
      <w:r>
        <w:rPr>
          <w:b/>
          <w:bCs/>
        </w:rPr>
        <w:t xml:space="preserve">il indique lui-même la commission</w:t>
      </w:r>
      <w:r>
        <w:t xml:space="preserve"> </w:t>
      </w:r>
      <w:r>
        <w:t xml:space="preserve">dans son interface vendeur — là encore sans plancher, et 0 accepté. Le Liaison peut l’accompagner sur cette étape lors de l’onboarding, mais c’est bien au vendeur de définir la commission de chacune de ses pièces. C’est d’ailleurs le cas cible : à terme, tout passe par lui.</w:t>
      </w:r>
    </w:p>
    <w:p>
      <w:r>
        <w:pict>
          <v:rect style="width:0;height:1.5pt" o:hralign="center" o:hrstd="t" o:hr="t"/>
        </w:pict>
      </w:r>
    </w:p>
    <w:bookmarkEnd w:id="36"/>
    <w:bookmarkEnd w:id="37"/>
    <w:bookmarkStart w:id="41" w:name="X214a532742eeb025de307657c4ebca8b8f1da5d"/>
    <w:p>
      <w:pPr>
        <w:pStyle w:val="Heading2"/>
      </w:pPr>
      <w:r>
        <w:t xml:space="preserve">7. Faire agréer la commission par le vendeur</w:t>
      </w:r>
    </w:p>
    <w:p>
      <w:pPr>
        <w:pStyle w:val="FirstParagraph"/>
      </w:pPr>
      <w:r>
        <w:t xml:space="preserve">Indiquer une commission dans le système ne suffit pas :</w:t>
      </w:r>
      <w:r>
        <w:t xml:space="preserve"> </w:t>
      </w:r>
      <w:r>
        <w:rPr>
          <w:b/>
          <w:bCs/>
        </w:rPr>
        <w:t xml:space="preserve">chaque commission doit être explicitement agréée par le vendeur</w:t>
      </w:r>
      <w:r>
        <w:t xml:space="preserve">. C’est ce qui distingue une simple proposition d’un accord engageant.</w:t>
      </w:r>
    </w:p>
    <w:bookmarkStart w:id="38" w:name="workflow"/>
    <w:p>
      <w:pPr>
        <w:pStyle w:val="Heading3"/>
      </w:pPr>
      <w:r>
        <w:t xml:space="preserve">Workflow</w:t>
      </w:r>
    </w:p>
    <w:p>
      <w:pPr>
        <w:pStyle w:val="Compact"/>
        <w:numPr>
          <w:ilvl w:val="0"/>
          <w:numId w:val="1013"/>
        </w:numPr>
      </w:pPr>
      <w:r>
        <w:t xml:space="preserve">Lors de la visite, après avoir saisi la pièce,</w:t>
      </w:r>
      <w:r>
        <w:t xml:space="preserve"> </w:t>
      </w:r>
      <w:r>
        <w:rPr>
          <w:b/>
          <w:bCs/>
        </w:rPr>
        <w:t xml:space="preserve">montrer l’écran au vendeur</w:t>
      </w:r>
      <w:r>
        <w:t xml:space="preserve"> </w:t>
      </w:r>
      <w:r>
        <w:t xml:space="preserve">(ou imprimer une fiche récapitulative).</w:t>
      </w:r>
    </w:p>
    <w:p>
      <w:pPr>
        <w:pStyle w:val="Compact"/>
        <w:numPr>
          <w:ilvl w:val="0"/>
          <w:numId w:val="1013"/>
        </w:numPr>
      </w:pPr>
      <w:r>
        <w:t xml:space="preserve">Énoncer clairement :</w:t>
      </w:r>
      <w:r>
        <w:t xml:space="preserve"> </w:t>
      </w:r>
      <w:r>
        <w:t xml:space="preserve">“Pour cette pièce, vous nous reversez X FCFA de commission par vente.”</w:t>
      </w:r>
    </w:p>
    <w:p>
      <w:pPr>
        <w:pStyle w:val="Compact"/>
        <w:numPr>
          <w:ilvl w:val="0"/>
          <w:numId w:val="1013"/>
        </w:numPr>
      </w:pPr>
      <w:r>
        <w:t xml:space="preserve">Une fois l’accord verbal obtenu, depuis la page</w:t>
      </w:r>
      <w:r>
        <w:t xml:space="preserve"> </w:t>
      </w:r>
      <w:r>
        <w:rPr>
          <w:b/>
          <w:bCs/>
        </w:rPr>
        <w:t xml:space="preserve">Modifier la pièce</w:t>
      </w:r>
      <w:r>
        <w:t xml:space="preserve"> </w:t>
      </w:r>
      <w:r>
        <w:t xml:space="preserve">:</w:t>
      </w:r>
    </w:p>
    <w:p>
      <w:pPr>
        <w:pStyle w:val="Compact"/>
        <w:numPr>
          <w:ilvl w:val="1"/>
          <w:numId w:val="1014"/>
        </w:numPr>
      </w:pPr>
      <w:r>
        <w:t xml:space="preserve">Cliquer le bouton vert</w:t>
      </w:r>
      <w:r>
        <w:t xml:space="preserve"> </w:t>
      </w:r>
      <w:r>
        <w:rPr>
          <w:b/>
          <w:bCs/>
        </w:rPr>
        <w:t xml:space="preserve">“Marquer agréée”</w:t>
      </w:r>
      <w:r>
        <w:t xml:space="preserve">.</w:t>
      </w:r>
    </w:p>
    <w:p>
      <w:pPr>
        <w:pStyle w:val="Compact"/>
        <w:numPr>
          <w:ilvl w:val="1"/>
          <w:numId w:val="1014"/>
        </w:numPr>
      </w:pPr>
      <w:r>
        <w:t xml:space="preserve">Le badge passe de 🟠</w:t>
      </w:r>
      <w:r>
        <w:t xml:space="preserve"> </w:t>
      </w:r>
      <w:r>
        <w:rPr>
          <w:i/>
          <w:iCs/>
        </w:rPr>
        <w:t xml:space="preserve">À agréer</w:t>
      </w:r>
      <w:r>
        <w:t xml:space="preserve"> </w:t>
      </w:r>
      <w:r>
        <w:t xml:space="preserve">à 🟢</w:t>
      </w:r>
      <w:r>
        <w:t xml:space="preserve"> </w:t>
      </w:r>
      <w:r>
        <w:rPr>
          <w:i/>
          <w:iCs/>
        </w:rPr>
        <w:t xml:space="preserve">Agréée</w:t>
      </w:r>
      <w:r>
        <w:t xml:space="preserve">.</w:t>
      </w:r>
    </w:p>
    <w:bookmarkEnd w:id="38"/>
    <w:bookmarkStart w:id="39" w:name="visualiser-le-statut"/>
    <w:p>
      <w:pPr>
        <w:pStyle w:val="Heading3"/>
      </w:pPr>
      <w:r>
        <w:t xml:space="preserve">Visualiser le statut</w:t>
      </w:r>
    </w:p>
    <w:p>
      <w:pPr>
        <w:pStyle w:val="Compact"/>
        <w:numPr>
          <w:ilvl w:val="0"/>
          <w:numId w:val="1015"/>
        </w:numPr>
      </w:pPr>
      <w:r>
        <w:t xml:space="preserve">Sur la liste des pièces (</w:t>
      </w:r>
      <w:r>
        <w:rPr>
          <w:rStyle w:val="VerbatimChar"/>
        </w:rPr>
        <w:t xml:space="preserve">/liaison/parts</w:t>
      </w:r>
      <w:r>
        <w:t xml:space="preserve"> </w:t>
      </w:r>
      <w:r>
        <w:t xml:space="preserve">et détail vendeur), chaque ligne porte un badge :</w:t>
      </w:r>
    </w:p>
    <w:p>
      <w:pPr>
        <w:pStyle w:val="Compact"/>
        <w:numPr>
          <w:ilvl w:val="1"/>
          <w:numId w:val="1016"/>
        </w:numPr>
      </w:pPr>
      <w:r>
        <w:t xml:space="preserve">🟢</w:t>
      </w:r>
      <w:r>
        <w:t xml:space="preserve"> </w:t>
      </w:r>
      <w:r>
        <w:rPr>
          <w:b/>
          <w:bCs/>
        </w:rPr>
        <w:t xml:space="preserve">✓ Agréée</w:t>
      </w:r>
      <w:r>
        <w:t xml:space="preserve"> </w:t>
      </w:r>
      <w:r>
        <w:t xml:space="preserve">— commission validée par le vendeur, ligne sûre.</w:t>
      </w:r>
    </w:p>
    <w:p>
      <w:pPr>
        <w:pStyle w:val="Compact"/>
        <w:numPr>
          <w:ilvl w:val="1"/>
          <w:numId w:val="1016"/>
        </w:numPr>
      </w:pPr>
      <w:r>
        <w:t xml:space="preserve">🟠</w:t>
      </w:r>
      <w:r>
        <w:t xml:space="preserve"> </w:t>
      </w:r>
      <w:r>
        <w:rPr>
          <w:b/>
          <w:bCs/>
        </w:rPr>
        <w:t xml:space="preserve">⏳ À agréer</w:t>
      </w:r>
      <w:r>
        <w:t xml:space="preserve"> </w:t>
      </w:r>
      <w:r>
        <w:t xml:space="preserve">— proposée mais pas encore validée.</w:t>
      </w:r>
    </w:p>
    <w:p>
      <w:pPr>
        <w:pStyle w:val="Compact"/>
        <w:numPr>
          <w:ilvl w:val="0"/>
          <w:numId w:val="1015"/>
        </w:numPr>
      </w:pPr>
      <w:r>
        <w:t xml:space="preserve">Sur le tableau de bord Liaison, une tuile</w:t>
      </w:r>
      <w:r>
        <w:t xml:space="preserve"> </w:t>
      </w:r>
      <w:r>
        <w:rPr>
          <w:i/>
          <w:iCs/>
        </w:rPr>
        <w:t xml:space="preserve">“Commissions à agréer”</w:t>
      </w:r>
      <w:r>
        <w:t xml:space="preserve"> </w:t>
      </w:r>
      <w:r>
        <w:t xml:space="preserve">affiche le compteur global (et s’allume en orange dès qu’il y a une commission en attente).</w:t>
      </w:r>
    </w:p>
    <w:bookmarkEnd w:id="39"/>
    <w:bookmarkStart w:id="40" w:name="règle-automatique"/>
    <w:p>
      <w:pPr>
        <w:pStyle w:val="Heading3"/>
      </w:pPr>
      <w:r>
        <w:t xml:space="preserve">Règle automatique</w:t>
      </w:r>
    </w:p>
    <w:p>
      <w:pPr>
        <w:pStyle w:val="BlockText"/>
      </w:pPr>
      <w:r>
        <w:t xml:space="preserve">Si le</w:t>
      </w:r>
      <w:r>
        <w:t xml:space="preserve"> </w:t>
      </w:r>
      <w:r>
        <w:rPr>
          <w:b/>
          <w:bCs/>
        </w:rPr>
        <w:t xml:space="preserve">montant</w:t>
      </w:r>
      <w:r>
        <w:t xml:space="preserve"> </w:t>
      </w:r>
      <w:r>
        <w:t xml:space="preserve">d’une commission est modifié après agrément, le statut</w:t>
      </w:r>
      <w:r>
        <w:t xml:space="preserve"> </w:t>
      </w:r>
      <w:r>
        <w:rPr>
          <w:b/>
          <w:bCs/>
        </w:rPr>
        <w:t xml:space="preserve">revient automatiquement à</w:t>
      </w:r>
      <w:r>
        <w:rPr>
          <w:b/>
          <w:bCs/>
        </w:rPr>
        <w:t xml:space="preserve"> </w:t>
      </w:r>
      <w:r>
        <w:rPr>
          <w:b/>
          <w:bCs/>
        </w:rPr>
        <w:t xml:space="preserve">“À agréer”</w:t>
      </w:r>
      <w:r>
        <w:t xml:space="preserve">.</w:t>
      </w:r>
    </w:p>
    <w:p>
      <w:pPr>
        <w:pStyle w:val="FirstParagraph"/>
      </w:pPr>
      <w:r>
        <w:t xml:space="preserve">C’est volontaire : on ne peut pas conserver un accord vendeur sur une autre somme que celle qu’il a validée. Toute modification d’amount remet le compteur à zéro et impose une nouvelle validation orale.</w:t>
      </w:r>
    </w:p>
    <w:p>
      <w:r>
        <w:pict>
          <v:rect style="width:0;height:1.5pt" o:hralign="center" o:hrstd="t" o:hr="t"/>
        </w:pict>
      </w:r>
    </w:p>
    <w:bookmarkEnd w:id="40"/>
    <w:bookmarkEnd w:id="41"/>
    <w:bookmarkStart w:id="42" w:name="modifier-une-annonce-existante"/>
    <w:p>
      <w:pPr>
        <w:pStyle w:val="Heading2"/>
      </w:pPr>
      <w:r>
        <w:t xml:space="preserve">8. Modifier une annonce existante</w:t>
      </w:r>
    </w:p>
    <w:p>
      <w:pPr>
        <w:pStyle w:val="FirstParagraph"/>
      </w:pPr>
      <w:r>
        <w:t xml:space="preserve">Le Liaison peut modifier n’importe quelle pièce qu’il a saisie ou qui appartient à un vendeur qu’il gère.</w:t>
      </w:r>
    </w:p>
    <w:p>
      <w:pPr>
        <w:pStyle w:val="Compact"/>
        <w:numPr>
          <w:ilvl w:val="0"/>
          <w:numId w:val="1017"/>
        </w:numPr>
      </w:pPr>
      <w:r>
        <w:t xml:space="preserve">Aller sur</w:t>
      </w:r>
      <w:r>
        <w:t xml:space="preserve"> </w:t>
      </w:r>
      <w:r>
        <w:rPr>
          <w:rStyle w:val="VerbatimChar"/>
        </w:rPr>
        <w:t xml:space="preserve">/liaison/parts</w:t>
      </w:r>
      <w:r>
        <w:t xml:space="preserve"> </w:t>
      </w:r>
      <w:r>
        <w:t xml:space="preserve">ou sur la page du vendeur.</w:t>
      </w:r>
    </w:p>
    <w:p>
      <w:pPr>
        <w:pStyle w:val="Compact"/>
        <w:numPr>
          <w:ilvl w:val="0"/>
          <w:numId w:val="1017"/>
        </w:numPr>
      </w:pPr>
      <w:r>
        <w:t xml:space="preserve">Cliquer</w:t>
      </w:r>
      <w:r>
        <w:t xml:space="preserve"> </w:t>
      </w:r>
      <w:r>
        <w:rPr>
          <w:b/>
          <w:bCs/>
        </w:rPr>
        <w:t xml:space="preserve">Modifier</w:t>
      </w:r>
      <w:r>
        <w:t xml:space="preserve"> </w:t>
      </w:r>
      <w:r>
        <w:t xml:space="preserve">sur la ligne de la pièce.</w:t>
      </w:r>
    </w:p>
    <w:p>
      <w:pPr>
        <w:pStyle w:val="Compact"/>
        <w:numPr>
          <w:ilvl w:val="0"/>
          <w:numId w:val="1017"/>
        </w:numPr>
      </w:pPr>
      <w:r>
        <w:t xml:space="preserve">Ajuster les champs nécessaires (nom, prix, état, commission, stock…).</w:t>
      </w:r>
    </w:p>
    <w:p>
      <w:pPr>
        <w:pStyle w:val="Compact"/>
        <w:numPr>
          <w:ilvl w:val="0"/>
          <w:numId w:val="1017"/>
        </w:numPr>
      </w:pPr>
      <w:r>
        <w:t xml:space="preserve">Cliquer</w:t>
      </w:r>
      <w:r>
        <w:t xml:space="preserve"> </w:t>
      </w:r>
      <w:r>
        <w:rPr>
          <w:b/>
          <w:bCs/>
        </w:rPr>
        <w:t xml:space="preserve">Enregistrer</w:t>
      </w:r>
      <w:r>
        <w:t xml:space="preserve">.</w:t>
      </w:r>
    </w:p>
    <w:p>
      <w:pPr>
        <w:pStyle w:val="FirstParagraph"/>
      </w:pPr>
      <w:r>
        <w:rPr>
          <w:b/>
          <w:bCs/>
        </w:rPr>
        <w:t xml:space="preserve">À retenir :</w:t>
      </w:r>
    </w:p>
    <w:p>
      <w:pPr>
        <w:pStyle w:val="Compact"/>
        <w:numPr>
          <w:ilvl w:val="0"/>
          <w:numId w:val="1018"/>
        </w:numPr>
      </w:pPr>
      <w:r>
        <w:t xml:space="preserve">Modifier le</w:t>
      </w:r>
      <w:r>
        <w:t xml:space="preserve"> </w:t>
      </w:r>
      <w:r>
        <w:rPr>
          <w:b/>
          <w:bCs/>
        </w:rPr>
        <w:t xml:space="preserve">prix</w:t>
      </w:r>
      <w:r>
        <w:t xml:space="preserve"> </w:t>
      </w:r>
      <w:r>
        <w:t xml:space="preserve">ne change pas automatiquement la commission. Il faut renégocier si nécessaire.</w:t>
      </w:r>
    </w:p>
    <w:p>
      <w:pPr>
        <w:pStyle w:val="Compact"/>
        <w:numPr>
          <w:ilvl w:val="0"/>
          <w:numId w:val="1018"/>
        </w:numPr>
      </w:pPr>
      <w:r>
        <w:t xml:space="preserve">Modifier la</w:t>
      </w:r>
      <w:r>
        <w:t xml:space="preserve"> </w:t>
      </w:r>
      <w:r>
        <w:rPr>
          <w:b/>
          <w:bCs/>
        </w:rPr>
        <w:t xml:space="preserve">commission</w:t>
      </w:r>
      <w:r>
        <w:t xml:space="preserve"> </w:t>
      </w:r>
      <w:r>
        <w:t xml:space="preserve">(au montant près)</w:t>
      </w:r>
      <w:r>
        <w:t xml:space="preserve"> </w:t>
      </w:r>
      <w:r>
        <w:rPr>
          <w:b/>
          <w:bCs/>
        </w:rPr>
        <w:t xml:space="preserve">invalide l’agrément vendeur précédent</w:t>
      </w:r>
      <w:r>
        <w:t xml:space="preserve">. Il faut refaire l’étape</w:t>
      </w:r>
      <w:r>
        <w:t xml:space="preserve"> </w:t>
      </w:r>
      <w:r>
        <w:t xml:space="preserve">“Marquer agréée”</w:t>
      </w:r>
      <w:r>
        <w:t xml:space="preserve"> </w:t>
      </w:r>
      <w:r>
        <w:t xml:space="preserve">après accord oral.</w:t>
      </w:r>
    </w:p>
    <w:p>
      <w:pPr>
        <w:pStyle w:val="Compact"/>
        <w:numPr>
          <w:ilvl w:val="0"/>
          <w:numId w:val="1018"/>
        </w:numPr>
      </w:pPr>
      <w:r>
        <w:t xml:space="preserve">Modifier le stock (case</w:t>
      </w:r>
      <w:r>
        <w:t xml:space="preserve"> </w:t>
      </w:r>
      <w:r>
        <w:rPr>
          <w:b/>
          <w:bCs/>
        </w:rPr>
        <w:t xml:space="preserve">En stock</w:t>
      </w:r>
      <w:r>
        <w:t xml:space="preserve">) est immédiat et ne nécessite pas de re-validation.</w:t>
      </w:r>
    </w:p>
    <w:p>
      <w:r>
        <w:pict>
          <v:rect style="width:0;height:1.5pt" o:hralign="center" o:hrstd="t" o:hr="t"/>
        </w:pict>
      </w:r>
    </w:p>
    <w:bookmarkEnd w:id="42"/>
    <w:bookmarkStart w:id="43" w:name="coordination-des-commandes"/>
    <w:p>
      <w:pPr>
        <w:pStyle w:val="Heading2"/>
      </w:pPr>
      <w:r>
        <w:t xml:space="preserve">9. Coordination des commandes</w:t>
      </w:r>
    </w:p>
    <w:p>
      <w:pPr>
        <w:pStyle w:val="FirstParagraph"/>
      </w:pPr>
      <w:r>
        <w:t xml:space="preserve">Quand une commande arrive sur une pièce d’un vendeur que le Liaison gère, le flux est le suivant :</w:t>
      </w:r>
    </w:p>
    <w:p>
      <w:pPr>
        <w:pStyle w:val="Compact"/>
        <w:numPr>
          <w:ilvl w:val="0"/>
          <w:numId w:val="1019"/>
        </w:numPr>
      </w:pPr>
      <w:r>
        <w:rPr>
          <w:b/>
          <w:bCs/>
        </w:rPr>
        <w:t xml:space="preserve">Notification</w:t>
      </w:r>
      <w:r>
        <w:t xml:space="preserve"> </w:t>
      </w:r>
      <w:r>
        <w:t xml:space="preserve">— le système notifie le Liaison (et le vendeur s’il a un compte actif).</w:t>
      </w:r>
    </w:p>
    <w:p>
      <w:pPr>
        <w:pStyle w:val="Compact"/>
        <w:numPr>
          <w:ilvl w:val="0"/>
          <w:numId w:val="1019"/>
        </w:numPr>
      </w:pPr>
      <w:r>
        <w:rPr>
          <w:b/>
          <w:bCs/>
        </w:rPr>
        <w:t xml:space="preserve">Vérification stock</w:t>
      </w:r>
      <w:r>
        <w:t xml:space="preserve"> </w:t>
      </w:r>
      <w:r>
        <w:t xml:space="preserve">— le Liaison contacte le vendeur ou son employé pour confirmer que la pièce est bien disponible physiquement.</w:t>
      </w:r>
    </w:p>
    <w:p>
      <w:pPr>
        <w:pStyle w:val="Compact"/>
        <w:numPr>
          <w:ilvl w:val="0"/>
          <w:numId w:val="1019"/>
        </w:numPr>
      </w:pPr>
      <w:r>
        <w:rPr>
          <w:b/>
          <w:bCs/>
        </w:rPr>
        <w:t xml:space="preserve">Confirmation</w:t>
      </w:r>
      <w:r>
        <w:t xml:space="preserve"> </w:t>
      </w:r>
      <w:r>
        <w:t xml:space="preserve">— depuis l’interface vendeur (le Liaison se connecte avec le compte du vendeur s’il le gère), confirmer la commande pour qu’elle passe en VENDOR_CONFIRMED.</w:t>
      </w:r>
    </w:p>
    <w:p>
      <w:pPr>
        <w:pStyle w:val="Compact"/>
        <w:numPr>
          <w:ilvl w:val="0"/>
          <w:numId w:val="1019"/>
        </w:numPr>
      </w:pPr>
      <w:r>
        <w:rPr>
          <w:b/>
          <w:bCs/>
        </w:rPr>
        <w:t xml:space="preserve">Préparation et remise au livreur</w:t>
      </w:r>
      <w:r>
        <w:t xml:space="preserve"> </w:t>
      </w:r>
      <w:r>
        <w:t xml:space="preserve">— coordonner avec le vendeur et le livreur le retrait de la pièce.</w:t>
      </w:r>
    </w:p>
    <w:p>
      <w:pPr>
        <w:pStyle w:val="Compact"/>
        <w:numPr>
          <w:ilvl w:val="0"/>
          <w:numId w:val="1019"/>
        </w:numPr>
      </w:pPr>
      <w:r>
        <w:rPr>
          <w:b/>
          <w:bCs/>
        </w:rPr>
        <w:t xml:space="preserve">Suivi</w:t>
      </w:r>
      <w:r>
        <w:t xml:space="preserve"> </w:t>
      </w:r>
      <w:r>
        <w:t xml:space="preserve">— vérifier que la commande passe par les états DISPATCHED → IN_TRANSIT → DELIVERED → CONFIRMED.</w:t>
      </w:r>
    </w:p>
    <w:p>
      <w:pPr>
        <w:pStyle w:val="Compact"/>
        <w:numPr>
          <w:ilvl w:val="0"/>
          <w:numId w:val="1019"/>
        </w:numPr>
      </w:pPr>
      <w:r>
        <w:rPr>
          <w:b/>
          <w:bCs/>
        </w:rPr>
        <w:t xml:space="preserve">Paiement</w:t>
      </w:r>
      <w:r>
        <w:t xml:space="preserve"> </w:t>
      </w:r>
      <w:r>
        <w:t xml:space="preserve">— le vendeur est payé dès l’encaissement, commission déduite : à la commande si l’acheteur paie en ligne, à la remise s’il paie au livreur. Aucun fonds n’est bloqué, il n’y a pas de délai de reversement.</w:t>
      </w:r>
    </w:p>
    <w:p>
      <w:pPr>
        <w:pStyle w:val="BlockText"/>
      </w:pPr>
      <w:r>
        <w:rPr>
          <w:b/>
          <w:bCs/>
        </w:rPr>
        <w:t xml:space="preserve">Note technique</w:t>
      </w:r>
      <w:r>
        <w:t xml:space="preserve"> </w:t>
      </w:r>
      <w:r>
        <w:t xml:space="preserve">: la commission enregistrée au moment de la commande (</w:t>
      </w:r>
      <w:r>
        <w:rPr>
          <w:rStyle w:val="VerbatimChar"/>
        </w:rPr>
        <w:t xml:space="preserve">OrderItem.commissionAmount</w:t>
      </w:r>
      <w:r>
        <w:t xml:space="preserve">) est figée. Une modification ultérieure de la commission sur la fiche catalogue n’affecte pas les commandes déjà passées.</w:t>
      </w:r>
    </w:p>
    <w:p>
      <w:r>
        <w:pict>
          <v:rect style="width:0;height:1.5pt" o:hralign="center" o:hrstd="t" o:hr="t"/>
        </w:pict>
      </w:r>
    </w:p>
    <w:bookmarkEnd w:id="43"/>
    <w:bookmarkStart w:id="44" w:name="suivi-quotidien-du-tableau-de-bord"/>
    <w:p>
      <w:pPr>
        <w:pStyle w:val="Heading2"/>
      </w:pPr>
      <w:r>
        <w:t xml:space="preserve">10. Suivi quotidien du tableau de bord</w:t>
      </w:r>
    </w:p>
    <w:p>
      <w:pPr>
        <w:pStyle w:val="FirstParagraph"/>
      </w:pPr>
      <w:r>
        <w:t xml:space="preserve">Le tableau de bord Liaison (</w:t>
      </w:r>
      <w:r>
        <w:rPr>
          <w:rStyle w:val="VerbatimChar"/>
        </w:rPr>
        <w:t xml:space="preserve">/liaison</w:t>
      </w:r>
      <w:r>
        <w:t xml:space="preserve">) affiche 4 indicateurs clés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Indicateur</w:t>
            </w:r>
          </w:p>
        </w:tc>
        <w:tc>
          <w:tcPr/>
          <w:p>
            <w:pPr>
              <w:pStyle w:val="Compact"/>
            </w:pPr>
            <w:r>
              <w:t xml:space="preserve">Action attendue</w:t>
            </w:r>
          </w:p>
        </w:tc>
      </w:tr>
      <w:tr>
        <w:tc>
          <w:tcPr/>
          <w:p>
            <w:pPr>
              <w:pStyle w:val="Compact"/>
            </w:pPr>
            <w:r>
              <w:rPr>
                <w:b/>
                <w:bCs/>
              </w:rPr>
              <w:t xml:space="preserve">Vendeurs</w:t>
            </w:r>
            <w:r>
              <w:t xml:space="preserve"> </w:t>
            </w:r>
            <w:r>
              <w:t xml:space="preserve">(total)</w:t>
            </w:r>
          </w:p>
        </w:tc>
        <w:tc>
          <w:tcPr/>
          <w:p>
            <w:pPr>
              <w:pStyle w:val="Compact"/>
            </w:pPr>
            <w:r>
              <w:t xml:space="preserve">Voir la croissance du portefeuille</w:t>
            </w:r>
          </w:p>
        </w:tc>
      </w:tr>
      <w:tr>
        <w:tc>
          <w:tcPr/>
          <w:p>
            <w:pPr>
              <w:pStyle w:val="Compact"/>
            </w:pPr>
            <w:r>
              <w:rPr>
                <w:b/>
                <w:bCs/>
              </w:rPr>
              <w:t xml:space="preserve">Vendeurs en attente</w:t>
            </w:r>
          </w:p>
        </w:tc>
        <w:tc>
          <w:tcPr/>
          <w:p>
            <w:pPr>
              <w:pStyle w:val="Compact"/>
            </w:pPr>
            <w:r>
              <w:t xml:space="preserve">Faire signer le contrat d’adhésion (il active le vendeur) / relancer le KYC</w:t>
            </w:r>
          </w:p>
        </w:tc>
      </w:tr>
      <w:tr>
        <w:tc>
          <w:tcPr/>
          <w:p>
            <w:pPr>
              <w:pStyle w:val="Compact"/>
            </w:pPr>
            <w:r>
              <w:rPr>
                <w:b/>
                <w:bCs/>
              </w:rPr>
              <w:t xml:space="preserve">Pièces saisies</w:t>
            </w:r>
          </w:p>
        </w:tc>
        <w:tc>
          <w:tcPr/>
          <w:p>
            <w:pPr>
              <w:pStyle w:val="Compact"/>
            </w:pPr>
            <w:r>
              <w:t xml:space="preserve">Voir le rythme d’enrichissement du catalogue</w:t>
            </w:r>
          </w:p>
        </w:tc>
      </w:tr>
      <w:tr>
        <w:tc>
          <w:tcPr/>
          <w:p>
            <w:pPr>
              <w:pStyle w:val="Compact"/>
            </w:pPr>
            <w:r>
              <w:rPr>
                <w:b/>
                <w:bCs/>
              </w:rPr>
              <w:t xml:space="preserve">Commissions à agréer</w:t>
            </w:r>
          </w:p>
        </w:tc>
        <w:tc>
          <w:tcPr/>
          <w:p>
            <w:pPr>
              <w:pStyle w:val="Compact"/>
            </w:pPr>
            <w:r>
              <w:rPr>
                <w:b/>
                <w:bCs/>
              </w:rPr>
              <w:t xml:space="preserve">Prioritaire</w:t>
            </w:r>
            <w:r>
              <w:t xml:space="preserve"> </w:t>
            </w:r>
            <w:r>
              <w:t xml:space="preserve">— faire valider les commissions en attente lors de la prochaine visite</w:t>
            </w:r>
          </w:p>
        </w:tc>
      </w:tr>
    </w:tbl>
    <w:p>
      <w:pPr>
        <w:pStyle w:val="BodyText"/>
      </w:pPr>
      <w:r>
        <w:t xml:space="preserve">La tuile</w:t>
      </w:r>
      <w:r>
        <w:t xml:space="preserve"> </w:t>
      </w:r>
      <w:r>
        <w:rPr>
          <w:i/>
          <w:iCs/>
        </w:rPr>
        <w:t xml:space="preserve">“Commissions à agréer”</w:t>
      </w:r>
      <w:r>
        <w:t xml:space="preserve"> </w:t>
      </w:r>
      <w:r>
        <w:t xml:space="preserve">s’affiche en orange dès qu’au moins une pièce attend l’accord du vendeur.</w:t>
      </w:r>
      <w:r>
        <w:t xml:space="preserve"> </w:t>
      </w:r>
      <w:r>
        <w:rPr>
          <w:b/>
          <w:bCs/>
        </w:rPr>
        <w:t xml:space="preserve">Objectif : tendre vers 0 en permanence.</w:t>
      </w:r>
    </w:p>
    <w:p>
      <w:r>
        <w:pict>
          <v:rect style="width:0;height:1.5pt" o:hralign="center" o:hrstd="t" o:hr="t"/>
        </w:pict>
      </w:r>
    </w:p>
    <w:bookmarkEnd w:id="44"/>
    <w:bookmarkStart w:id="47" w:name="bonnes-pratiques-et-erreurs-à-éviter"/>
    <w:p>
      <w:pPr>
        <w:pStyle w:val="Heading2"/>
      </w:pPr>
      <w:r>
        <w:t xml:space="preserve">11. Bonnes pratiques et erreurs à éviter</w:t>
      </w:r>
    </w:p>
    <w:bookmarkStart w:id="45" w:name="à-faire-systématiquement"/>
    <w:p>
      <w:pPr>
        <w:pStyle w:val="Heading3"/>
      </w:pPr>
      <w:r>
        <w:t xml:space="preserve">À faire systématiquement</w:t>
      </w:r>
    </w:p>
    <w:p>
      <w:pPr>
        <w:pStyle w:val="Compact"/>
        <w:numPr>
          <w:ilvl w:val="0"/>
          <w:numId w:val="1020"/>
        </w:numPr>
      </w:pPr>
      <w:r>
        <w:rPr>
          <w:b/>
          <w:bCs/>
        </w:rPr>
        <w:t xml:space="preserve">Toujours prendre les coordonnées GPS sur place</w:t>
      </w:r>
      <w:r>
        <w:t xml:space="preserve"> </w:t>
      </w:r>
      <w:r>
        <w:t xml:space="preserve">— l’adresse postale seule ne suffit pas à Abidjan, et le livreur en aura besoin.</w:t>
      </w:r>
    </w:p>
    <w:p>
      <w:pPr>
        <w:pStyle w:val="Compact"/>
        <w:numPr>
          <w:ilvl w:val="0"/>
          <w:numId w:val="1020"/>
        </w:numPr>
      </w:pPr>
      <w:r>
        <w:rPr>
          <w:b/>
          <w:bCs/>
        </w:rPr>
        <w:t xml:space="preserve">Saisir au moins une photo claire de la pièce</w:t>
      </w:r>
      <w:r>
        <w:t xml:space="preserve"> </w:t>
      </w:r>
      <w:r>
        <w:t xml:space="preserve">à l’onboarding initial — une fiche sans photo se vend mal.</w:t>
      </w:r>
    </w:p>
    <w:p>
      <w:pPr>
        <w:pStyle w:val="Compact"/>
        <w:numPr>
          <w:ilvl w:val="0"/>
          <w:numId w:val="1020"/>
        </w:numPr>
      </w:pPr>
      <w:r>
        <w:rPr>
          <w:b/>
          <w:bCs/>
        </w:rPr>
        <w:t xml:space="preserve">Prendre tout le stock au premier passage</w:t>
      </w:r>
      <w:r>
        <w:t xml:space="preserve"> </w:t>
      </w:r>
      <w:r>
        <w:t xml:space="preserve">— nous sommes en phase de recrutement des vendeurs et de constitution du catalogue avant l’ouverture : ce qui n’est pas photographié ce jour-là n’existera pas au lancement. Si le magasin est trop grand pour une demi-journée, on repasse jusqu’à l’avoir fini plutôt que de s’arrêter à un échantillon.</w:t>
      </w:r>
    </w:p>
    <w:p>
      <w:pPr>
        <w:pStyle w:val="Compact"/>
        <w:numPr>
          <w:ilvl w:val="0"/>
          <w:numId w:val="1020"/>
        </w:numPr>
      </w:pPr>
      <w:r>
        <w:rPr>
          <w:b/>
          <w:bCs/>
        </w:rPr>
        <w:t xml:space="preserve">Faire agréer la commission le jour même</w:t>
      </w:r>
      <w:r>
        <w:t xml:space="preserve"> </w:t>
      </w:r>
      <w:r>
        <w:t xml:space="preserve">de la saisie, idéalement avant de quitter la boutique.</w:t>
      </w:r>
    </w:p>
    <w:p>
      <w:pPr>
        <w:pStyle w:val="Compact"/>
        <w:numPr>
          <w:ilvl w:val="0"/>
          <w:numId w:val="1020"/>
        </w:numPr>
      </w:pPr>
      <w:r>
        <w:rPr>
          <w:b/>
          <w:bCs/>
        </w:rPr>
        <w:t xml:space="preserve">Mettre à jour le statut</w:t>
      </w:r>
      <w:r>
        <w:rPr>
          <w:b/>
          <w:bCs/>
        </w:rPr>
        <w:t xml:space="preserve"> </w:t>
      </w:r>
      <w:r>
        <w:rPr>
          <w:b/>
          <w:bCs/>
        </w:rPr>
        <w:t xml:space="preserve">“En stock”</w:t>
      </w:r>
      <w:r>
        <w:t xml:space="preserve"> </w:t>
      </w:r>
      <w:r>
        <w:t xml:space="preserve">dès qu’une pièce part — vendre une pièce indisponible dégrade la confiance dans Pièces.</w:t>
      </w:r>
    </w:p>
    <w:p>
      <w:pPr>
        <w:pStyle w:val="Compact"/>
        <w:numPr>
          <w:ilvl w:val="0"/>
          <w:numId w:val="1020"/>
        </w:numPr>
      </w:pPr>
      <w:r>
        <w:rPr>
          <w:b/>
          <w:bCs/>
        </w:rPr>
        <w:t xml:space="preserve">Mettre à jour les zones de livraison</w:t>
      </w:r>
      <w:r>
        <w:t xml:space="preserve"> </w:t>
      </w:r>
      <w:r>
        <w:t xml:space="preserve">quand le vendeur étend son rayon.</w:t>
      </w:r>
    </w:p>
    <w:bookmarkEnd w:id="45"/>
    <w:bookmarkStart w:id="46" w:name="à-éviter"/>
    <w:p>
      <w:pPr>
        <w:pStyle w:val="Heading3"/>
      </w:pPr>
      <w:r>
        <w:t xml:space="preserve">À éviter</w:t>
      </w:r>
    </w:p>
    <w:p>
      <w:pPr>
        <w:pStyle w:val="Compact"/>
        <w:numPr>
          <w:ilvl w:val="0"/>
          <w:numId w:val="1021"/>
        </w:numPr>
      </w:pPr>
      <w:r>
        <w:t xml:space="preserve">❌ Saisir un montant de commission que le vendeur n’a pas énoncé lui-même —</w:t>
      </w:r>
      <w:r>
        <w:t xml:space="preserve"> </w:t>
      </w:r>
      <w:r>
        <w:rPr>
          <w:b/>
          <w:bCs/>
        </w:rPr>
        <w:t xml:space="preserve">il n’y a pas de plancher pour rattraper</w:t>
      </w:r>
      <w:r>
        <w:t xml:space="preserve"> </w:t>
      </w:r>
      <w:r>
        <w:t xml:space="preserve">: ce qui est saisi est ce qui sera prélevé, et l’agrément ne correspondra plus à ce que le vendeur croit avoir accepté.</w:t>
      </w:r>
    </w:p>
    <w:p>
      <w:pPr>
        <w:pStyle w:val="Compact"/>
        <w:numPr>
          <w:ilvl w:val="0"/>
          <w:numId w:val="1021"/>
        </w:numPr>
      </w:pPr>
      <w:r>
        <w:t xml:space="preserve">❌ Souffler un taux ou une fourchette au vendeur, même « pour l’aider à se décider » — voir section 6.</w:t>
      </w:r>
    </w:p>
    <w:p>
      <w:pPr>
        <w:pStyle w:val="Compact"/>
        <w:numPr>
          <w:ilvl w:val="0"/>
          <w:numId w:val="1021"/>
        </w:numPr>
      </w:pPr>
      <w:r>
        <w:t xml:space="preserve">❌ Modifier le prix d’une pièce sans en informer le vendeur — risque de litige.</w:t>
      </w:r>
    </w:p>
    <w:p>
      <w:pPr>
        <w:pStyle w:val="Compact"/>
        <w:numPr>
          <w:ilvl w:val="0"/>
          <w:numId w:val="1021"/>
        </w:numPr>
      </w:pPr>
      <w:r>
        <w:t xml:space="preserve">❌ Marquer une commission comme agréée sans avoir eu l’accord oral du vendeur — c’est une fausse déclaration.</w:t>
      </w:r>
    </w:p>
    <w:p>
      <w:pPr>
        <w:pStyle w:val="Compact"/>
        <w:numPr>
          <w:ilvl w:val="0"/>
          <w:numId w:val="1021"/>
        </w:numPr>
      </w:pPr>
      <w:r>
        <w:t xml:space="preserve">❌ Créer un doublon de vendeur (même numéro de téléphone) — le système refusera mais cela perd du temps.</w:t>
      </w:r>
    </w:p>
    <w:p>
      <w:pPr>
        <w:pStyle w:val="Compact"/>
        <w:numPr>
          <w:ilvl w:val="0"/>
          <w:numId w:val="1021"/>
        </w:numPr>
      </w:pPr>
      <w:r>
        <w:t xml:space="preserve">❌ Laisser des vendeurs en PENDING_ACTIVATION pendant des semaines — leurs pièces ne se vendent pas tant que le statut n’est pas ACTIVE.</w:t>
      </w:r>
    </w:p>
    <w:p>
      <w:r>
        <w:pict>
          <v:rect style="width:0;height:1.5pt" o:hralign="center" o:hrstd="t" o:hr="t"/>
        </w:pict>
      </w:r>
    </w:p>
    <w:bookmarkEnd w:id="46"/>
    <w:bookmarkEnd w:id="47"/>
    <w:bookmarkStart w:id="48" w:name="faq-liaison"/>
    <w:p>
      <w:pPr>
        <w:pStyle w:val="Heading2"/>
      </w:pPr>
      <w:r>
        <w:t xml:space="preserve">12. FAQ Liaison</w:t>
      </w:r>
    </w:p>
    <w:p>
      <w:pPr>
        <w:pStyle w:val="FirstParagraph"/>
      </w:pPr>
      <w:r>
        <w:rPr>
          <w:b/>
          <w:bCs/>
        </w:rPr>
        <w:t xml:space="preserve">Q. Un vendeur veut récupérer son propre compte. Comment faire ?</w:t>
      </w:r>
      <w:r>
        <w:t xml:space="preserve"> </w:t>
      </w:r>
      <w:r>
        <w:t xml:space="preserve">R. Demander à un administrateur Pièces de transférer la propriété du</w:t>
      </w:r>
      <w:r>
        <w:t xml:space="preserve"> </w:t>
      </w:r>
      <w:r>
        <w:rPr>
          <w:rStyle w:val="VerbatimChar"/>
        </w:rPr>
        <w:t xml:space="preserve">Vendor</w:t>
      </w:r>
      <w:r>
        <w:t xml:space="preserve"> </w:t>
      </w:r>
      <w:r>
        <w:t xml:space="preserve">à un</w:t>
      </w:r>
      <w:r>
        <w:t xml:space="preserve"> </w:t>
      </w:r>
      <w:r>
        <w:rPr>
          <w:rStyle w:val="VerbatimChar"/>
        </w:rPr>
        <w:t xml:space="preserve">User</w:t>
      </w:r>
      <w:r>
        <w:t xml:space="preserve"> </w:t>
      </w:r>
      <w:r>
        <w:t xml:space="preserve">du vendeur (création d’un compte avec son numéro de téléphone, attribution du rôle SELLER, liaison du</w:t>
      </w:r>
      <w:r>
        <w:t xml:space="preserve"> </w:t>
      </w:r>
      <w:r>
        <w:rPr>
          <w:rStyle w:val="VerbatimChar"/>
        </w:rPr>
        <w:t xml:space="preserve">Vendor.userId</w:t>
      </w:r>
      <w:r>
        <w:t xml:space="preserve">). Le</w:t>
      </w:r>
      <w:r>
        <w:t xml:space="preserve"> </w:t>
      </w:r>
      <w:r>
        <w:rPr>
          <w:rStyle w:val="VerbatimChar"/>
        </w:rPr>
        <w:t xml:space="preserve">managedByLiaisonId</w:t>
      </w:r>
      <w:r>
        <w:t xml:space="preserve"> </w:t>
      </w:r>
      <w:r>
        <w:t xml:space="preserve">reste rempli — le Liaison continue d’apparaître comme accompagnateur.</w:t>
      </w:r>
    </w:p>
    <w:p>
      <w:pPr>
        <w:pStyle w:val="BodyText"/>
      </w:pPr>
      <w:r>
        <w:rPr>
          <w:b/>
          <w:bCs/>
        </w:rPr>
        <w:t xml:space="preserve">Q. J’ai créé une pièce par erreur, comment la supprimer ?</w:t>
      </w:r>
      <w:r>
        <w:t xml:space="preserve"> </w:t>
      </w:r>
      <w:r>
        <w:t xml:space="preserve">R. Mettre le statut</w:t>
      </w:r>
      <w:r>
        <w:t xml:space="preserve"> </w:t>
      </w:r>
      <w:r>
        <w:rPr>
          <w:b/>
          <w:bCs/>
        </w:rPr>
        <w:t xml:space="preserve">ARCHIVED</w:t>
      </w:r>
      <w:r>
        <w:t xml:space="preserve"> </w:t>
      </w:r>
      <w:r>
        <w:t xml:space="preserve">via le bouton de modification (ou via l’admin Pièces). Les pièces archivées n’apparaissent plus dans la recherche publique mais restent dans l’historique.</w:t>
      </w:r>
    </w:p>
    <w:p>
      <w:pPr>
        <w:pStyle w:val="BodyText"/>
      </w:pPr>
      <w:r>
        <w:rPr>
          <w:b/>
          <w:bCs/>
        </w:rPr>
        <w:t xml:space="preserve">Q. Le vendeur veut changer sa commission après quelques semaines. Que faire ?</w:t>
      </w:r>
      <w:r>
        <w:t xml:space="preserve"> </w:t>
      </w:r>
      <w:r>
        <w:t xml:space="preserve">R. Modifier la commission sur chaque pièce concernée, puis re-marquer agréée après accord oral. Pour un changement global du vendeur, contacter l’admin Pièces (il peut faire un update en masse).</w:t>
      </w:r>
    </w:p>
    <w:p>
      <w:pPr>
        <w:pStyle w:val="BodyText"/>
      </w:pPr>
      <w:r>
        <w:rPr>
          <w:b/>
          <w:bCs/>
        </w:rPr>
        <w:t xml:space="preserve">Q. Le numéro de téléphone du vendeur change. Comment mettre à jour ?</w:t>
      </w:r>
      <w:r>
        <w:t xml:space="preserve"> </w:t>
      </w:r>
      <w:r>
        <w:t xml:space="preserve">R. Aller sur la fiche du vendeur → modifier le téléphone. Le système refusera si le nouveau numéro est déjà utilisé par un autre vendeur ou un autre utilisateur.</w:t>
      </w:r>
    </w:p>
    <w:p>
      <w:pPr>
        <w:pStyle w:val="BodyText"/>
      </w:pPr>
      <w:r>
        <w:rPr>
          <w:b/>
          <w:bCs/>
        </w:rPr>
        <w:t xml:space="preserve">Q. Je ne vois pas un vendeur que j’ai onboardé.</w:t>
      </w:r>
      <w:r>
        <w:t xml:space="preserve"> </w:t>
      </w:r>
      <w:r>
        <w:t xml:space="preserve">R. Vérifier que</w:t>
      </w:r>
      <w:r>
        <w:t xml:space="preserve"> </w:t>
      </w:r>
      <w:r>
        <w:rPr>
          <w:rStyle w:val="VerbatimChar"/>
        </w:rPr>
        <w:t xml:space="preserve">managedByLiaisonId</w:t>
      </w:r>
      <w:r>
        <w:t xml:space="preserve"> </w:t>
      </w:r>
      <w:r>
        <w:t xml:space="preserve">pointe bien sur votre compte. Si vous avez onboardé pour un autre Liaison ou un autre Liaison a repris le suivi, demander à l’admin de réassigner.</w:t>
      </w:r>
    </w:p>
    <w:p>
      <w:pPr>
        <w:pStyle w:val="BodyText"/>
      </w:pPr>
      <w:r>
        <w:rPr>
          <w:b/>
          <w:bCs/>
        </w:rPr>
        <w:t xml:space="preserve">Q. La page Modifier ne me laisse pas changer un champ.</w:t>
      </w:r>
      <w:r>
        <w:t xml:space="preserve"> </w:t>
      </w:r>
      <w:r>
        <w:t xml:space="preserve">R. Seul l’état (Neuf/Occasion/Ré-usiné), le prix, la commission, la garantie, la compatibilité et le stock sont modifiables après création. Pour changer le nom ou la catégorie de manière significative, archiver et recréer.</w:t>
      </w:r>
    </w:p>
    <w:p>
      <w:pPr>
        <w:pStyle w:val="BodyText"/>
      </w:pPr>
      <w:r>
        <w:rPr>
          <w:b/>
          <w:bCs/>
        </w:rPr>
        <w:t xml:space="preserve">Q. Comment savoir si une commande est passée sur une pièce de mon vendeur ?</w:t>
      </w:r>
      <w:r>
        <w:t xml:space="preserve"> </w:t>
      </w:r>
      <w:r>
        <w:t xml:space="preserve">R. Le tableau de bord Liaison n’expose pas encore les commandes ; passer par l’interface vendeur (se connecter avec le compte du vendeur si on le gère, ou demander au vendeur). Une intégration commandes dans l’espace Liaison est prévue.</w:t>
      </w:r>
    </w:p>
    <w:p>
      <w:r>
        <w:pict>
          <v:rect style="width:0;height:1.5pt" o:hralign="center" o:hrstd="t" o:hr="t"/>
        </w:pict>
      </w:r>
    </w:p>
    <w:bookmarkEnd w:id="48"/>
    <w:bookmarkStart w:id="49" w:name="annexe-référence-rapide-des-écrans"/>
    <w:p>
      <w:pPr>
        <w:pStyle w:val="Heading2"/>
      </w:pPr>
      <w:r>
        <w:t xml:space="preserve">Annexe — Référence rapide des écrans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Écran</w:t>
            </w:r>
          </w:p>
        </w:tc>
        <w:tc>
          <w:tcPr/>
          <w:p>
            <w:pPr>
              <w:pStyle w:val="Compact"/>
            </w:pPr>
            <w:r>
              <w:t xml:space="preserve">URL</w:t>
            </w:r>
          </w:p>
        </w:tc>
      </w:tr>
      <w:tr>
        <w:tc>
          <w:tcPr/>
          <w:p>
            <w:pPr>
              <w:pStyle w:val="Compact"/>
            </w:pPr>
            <w:r>
              <w:t xml:space="preserve">Tableau de bord Liaison</w:t>
            </w:r>
          </w:p>
        </w:tc>
        <w:tc>
          <w:tcPr/>
          <w:p>
            <w:pPr>
              <w:pStyle w:val="Compact"/>
            </w:pPr>
            <w:r>
              <w:rPr>
                <w:rStyle w:val="VerbatimChar"/>
              </w:rPr>
              <w:t xml:space="preserve">/liaison</w:t>
            </w:r>
          </w:p>
        </w:tc>
      </w:tr>
      <w:tr>
        <w:tc>
          <w:tcPr/>
          <w:p>
            <w:pPr>
              <w:pStyle w:val="Compact"/>
            </w:pPr>
            <w:r>
              <w:t xml:space="preserve">Liste de mes vendeurs</w:t>
            </w:r>
          </w:p>
        </w:tc>
        <w:tc>
          <w:tcPr/>
          <w:p>
            <w:pPr>
              <w:pStyle w:val="Compact"/>
            </w:pPr>
            <w:r>
              <w:rPr>
                <w:rStyle w:val="VerbatimChar"/>
              </w:rPr>
              <w:t xml:space="preserve">/liaison/vendors</w:t>
            </w:r>
          </w:p>
        </w:tc>
      </w:tr>
      <w:tr>
        <w:tc>
          <w:tcPr/>
          <w:p>
            <w:pPr>
              <w:pStyle w:val="Compact"/>
            </w:pPr>
            <w:r>
              <w:t xml:space="preserve">Onboarder un vendeur</w:t>
            </w:r>
          </w:p>
        </w:tc>
        <w:tc>
          <w:tcPr/>
          <w:p>
            <w:pPr>
              <w:pStyle w:val="Compact"/>
            </w:pPr>
            <w:r>
              <w:rPr>
                <w:rStyle w:val="VerbatimChar"/>
              </w:rPr>
              <w:t xml:space="preserve">/liaison/vendors/new</w:t>
            </w:r>
          </w:p>
        </w:tc>
      </w:tr>
      <w:tr>
        <w:tc>
          <w:tcPr/>
          <w:p>
            <w:pPr>
              <w:pStyle w:val="Compact"/>
            </w:pPr>
            <w:r>
              <w:t xml:space="preserve">Détail d’un vendeur</w:t>
            </w:r>
          </w:p>
        </w:tc>
        <w:tc>
          <w:tcPr/>
          <w:p>
            <w:pPr>
              <w:pStyle w:val="Compact"/>
            </w:pPr>
            <w:r>
              <w:rPr>
                <w:rStyle w:val="VerbatimChar"/>
              </w:rPr>
              <w:t xml:space="preserve">/liaison/vendors/[id]</w:t>
            </w:r>
          </w:p>
        </w:tc>
      </w:tr>
      <w:tr>
        <w:tc>
          <w:tcPr/>
          <w:p>
            <w:pPr>
              <w:pStyle w:val="Compact"/>
            </w:pPr>
            <w:r>
              <w:t xml:space="preserve">Ajouter une pièce</w:t>
            </w:r>
          </w:p>
        </w:tc>
        <w:tc>
          <w:tcPr/>
          <w:p>
            <w:pPr>
              <w:pStyle w:val="Compact"/>
            </w:pPr>
            <w:r>
              <w:rPr>
                <w:rStyle w:val="VerbatimChar"/>
              </w:rPr>
              <w:t xml:space="preserve">/liaison/vendors/[id]/parts/new</w:t>
            </w:r>
          </w:p>
        </w:tc>
      </w:tr>
      <w:tr>
        <w:tc>
          <w:tcPr/>
          <w:p>
            <w:pPr>
              <w:pStyle w:val="Compact"/>
            </w:pPr>
            <w:r>
              <w:t xml:space="preserve">Modifier une pièce</w:t>
            </w:r>
          </w:p>
        </w:tc>
        <w:tc>
          <w:tcPr/>
          <w:p>
            <w:pPr>
              <w:pStyle w:val="Compact"/>
            </w:pPr>
            <w:r>
              <w:rPr>
                <w:rStyle w:val="VerbatimChar"/>
              </w:rPr>
              <w:t xml:space="preserve">/liaison/vendors/[id]/parts/[partId]/edit</w:t>
            </w:r>
          </w:p>
        </w:tc>
      </w:tr>
      <w:tr>
        <w:tc>
          <w:tcPr/>
          <w:p>
            <w:pPr>
              <w:pStyle w:val="Compact"/>
            </w:pPr>
            <w:r>
              <w:t xml:space="preserve">Liste de toutes mes pièces saisies</w:t>
            </w:r>
          </w:p>
        </w:tc>
        <w:tc>
          <w:tcPr/>
          <w:p>
            <w:pPr>
              <w:pStyle w:val="Compact"/>
            </w:pPr>
            <w:r>
              <w:rPr>
                <w:rStyle w:val="VerbatimChar"/>
              </w:rPr>
              <w:t xml:space="preserve">/liaison/parts</w:t>
            </w:r>
          </w:p>
        </w:tc>
      </w:tr>
    </w:tbl>
    <w:p>
      <w:r>
        <w:pict>
          <v:rect style="width:0;height:1.5pt" o:hralign="center" o:hrstd="t" o:hr="t"/>
        </w:pict>
      </w:r>
    </w:p>
    <w:p>
      <w:pPr>
        <w:pStyle w:val="FirstParagraph"/>
      </w:pPr>
      <w:r>
        <w:rPr>
          <w:i/>
          <w:iCs/>
        </w:rPr>
        <w:t xml:space="preserve">Document interne Pièces — à conserver et à transmettre à tout nouveau Liaison rejoignant l’équipe.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guide-prospection-vendeurs-2026-08.md" TargetMode="External" /></Relationships>
</file>

<file path=word/_rels/footnotes.xml.rels><?xml version="1.0" encoding="UTF-8"?><Relationships xmlns="http://schemas.openxmlformats.org/package/2006/relationships"><Relationship Type="http://schemas.openxmlformats.org/officeDocument/2006/relationships/hyperlink" Id="rId22" Target="./guide-prospection-vendeurs-2026-08.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2026-09-18T20:27:01Z</dcterms:created>
  <dcterms:modified xsi:type="dcterms:W3CDTF">2026-09-18T20:27:01Z</dcterms:modified>
</cp:coreProperties>
</file>

<file path=docProps/custom.xml><?xml version="1.0" encoding="utf-8"?>
<Properties xmlns="http://schemas.openxmlformats.org/officeDocument/2006/custom-properties" xmlns:vt="http://schemas.openxmlformats.org/officeDocument/2006/docPropsVTypes"/>
</file>