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9">
        <w:r>
          <w:rPr>
            <w:rStyle w:val="VerbatimChar"/>
          </w:rPr>
          <w:t xml:space="preserve">CTO_BIBLE.md</w:t>
        </w:r>
      </w:hyperlink>
      <w:r>
        <w:t xml:space="preserve"> </w:t>
      </w:r>
      <w:r>
        <w:t xml:space="preserve">(ce que la machine sait faire) et</w:t>
      </w:r>
      <w:r>
        <w:t xml:space="preserve"> </w:t>
      </w:r>
      <w:hyperlink r:id="rId10">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11"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cantines.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11"/>
    <w:bookmarkStart w:id="15" w:name="X21bec87bd2844f45efe0912ccf77b41d35a9c3f"/>
    <w:p>
      <w:pPr>
        <w:pStyle w:val="Heading2"/>
      </w:pPr>
      <w:r>
        <w:t xml:space="preserve">2. Le marché — taille, structure, dynamique</w:t>
      </w:r>
    </w:p>
    <w:bookmarkStart w:id="12"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12"/>
    <w:bookmarkStart w:id="13" w:name="X551645ce3f15aca9f6abbbf2effbdf236f5375a"/>
    <w:p>
      <w:pPr>
        <w:pStyle w:val="Heading3"/>
      </w:pPr>
      <w:r>
        <w:t xml:space="preserve">2.2 Structure de l'offre — 5 catégories de vendeurs</w:t>
      </w:r>
    </w:p>
    <w:p>
      <w:pPr>
        <w:pStyle w:val="Compact"/>
        <w:numPr>
          <w:ilvl w:val="0"/>
          <w:numId w:val="1002"/>
        </w:numPr>
      </w:pPr>
      <w:r>
        <w:rPr>
          <w:b/>
          <w:bCs/>
        </w:rPr>
        <w:t xml:space="preserve">Cantines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13"/>
    <w:bookmarkStart w:id="14"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14"/>
    <w:bookmarkEnd w:id="15"/>
    <w:bookmarkStart w:id="20" w:name="Xd2d69ded894dd15c2902f042ac5ab0a89812123"/>
    <w:p>
      <w:pPr>
        <w:pStyle w:val="Heading2"/>
      </w:pPr>
      <w:r>
        <w:t xml:space="preserve">3. Concurrence — qui est là, qui ne l'est pas</w:t>
      </w:r>
    </w:p>
    <w:bookmarkStart w:id="16"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16"/>
    <w:bookmarkStart w:id="17"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17"/>
    <w:bookmarkStart w:id="18"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18"/>
    <w:bookmarkStart w:id="19"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19"/>
    <w:bookmarkEnd w:id="20"/>
    <w:bookmarkStart w:id="24" w:name="Xa51ae0ced374a627eb985a01fae5adb16623b5f"/>
    <w:p>
      <w:pPr>
        <w:pStyle w:val="Heading2"/>
      </w:pPr>
      <w:r>
        <w:t xml:space="preserve">4. Positionnement et proposition de valeur</w:t>
      </w:r>
    </w:p>
    <w:bookmarkStart w:id="21"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21"/>
    <w:bookmarkStart w:id="22"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22"/>
    <w:bookmarkStart w:id="23"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23"/>
    <w:bookmarkEnd w:id="24"/>
    <w:bookmarkStart w:id="30" w:name="X076f50ab137ddb315c545907b39c0180ecdc1ca"/>
    <w:p>
      <w:pPr>
        <w:pStyle w:val="Heading2"/>
      </w:pPr>
      <w:r>
        <w:t xml:space="preserve">5. La stratégie en 5 mouvements (24 mois)</w:t>
      </w:r>
    </w:p>
    <w:bookmarkStart w:id="25"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cantines majeures.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25"/>
    <w:bookmarkStart w:id="26"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26"/>
    <w:bookmarkStart w:id="27"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27"/>
    <w:bookmarkStart w:id="28"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28"/>
    <w:bookmarkStart w:id="29"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29"/>
    <w:bookmarkEnd w:id="30"/>
    <w:bookmarkStart w:id="34" w:name="Xa81a8ec7edad8896f41af6303d6148e9f2a6336"/>
    <w:p>
      <w:pPr>
        <w:pStyle w:val="Heading2"/>
      </w:pPr>
      <w:r>
        <w:t xml:space="preserve">6. Modèle économique — comment Pièces gagne de l'argent</w:t>
      </w:r>
    </w:p>
    <w:bookmarkStart w:id="31"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31"/>
    <w:bookmarkStart w:id="32"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32"/>
    <w:bookmarkStart w:id="33"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33"/>
    <w:bookmarkEnd w:id="34"/>
    <w:bookmarkStart w:id="38" w:name="X4a34cc10c32c7fcafed93dbeeab3db6c110b222"/>
    <w:p>
      <w:pPr>
        <w:pStyle w:val="Heading2"/>
      </w:pPr>
      <w:r>
        <w:t xml:space="preserve">7. GTM — go-to-market opérationnel</w:t>
      </w:r>
    </w:p>
    <w:bookmarkStart w:id="35"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cantines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35"/>
    <w:bookmarkStart w:id="36"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cantines.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cantine).</w:t>
      </w:r>
    </w:p>
    <w:bookmarkEnd w:id="36"/>
    <w:bookmarkStart w:id="37"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37"/>
    <w:bookmarkEnd w:id="38"/>
    <w:bookmarkStart w:id="42" w:name="X24bc5f9db31a5adbf29bd3cb129e6e5ccc50062"/>
    <w:p>
      <w:pPr>
        <w:pStyle w:val="Heading2"/>
      </w:pPr>
      <w:r>
        <w:t xml:space="preserve">8. Organisation cible — équipe à 12, 24 et 36 mois</w:t>
      </w:r>
    </w:p>
    <w:bookmarkStart w:id="39"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39"/>
    <w:bookmarkStart w:id="40"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40"/>
    <w:bookmarkStart w:id="41"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41"/>
    <w:bookmarkEnd w:id="42"/>
    <w:bookmarkStart w:id="46" w:name="X593eea8d4480f240afae1cc23ec216a87c8ebf9"/>
    <w:p>
      <w:pPr>
        <w:pStyle w:val="Heading2"/>
      </w:pPr>
      <w:r>
        <w:t xml:space="preserve">9. Financement — combien, quand, pour quoi</w:t>
      </w:r>
    </w:p>
    <w:bookmarkStart w:id="43"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43"/>
    <w:bookmarkStart w:id="44"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44"/>
    <w:bookmarkStart w:id="45"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45"/>
    <w:bookmarkEnd w:id="46"/>
    <w:bookmarkStart w:id="47"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47"/>
    <w:bookmarkStart w:id="51" w:name="Xfc9c688d1163d4bf09bdf4f87dd9b44c45bcf94"/>
    <w:p>
      <w:pPr>
        <w:pStyle w:val="Heading2"/>
      </w:pPr>
      <w:r>
        <w:t xml:space="preserve">11. KPIs — le dashboard CEO</w:t>
      </w:r>
    </w:p>
    <w:bookmarkStart w:id="48"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48"/>
    <w:bookmarkStart w:id="49"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49"/>
    <w:bookmarkStart w:id="50"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50"/>
    <w:bookmarkEnd w:id="51"/>
    <w:bookmarkStart w:id="55" w:name="Xb4676d605a51ba097b847dca5484a484cdbadb9"/>
    <w:p>
      <w:pPr>
        <w:pStyle w:val="Heading2"/>
      </w:pPr>
      <w:r>
        <w:t xml:space="preserve">12. Gouvernance — comment décider</w:t>
      </w:r>
    </w:p>
    <w:bookmarkStart w:id="52"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52"/>
    <w:bookmarkStart w:id="53"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53"/>
    <w:bookmarkStart w:id="54"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54"/>
    <w:bookmarkEnd w:id="55"/>
    <w:bookmarkStart w:id="60" w:name="X37e16ef4ff2676dddc4cdd6b3f400ef781962dc"/>
    <w:p>
      <w:pPr>
        <w:pStyle w:val="Heading2"/>
      </w:pPr>
      <w:r>
        <w:t xml:space="preserve">13. Marque, communication, image publique</w:t>
      </w:r>
    </w:p>
    <w:bookmarkStart w:id="56"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56"/>
    <w:bookmarkStart w:id="57"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57"/>
    <w:bookmarkStart w:id="58"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58"/>
    <w:bookmarkStart w:id="59"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59"/>
    <w:bookmarkEnd w:id="60"/>
    <w:bookmarkStart w:id="64" w:name="X4a40e63ceaae4c0919c2fc20b00892e906041f7"/>
    <w:p>
      <w:pPr>
        <w:pStyle w:val="Heading2"/>
      </w:pPr>
      <w:r>
        <w:t xml:space="preserve">14. Conformité et risques légaux</w:t>
      </w:r>
    </w:p>
    <w:bookmarkStart w:id="61"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61"/>
    <w:bookmarkStart w:id="62"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62"/>
    <w:bookmarkStart w:id="63"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63"/>
    <w:bookmarkEnd w:id="64"/>
    <w:bookmarkStart w:id="69" w:name="X5ff9242d6781c90c8e6c52f4743fb3e410053ed"/>
    <w:p>
      <w:pPr>
        <w:pStyle w:val="Heading2"/>
      </w:pPr>
      <w:r>
        <w:t xml:space="preserve">15. Roadmap produit — vue CEO (détails CTO Bible)</w:t>
      </w:r>
    </w:p>
    <w:bookmarkStart w:id="65"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65"/>
    <w:bookmarkStart w:id="66"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66"/>
    <w:bookmarkStart w:id="67"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67"/>
    <w:bookmarkStart w:id="68"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68"/>
    <w:bookmarkEnd w:id="69"/>
    <w:bookmarkStart w:id="70"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70"/>
    <w:bookmarkStart w:id="71"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71"/>
    <w:bookmarkStart w:id="72"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dans le plan d'affaires (</w:t>
      </w:r>
      <w:r>
        <w:rPr>
          <w:rStyle w:val="VerbatimChar"/>
        </w:rPr>
        <w:t xml:space="preserve">plan-affaires-pieces-2026-06</w:t>
      </w:r>
      <w:r>
        <w:t xml:space="preserve">), et dans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brochure-vtc-grand-compte-2026-06-03</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offre-vtc-6000-vehicules-2026-06-03</w:t>
      </w:r>
      <w:r>
        <w:t xml:space="preserve">,</w:t>
      </w:r>
      <w:r>
        <w:t xml:space="preserve"> </w:t>
      </w:r>
      <w:r>
        <w:rPr>
          <w:rStyle w:val="VerbatimChar"/>
        </w:rPr>
        <w:t xml:space="preserve">offre-btp-800-vehicules-2026-05</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_rels/footnotes.xml.rels><?xml version="1.0" encoding="UTF-8"?><Relationships xmlns="http://schemas.openxmlformats.org/package/2006/relationships"><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2026-06-07T06:02:02Z</dcterms:created>
  <dcterms:modified xsi:type="dcterms:W3CDTF">2026-06-07T06:02:02Z</dcterms:modified>
</cp:coreProperties>
</file>

<file path=docProps/custom.xml><?xml version="1.0" encoding="utf-8"?>
<Properties xmlns="http://schemas.openxmlformats.org/officeDocument/2006/custom-properties" xmlns:vt="http://schemas.openxmlformats.org/officeDocument/2006/docPropsVTypes"/>
</file>