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99C19" w14:textId="77777777" w:rsidR="00707352" w:rsidRPr="005F14B8" w:rsidRDefault="00707352" w:rsidP="00707352">
      <w:pPr>
        <w:jc w:val="center"/>
        <w:rPr>
          <w:rFonts w:ascii="Times New Roman" w:hAnsi="Times New Roman" w:cs="Times New Roman"/>
          <w:sz w:val="28"/>
          <w:szCs w:val="28"/>
        </w:rPr>
      </w:pPr>
      <w:r w:rsidRPr="005F14B8">
        <w:rPr>
          <w:rFonts w:ascii="Times New Roman" w:hAnsi="Times New Roman" w:cs="Times New Roman"/>
          <w:b/>
          <w:sz w:val="28"/>
          <w:szCs w:val="28"/>
        </w:rPr>
        <w:t>HEALTHCONNECT CLINIC</w:t>
      </w:r>
      <w:r w:rsidRPr="005F14B8">
        <w:rPr>
          <w:rFonts w:ascii="Times New Roman" w:hAnsi="Times New Roman" w:cs="Times New Roman"/>
          <w:b/>
          <w:sz w:val="28"/>
          <w:szCs w:val="28"/>
        </w:rPr>
        <w:br/>
        <w:t>WEEK 7 TRACK-SPECIFIC RESPONSE</w:t>
      </w:r>
    </w:p>
    <w:p w14:paraId="31962B4C" w14:textId="77777777" w:rsidR="00707352" w:rsidRPr="005F14B8" w:rsidRDefault="00707352" w:rsidP="00707352">
      <w:pPr>
        <w:jc w:val="center"/>
        <w:rPr>
          <w:rFonts w:ascii="Times New Roman" w:hAnsi="Times New Roman" w:cs="Times New Roman"/>
          <w:sz w:val="28"/>
          <w:szCs w:val="28"/>
        </w:rPr>
      </w:pPr>
      <w:r w:rsidRPr="005F14B8">
        <w:rPr>
          <w:rFonts w:ascii="Times New Roman" w:hAnsi="Times New Roman" w:cs="Times New Roman"/>
          <w:i/>
          <w:sz w:val="28"/>
          <w:szCs w:val="28"/>
        </w:rPr>
        <w:t>Data Analytics Track | Analytical Testing, KPI Validation &amp; Dashboard Refinement</w:t>
      </w:r>
    </w:p>
    <w:p w14:paraId="6907CFA2" w14:textId="4C304578" w:rsidR="00707352" w:rsidRPr="005F14B8" w:rsidRDefault="00707352" w:rsidP="00707352">
      <w:pPr>
        <w:jc w:val="center"/>
        <w:rPr>
          <w:rFonts w:ascii="Times New Roman" w:hAnsi="Times New Roman" w:cs="Times New Roman"/>
          <w:sz w:val="28"/>
          <w:szCs w:val="28"/>
        </w:rPr>
      </w:pPr>
      <w:r w:rsidRPr="005F14B8">
        <w:rPr>
          <w:rFonts w:ascii="Times New Roman" w:hAnsi="Times New Roman" w:cs="Times New Roman"/>
          <w:sz w:val="28"/>
          <w:szCs w:val="28"/>
        </w:rPr>
        <w:t>Prepared by: Dawodu Fehintoluwa Bukola</w:t>
      </w:r>
    </w:p>
    <w:p w14:paraId="647276F7" w14:textId="77777777" w:rsidR="00707352" w:rsidRPr="005F14B8" w:rsidRDefault="00707352" w:rsidP="00707352">
      <w:pPr>
        <w:rPr>
          <w:rFonts w:ascii="Times New Roman" w:hAnsi="Times New Roman" w:cs="Times New Roman"/>
          <w:sz w:val="24"/>
          <w:szCs w:val="24"/>
        </w:rPr>
      </w:pPr>
    </w:p>
    <w:p w14:paraId="4E88C500" w14:textId="4878E077" w:rsidR="00707352" w:rsidRPr="005F14B8" w:rsidRDefault="00707352" w:rsidP="00707352">
      <w:pPr>
        <w:rPr>
          <w:rFonts w:ascii="Times New Roman" w:hAnsi="Times New Roman" w:cs="Times New Roman"/>
          <w:b/>
          <w:bCs/>
          <w:sz w:val="24"/>
          <w:szCs w:val="24"/>
        </w:rPr>
      </w:pPr>
      <w:r w:rsidRPr="005F14B8">
        <w:rPr>
          <w:rFonts w:ascii="Times New Roman" w:hAnsi="Times New Roman" w:cs="Times New Roman"/>
          <w:b/>
          <w:bCs/>
          <w:sz w:val="24"/>
          <w:szCs w:val="24"/>
        </w:rPr>
        <w:t xml:space="preserve">Purpose </w:t>
      </w:r>
      <w:r w:rsidR="005F14B8">
        <w:rPr>
          <w:rFonts w:ascii="Times New Roman" w:hAnsi="Times New Roman" w:cs="Times New Roman"/>
          <w:b/>
          <w:bCs/>
          <w:sz w:val="24"/>
          <w:szCs w:val="24"/>
        </w:rPr>
        <w:t>o</w:t>
      </w:r>
      <w:r w:rsidR="005F14B8" w:rsidRPr="005F14B8">
        <w:rPr>
          <w:rFonts w:ascii="Times New Roman" w:hAnsi="Times New Roman" w:cs="Times New Roman"/>
          <w:b/>
          <w:bCs/>
          <w:sz w:val="24"/>
          <w:szCs w:val="24"/>
        </w:rPr>
        <w:t xml:space="preserve">f Week 7 </w:t>
      </w:r>
      <w:r w:rsidRPr="005F14B8">
        <w:rPr>
          <w:rFonts w:ascii="Times New Roman" w:hAnsi="Times New Roman" w:cs="Times New Roman"/>
          <w:b/>
          <w:bCs/>
          <w:sz w:val="24"/>
          <w:szCs w:val="24"/>
        </w:rPr>
        <w:t>Response</w:t>
      </w:r>
    </w:p>
    <w:p w14:paraId="0E622BFF" w14:textId="77D1FFFF"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Week 7 focuses on testing and validating the analytical outputs developed in Week 6 rather than repeating the earlier analysis. The response documents the findings tested, cross-tool validation, issues identified, dashboard refinement and the approach for further testing.</w:t>
      </w:r>
    </w:p>
    <w:p w14:paraId="0597A705" w14:textId="16B44546"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 xml:space="preserve">Review </w:t>
      </w:r>
      <w:r w:rsidR="005F14B8" w:rsidRPr="005F14B8">
        <w:rPr>
          <w:rFonts w:ascii="Times New Roman" w:hAnsi="Times New Roman" w:cs="Times New Roman"/>
          <w:b/>
          <w:bCs/>
          <w:sz w:val="24"/>
          <w:szCs w:val="24"/>
        </w:rPr>
        <w:t xml:space="preserve">of Week </w:t>
      </w:r>
      <w:r w:rsidR="00900A11">
        <w:rPr>
          <w:rFonts w:ascii="Times New Roman" w:hAnsi="Times New Roman" w:cs="Times New Roman"/>
          <w:b/>
          <w:bCs/>
          <w:sz w:val="24"/>
          <w:szCs w:val="24"/>
        </w:rPr>
        <w:t>6</w:t>
      </w:r>
      <w:r w:rsidR="005F14B8" w:rsidRPr="005F14B8">
        <w:rPr>
          <w:rFonts w:ascii="Times New Roman" w:hAnsi="Times New Roman" w:cs="Times New Roman"/>
          <w:b/>
          <w:bCs/>
          <w:sz w:val="24"/>
          <w:szCs w:val="24"/>
        </w:rPr>
        <w:t xml:space="preserve"> Analytical Outputs</w:t>
      </w:r>
    </w:p>
    <w:p w14:paraId="1A3A79B6" w14:textId="5C0943EF"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Week 6 analysis showed that attendance rate declined as booking lead time increased. Reminder status did not show a significant overall difference in attendance and no-show rates. Appointments that received reminders had similar attendance and no-show rates, while appointments without reminders had a higher no-show rate than attendance rate.</w:t>
      </w:r>
      <w:r w:rsidR="00332761">
        <w:rPr>
          <w:rFonts w:ascii="Times New Roman" w:hAnsi="Times New Roman" w:cs="Times New Roman"/>
          <w:sz w:val="24"/>
          <w:szCs w:val="24"/>
        </w:rPr>
        <w:t xml:space="preserve"> Also, those with previous no-show history were more likely to miss their appointment.</w:t>
      </w:r>
    </w:p>
    <w:p w14:paraId="505BEF6B"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Retain the finding as an observed pattern and avoid interpreting it as causation.</w:t>
      </w:r>
    </w:p>
    <w:p w14:paraId="5CC23F72" w14:textId="3F11C260"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 xml:space="preserve">Most </w:t>
      </w:r>
      <w:r w:rsidR="005F14B8" w:rsidRPr="005F14B8">
        <w:rPr>
          <w:rFonts w:ascii="Times New Roman" w:hAnsi="Times New Roman" w:cs="Times New Roman"/>
          <w:b/>
          <w:bCs/>
          <w:sz w:val="24"/>
          <w:szCs w:val="24"/>
        </w:rPr>
        <w:t>Important Analytical Output Requiring Testing</w:t>
      </w:r>
    </w:p>
    <w:p w14:paraId="6B84273C" w14:textId="022190F2"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The two main outputs requiring further testing are booking lead time and previous no-show history. Testing will examine their association with no-show outcomes and whether reminder status, reminder channel, appointment type and distance from the hospital affect the observed patterns.</w:t>
      </w:r>
    </w:p>
    <w:p w14:paraId="47E22BFF"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Prioritise the main Week 6 findings, then test relevant co-factors and segments.</w:t>
      </w:r>
    </w:p>
    <w:p w14:paraId="4E56DCB0" w14:textId="0337A1AD"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KPI Validation</w:t>
      </w:r>
    </w:p>
    <w:p w14:paraId="12C3A38E"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Week 5 and Week 6 KPI values were consistent between Power BI and Excel. A SQL cross-check returned 4,850 records, with an attendance rate of 46.47% and no-show rate of 48.23%, compared with the Power BI/Excel results. This discrepancy should be investigated rather than automatically attributed to missing values. The SQL filters, denominator and missing-value treatment should be checked so all tools use the same analysis population.</w:t>
      </w:r>
    </w:p>
    <w:p w14:paraId="76662A1E"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Reconcile the analysis population and filtering rules across Power BI, Excel and SQL before declaring full cross-tool validation.</w:t>
      </w:r>
    </w:p>
    <w:p w14:paraId="3AAAD8BB" w14:textId="77777777" w:rsidR="005F14B8" w:rsidRDefault="005F14B8">
      <w:pPr>
        <w:rPr>
          <w:rFonts w:ascii="Times New Roman" w:hAnsi="Times New Roman" w:cs="Times New Roman"/>
          <w:b/>
          <w:bCs/>
          <w:sz w:val="24"/>
          <w:szCs w:val="24"/>
        </w:rPr>
      </w:pPr>
      <w:r>
        <w:rPr>
          <w:rFonts w:ascii="Times New Roman" w:hAnsi="Times New Roman" w:cs="Times New Roman"/>
          <w:b/>
          <w:bCs/>
          <w:sz w:val="24"/>
          <w:szCs w:val="24"/>
        </w:rPr>
        <w:br w:type="page"/>
      </w:r>
    </w:p>
    <w:p w14:paraId="6F5B0B0B" w14:textId="6C9F69CD"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lastRenderedPageBreak/>
        <w:t>Dashboard Validation</w:t>
      </w:r>
    </w:p>
    <w:p w14:paraId="5640F66E"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The dashboard attendance rate, no-show rate and cancellation rate were independently checked using Excel and the values agreed with the dashboard calculations.</w:t>
      </w:r>
    </w:p>
    <w:p w14:paraId="153AB18E"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Use independent calculations from the underlying records as validation evidence.</w:t>
      </w:r>
    </w:p>
    <w:p w14:paraId="56ED8CD9" w14:textId="152B14E5"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 xml:space="preserve">Dashboard Filter </w:t>
      </w:r>
      <w:r w:rsidR="005F14B8" w:rsidRPr="005F14B8">
        <w:rPr>
          <w:rFonts w:ascii="Times New Roman" w:hAnsi="Times New Roman" w:cs="Times New Roman"/>
          <w:b/>
          <w:bCs/>
          <w:sz w:val="24"/>
          <w:szCs w:val="24"/>
        </w:rPr>
        <w:t>T</w:t>
      </w:r>
      <w:r w:rsidRPr="005F14B8">
        <w:rPr>
          <w:rFonts w:ascii="Times New Roman" w:hAnsi="Times New Roman" w:cs="Times New Roman"/>
          <w:b/>
          <w:bCs/>
          <w:sz w:val="24"/>
          <w:szCs w:val="24"/>
        </w:rPr>
        <w:t>esting</w:t>
      </w:r>
    </w:p>
    <w:p w14:paraId="07D08086" w14:textId="2014BEEF"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Relevant dashboard filters were tested and the resulting values aligned with the corresponding SQL and Excel checks.</w:t>
      </w:r>
    </w:p>
    <w:p w14:paraId="64DF56FD"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Document the filter tested, expected value, actual value and pass/fail status.</w:t>
      </w:r>
    </w:p>
    <w:p w14:paraId="2D52EAAF" w14:textId="69513EFD"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 xml:space="preserve">Unexpected or </w:t>
      </w:r>
      <w:r w:rsidR="005F14B8" w:rsidRPr="005F14B8">
        <w:rPr>
          <w:rFonts w:ascii="Times New Roman" w:hAnsi="Times New Roman" w:cs="Times New Roman"/>
          <w:b/>
          <w:bCs/>
          <w:sz w:val="24"/>
          <w:szCs w:val="24"/>
        </w:rPr>
        <w:t>I</w:t>
      </w:r>
      <w:r w:rsidRPr="005F14B8">
        <w:rPr>
          <w:rFonts w:ascii="Times New Roman" w:hAnsi="Times New Roman" w:cs="Times New Roman"/>
          <w:b/>
          <w:bCs/>
          <w:sz w:val="24"/>
          <w:szCs w:val="24"/>
        </w:rPr>
        <w:t xml:space="preserve">nconsistent </w:t>
      </w:r>
      <w:r w:rsidR="005F14B8" w:rsidRPr="005F14B8">
        <w:rPr>
          <w:rFonts w:ascii="Times New Roman" w:hAnsi="Times New Roman" w:cs="Times New Roman"/>
          <w:b/>
          <w:bCs/>
          <w:sz w:val="24"/>
          <w:szCs w:val="24"/>
        </w:rPr>
        <w:t>R</w:t>
      </w:r>
      <w:r w:rsidRPr="005F14B8">
        <w:rPr>
          <w:rFonts w:ascii="Times New Roman" w:hAnsi="Times New Roman" w:cs="Times New Roman"/>
          <w:b/>
          <w:bCs/>
          <w:sz w:val="24"/>
          <w:szCs w:val="24"/>
        </w:rPr>
        <w:t>esult</w:t>
      </w:r>
    </w:p>
    <w:p w14:paraId="2676BE13" w14:textId="35313D71"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No unexpected analytical pattern was identified in the main findings. However, the difference between SQL and Power BI/Excel KPI results remains a validation issue that requires reconciliation.</w:t>
      </w:r>
      <w:r w:rsidR="00332761">
        <w:rPr>
          <w:rFonts w:ascii="Times New Roman" w:hAnsi="Times New Roman" w:cs="Times New Roman"/>
          <w:sz w:val="24"/>
          <w:szCs w:val="24"/>
        </w:rPr>
        <w:t xml:space="preserve"> Though their patterns were the same</w:t>
      </w:r>
    </w:p>
    <w:p w14:paraId="3466ACFB" w14:textId="62F41F64" w:rsidR="00707352" w:rsidRPr="005F14B8" w:rsidRDefault="00707352" w:rsidP="00707352">
      <w:pPr>
        <w:rPr>
          <w:rFonts w:ascii="Times New Roman" w:hAnsi="Times New Roman" w:cs="Times New Roman"/>
          <w:b/>
          <w:bCs/>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Treat the numerical discrepancy as an issue to investigate, not as evidence that all tools are fully consistent.</w:t>
      </w:r>
    </w:p>
    <w:p w14:paraId="1C5EAE46" w14:textId="0E96EC31"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 xml:space="preserve">Validation </w:t>
      </w:r>
      <w:r w:rsidR="005F14B8" w:rsidRPr="005F14B8">
        <w:rPr>
          <w:rFonts w:ascii="Times New Roman" w:hAnsi="Times New Roman" w:cs="Times New Roman"/>
          <w:b/>
          <w:bCs/>
          <w:sz w:val="24"/>
          <w:szCs w:val="24"/>
        </w:rPr>
        <w:t>of Important Findings</w:t>
      </w:r>
    </w:p>
    <w:p w14:paraId="23C85531" w14:textId="2023E6EC"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Booking lead time and previous no-show history will be checked against the underlying records using grouped counts and rates. Reminder status, reminder channel, appointment type and distance will also be examined as potential co-factors.</w:t>
      </w:r>
    </w:p>
    <w:p w14:paraId="5778FC03" w14:textId="28D58090"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Compare dashboard patterns with direct grouped calculations and include appointment counts.</w:t>
      </w:r>
    </w:p>
    <w:p w14:paraId="21B1DCB2" w14:textId="2BCB8F73"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 xml:space="preserve">Segment </w:t>
      </w:r>
      <w:r w:rsidR="005F14B8" w:rsidRPr="005F14B8">
        <w:rPr>
          <w:rFonts w:ascii="Times New Roman" w:hAnsi="Times New Roman" w:cs="Times New Roman"/>
          <w:b/>
          <w:bCs/>
          <w:sz w:val="24"/>
          <w:szCs w:val="24"/>
        </w:rPr>
        <w:t>T</w:t>
      </w:r>
      <w:r w:rsidRPr="005F14B8">
        <w:rPr>
          <w:rFonts w:ascii="Times New Roman" w:hAnsi="Times New Roman" w:cs="Times New Roman"/>
          <w:b/>
          <w:bCs/>
          <w:sz w:val="24"/>
          <w:szCs w:val="24"/>
        </w:rPr>
        <w:t>esting</w:t>
      </w:r>
    </w:p>
    <w:p w14:paraId="2F7A9034"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Testing will focus on appointment type, reminder status/channel, previous no-show history and distance groups to determine whether the main patterns remain consistent across segments.</w:t>
      </w:r>
    </w:p>
    <w:p w14:paraId="0BFAE958"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Use cross-tabulations or Power BI matrix/column visuals and interpret small groups cautiously.</w:t>
      </w:r>
    </w:p>
    <w:p w14:paraId="4A1F57DD" w14:textId="30ABEEC4" w:rsidR="00707352" w:rsidRPr="005F14B8" w:rsidRDefault="00707352" w:rsidP="005F14B8">
      <w:pPr>
        <w:pStyle w:val="ListParagraph"/>
        <w:numPr>
          <w:ilvl w:val="0"/>
          <w:numId w:val="3"/>
        </w:numPr>
        <w:rPr>
          <w:rFonts w:ascii="Times New Roman" w:hAnsi="Times New Roman" w:cs="Times New Roman"/>
          <w:b/>
          <w:bCs/>
          <w:sz w:val="24"/>
          <w:szCs w:val="24"/>
        </w:rPr>
      </w:pPr>
      <w:r w:rsidRPr="005F14B8">
        <w:rPr>
          <w:rFonts w:ascii="Times New Roman" w:hAnsi="Times New Roman" w:cs="Times New Roman"/>
          <w:b/>
          <w:bCs/>
          <w:sz w:val="24"/>
          <w:szCs w:val="24"/>
        </w:rPr>
        <w:t xml:space="preserve">Dashboard Refinement </w:t>
      </w:r>
    </w:p>
    <w:p w14:paraId="5D348B39" w14:textId="77777777"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sz w:val="24"/>
          <w:szCs w:val="24"/>
        </w:rPr>
        <w:t>The dashboard should emphasise booking lead time, previous no-show history and relevant reminder/appointment-type comparisons. Visuals that add little analytical value can be reduced or moved to a supporting page.</w:t>
      </w:r>
    </w:p>
    <w:p w14:paraId="4A8EA3F3" w14:textId="4BA228AA" w:rsidR="00707352" w:rsidRPr="005F14B8" w:rsidRDefault="00707352" w:rsidP="00707352">
      <w:pPr>
        <w:rPr>
          <w:rFonts w:ascii="Times New Roman" w:hAnsi="Times New Roman" w:cs="Times New Roman"/>
          <w:sz w:val="24"/>
          <w:szCs w:val="24"/>
        </w:rPr>
      </w:pPr>
      <w:r w:rsidRPr="005F14B8">
        <w:rPr>
          <w:rFonts w:ascii="Times New Roman" w:hAnsi="Times New Roman" w:cs="Times New Roman"/>
          <w:b/>
          <w:sz w:val="24"/>
          <w:szCs w:val="24"/>
        </w:rPr>
        <w:t xml:space="preserve">Response approach: </w:t>
      </w:r>
      <w:r w:rsidRPr="005F14B8">
        <w:rPr>
          <w:rFonts w:ascii="Times New Roman" w:hAnsi="Times New Roman" w:cs="Times New Roman"/>
          <w:sz w:val="24"/>
          <w:szCs w:val="24"/>
        </w:rPr>
        <w:t>Ensure every main visual answers a business question and has clear labels and interpretation</w:t>
      </w:r>
    </w:p>
    <w:p w14:paraId="39DEF288" w14:textId="09F72EAD" w:rsidR="00900A11" w:rsidRDefault="00707352" w:rsidP="00CE1A2B">
      <w:pPr>
        <w:pStyle w:val="NormalWeb"/>
        <w:numPr>
          <w:ilvl w:val="0"/>
          <w:numId w:val="3"/>
        </w:numPr>
        <w:rPr>
          <w:b/>
          <w:bCs/>
        </w:rPr>
      </w:pPr>
      <w:r w:rsidRPr="005F14B8">
        <w:rPr>
          <w:b/>
          <w:bCs/>
        </w:rPr>
        <w:lastRenderedPageBreak/>
        <w:t>Cross</w:t>
      </w:r>
      <w:r w:rsidR="005F14B8" w:rsidRPr="005F14B8">
        <w:rPr>
          <w:b/>
          <w:bCs/>
        </w:rPr>
        <w:t>-Track Collaboration With Data Science</w:t>
      </w:r>
    </w:p>
    <w:p w14:paraId="34156E94" w14:textId="33295427" w:rsidR="00900A11" w:rsidRDefault="00900A11" w:rsidP="00900A11">
      <w:pPr>
        <w:pStyle w:val="NormalWeb"/>
      </w:pPr>
      <w:r w:rsidRPr="00900A11">
        <w:t xml:space="preserve">We validated </w:t>
      </w:r>
      <w:r w:rsidR="00CE1A2B">
        <w:t xml:space="preserve">if </w:t>
      </w:r>
      <w:r>
        <w:t xml:space="preserve">the underlying data of no-show rates for people with booking lead </w:t>
      </w:r>
      <w:r w:rsidR="00CE1A2B">
        <w:t>d</w:t>
      </w:r>
      <w:r>
        <w:t>ays of above 30 was significantly wider as observed</w:t>
      </w:r>
      <w:r w:rsidR="00CE1A2B">
        <w:t xml:space="preserve"> in the </w:t>
      </w:r>
      <w:r>
        <w:t>model done by the data scientist. From my finding, those with booking lead days of higher than 30 days had 60.31 % no-show rate and 36.84% for those with 30 and below(</w:t>
      </w:r>
      <w:r>
        <w:t>≤</w:t>
      </w:r>
      <w:r>
        <w:t>30). This further validated the model created by the data scientist</w:t>
      </w:r>
      <w:r w:rsidR="00CE1A2B">
        <w:t>, the underlying data were indeed responsible for the wide gap.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3086"/>
        <w:gridCol w:w="3628"/>
      </w:tblGrid>
      <w:tr w:rsidR="00CE1A2B" w:rsidRPr="00900A11" w14:paraId="4EC85878" w14:textId="77777777" w:rsidTr="00D249FA">
        <w:trPr>
          <w:tblHeader/>
          <w:tblCellSpacing w:w="15" w:type="dxa"/>
        </w:trPr>
        <w:tc>
          <w:tcPr>
            <w:tcW w:w="0" w:type="auto"/>
            <w:vAlign w:val="center"/>
            <w:hideMark/>
          </w:tcPr>
          <w:p w14:paraId="1015FAAB" w14:textId="7D48528F" w:rsidR="00CE1A2B" w:rsidRPr="00900A11" w:rsidRDefault="00CE1A2B" w:rsidP="00625613">
            <w:pPr>
              <w:spacing w:after="0" w:line="240" w:lineRule="auto"/>
              <w:rPr>
                <w:rFonts w:ascii="Times New Roman" w:eastAsia="Times New Roman" w:hAnsi="Times New Roman" w:cs="Times New Roman"/>
                <w:b/>
                <w:bCs/>
                <w:sz w:val="24"/>
                <w:szCs w:val="24"/>
              </w:rPr>
            </w:pPr>
            <w:r w:rsidRPr="00900A11">
              <w:rPr>
                <w:rFonts w:ascii="Times New Roman" w:eastAsia="Times New Roman" w:hAnsi="Times New Roman" w:cs="Times New Roman"/>
                <w:b/>
                <w:bCs/>
                <w:sz w:val="24"/>
                <w:szCs w:val="24"/>
              </w:rPr>
              <w:t xml:space="preserve"> Data Analytics finding</w:t>
            </w:r>
          </w:p>
        </w:tc>
        <w:tc>
          <w:tcPr>
            <w:tcW w:w="0" w:type="auto"/>
            <w:vAlign w:val="center"/>
            <w:hideMark/>
          </w:tcPr>
          <w:p w14:paraId="363E21DA" w14:textId="77777777" w:rsidR="00CE1A2B" w:rsidRPr="00900A11" w:rsidRDefault="00CE1A2B" w:rsidP="00D249FA">
            <w:pPr>
              <w:spacing w:after="0" w:line="240" w:lineRule="auto"/>
              <w:jc w:val="center"/>
              <w:rPr>
                <w:rFonts w:ascii="Times New Roman" w:eastAsia="Times New Roman" w:hAnsi="Times New Roman" w:cs="Times New Roman"/>
                <w:b/>
                <w:bCs/>
                <w:sz w:val="24"/>
                <w:szCs w:val="24"/>
              </w:rPr>
            </w:pPr>
            <w:r w:rsidRPr="00900A11">
              <w:rPr>
                <w:rFonts w:ascii="Times New Roman" w:eastAsia="Times New Roman" w:hAnsi="Times New Roman" w:cs="Times New Roman"/>
                <w:b/>
                <w:bCs/>
                <w:sz w:val="24"/>
                <w:szCs w:val="24"/>
              </w:rPr>
              <w:t>Data Science finding</w:t>
            </w:r>
          </w:p>
        </w:tc>
        <w:tc>
          <w:tcPr>
            <w:tcW w:w="0" w:type="auto"/>
            <w:vAlign w:val="center"/>
            <w:hideMark/>
          </w:tcPr>
          <w:p w14:paraId="08A576B9" w14:textId="77777777" w:rsidR="00CE1A2B" w:rsidRPr="00900A11" w:rsidRDefault="00CE1A2B" w:rsidP="00D249FA">
            <w:pPr>
              <w:spacing w:after="0" w:line="240" w:lineRule="auto"/>
              <w:jc w:val="center"/>
              <w:rPr>
                <w:rFonts w:ascii="Times New Roman" w:eastAsia="Times New Roman" w:hAnsi="Times New Roman" w:cs="Times New Roman"/>
                <w:b/>
                <w:bCs/>
                <w:sz w:val="24"/>
                <w:szCs w:val="24"/>
              </w:rPr>
            </w:pPr>
            <w:r w:rsidRPr="00900A11">
              <w:rPr>
                <w:rFonts w:ascii="Times New Roman" w:eastAsia="Times New Roman" w:hAnsi="Times New Roman" w:cs="Times New Roman"/>
                <w:b/>
                <w:bCs/>
                <w:sz w:val="24"/>
                <w:szCs w:val="24"/>
              </w:rPr>
              <w:t>Connection</w:t>
            </w:r>
          </w:p>
        </w:tc>
      </w:tr>
      <w:tr w:rsidR="00CE1A2B" w:rsidRPr="00900A11" w14:paraId="60E35C68" w14:textId="77777777" w:rsidTr="00D249FA">
        <w:trPr>
          <w:tblCellSpacing w:w="15" w:type="dxa"/>
        </w:trPr>
        <w:tc>
          <w:tcPr>
            <w:tcW w:w="0" w:type="auto"/>
            <w:vAlign w:val="center"/>
            <w:hideMark/>
          </w:tcPr>
          <w:p w14:paraId="76F6D572"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Previous no-show history</w:t>
            </w:r>
            <w:r w:rsidRPr="00900A11">
              <w:rPr>
                <w:rFonts w:ascii="Times New Roman" w:eastAsia="Times New Roman" w:hAnsi="Times New Roman" w:cs="Times New Roman"/>
                <w:sz w:val="24"/>
                <w:szCs w:val="24"/>
              </w:rPr>
              <w:t xml:space="preserve"> was associated with higher no-show rates</w:t>
            </w:r>
          </w:p>
        </w:tc>
        <w:tc>
          <w:tcPr>
            <w:tcW w:w="0" w:type="auto"/>
            <w:vAlign w:val="center"/>
            <w:hideMark/>
          </w:tcPr>
          <w:p w14:paraId="76677F28"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 xml:space="preserve">Model recall was </w:t>
            </w:r>
            <w:r w:rsidRPr="00900A11">
              <w:rPr>
                <w:rFonts w:ascii="Times New Roman" w:eastAsia="Times New Roman" w:hAnsi="Times New Roman" w:cs="Times New Roman"/>
                <w:b/>
                <w:bCs/>
                <w:sz w:val="24"/>
                <w:szCs w:val="24"/>
              </w:rPr>
              <w:t>78%</w:t>
            </w:r>
            <w:r w:rsidRPr="00900A11">
              <w:rPr>
                <w:rFonts w:ascii="Times New Roman" w:eastAsia="Times New Roman" w:hAnsi="Times New Roman" w:cs="Times New Roman"/>
                <w:sz w:val="24"/>
                <w:szCs w:val="24"/>
              </w:rPr>
              <w:t xml:space="preserve"> for patients with previous no-shows vs </w:t>
            </w:r>
            <w:r w:rsidRPr="00900A11">
              <w:rPr>
                <w:rFonts w:ascii="Times New Roman" w:eastAsia="Times New Roman" w:hAnsi="Times New Roman" w:cs="Times New Roman"/>
                <w:b/>
                <w:bCs/>
                <w:sz w:val="24"/>
                <w:szCs w:val="24"/>
              </w:rPr>
              <w:t>58%</w:t>
            </w:r>
            <w:r w:rsidRPr="00900A11">
              <w:rPr>
                <w:rFonts w:ascii="Times New Roman" w:eastAsia="Times New Roman" w:hAnsi="Times New Roman" w:cs="Times New Roman"/>
                <w:sz w:val="24"/>
                <w:szCs w:val="24"/>
              </w:rPr>
              <w:t xml:space="preserve"> for those without</w:t>
            </w:r>
          </w:p>
        </w:tc>
        <w:tc>
          <w:tcPr>
            <w:tcW w:w="0" w:type="auto"/>
            <w:vAlign w:val="center"/>
            <w:hideMark/>
          </w:tcPr>
          <w:p w14:paraId="7B860E66" w14:textId="1E1EB918" w:rsidR="00CE1A2B" w:rsidRPr="00900A11" w:rsidRDefault="00625613" w:rsidP="00D249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CE1A2B" w:rsidRPr="00900A11">
              <w:rPr>
                <w:rFonts w:ascii="Times New Roman" w:eastAsia="Times New Roman" w:hAnsi="Times New Roman" w:cs="Times New Roman"/>
                <w:sz w:val="24"/>
                <w:szCs w:val="24"/>
              </w:rPr>
              <w:t>escriptive finding is supported by the model's performance across these groups</w:t>
            </w:r>
          </w:p>
        </w:tc>
      </w:tr>
      <w:tr w:rsidR="00CE1A2B" w:rsidRPr="00900A11" w14:paraId="75F4F9C2" w14:textId="77777777" w:rsidTr="00D249FA">
        <w:trPr>
          <w:tblCellSpacing w:w="15" w:type="dxa"/>
        </w:trPr>
        <w:tc>
          <w:tcPr>
            <w:tcW w:w="0" w:type="auto"/>
            <w:vAlign w:val="center"/>
            <w:hideMark/>
          </w:tcPr>
          <w:p w14:paraId="0D5CFDA4"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Booking lead time</w:t>
            </w:r>
            <w:r w:rsidRPr="00900A11">
              <w:rPr>
                <w:rFonts w:ascii="Times New Roman" w:eastAsia="Times New Roman" w:hAnsi="Times New Roman" w:cs="Times New Roman"/>
                <w:sz w:val="24"/>
                <w:szCs w:val="24"/>
              </w:rPr>
              <w:t xml:space="preserve"> was associated with attendance</w:t>
            </w:r>
          </w:p>
        </w:tc>
        <w:tc>
          <w:tcPr>
            <w:tcW w:w="0" w:type="auto"/>
            <w:vAlign w:val="center"/>
            <w:hideMark/>
          </w:tcPr>
          <w:p w14:paraId="437B39B8"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 xml:space="preserve">Recall was </w:t>
            </w:r>
            <w:r w:rsidRPr="00900A11">
              <w:rPr>
                <w:rFonts w:ascii="Times New Roman" w:eastAsia="Times New Roman" w:hAnsi="Times New Roman" w:cs="Times New Roman"/>
                <w:b/>
                <w:bCs/>
                <w:sz w:val="24"/>
                <w:szCs w:val="24"/>
              </w:rPr>
              <w:t>94%</w:t>
            </w:r>
            <w:r w:rsidRPr="00900A11">
              <w:rPr>
                <w:rFonts w:ascii="Times New Roman" w:eastAsia="Times New Roman" w:hAnsi="Times New Roman" w:cs="Times New Roman"/>
                <w:sz w:val="24"/>
                <w:szCs w:val="24"/>
              </w:rPr>
              <w:t xml:space="preserve"> for appointments booked &gt;30 days ahead vs </w:t>
            </w:r>
            <w:r w:rsidRPr="00900A11">
              <w:rPr>
                <w:rFonts w:ascii="Times New Roman" w:eastAsia="Times New Roman" w:hAnsi="Times New Roman" w:cs="Times New Roman"/>
                <w:b/>
                <w:bCs/>
                <w:sz w:val="24"/>
                <w:szCs w:val="24"/>
              </w:rPr>
              <w:t>23%</w:t>
            </w:r>
            <w:r w:rsidRPr="00900A11">
              <w:rPr>
                <w:rFonts w:ascii="Times New Roman" w:eastAsia="Times New Roman" w:hAnsi="Times New Roman" w:cs="Times New Roman"/>
                <w:sz w:val="24"/>
                <w:szCs w:val="24"/>
              </w:rPr>
              <w:t xml:space="preserve"> for ≤30 days</w:t>
            </w:r>
          </w:p>
        </w:tc>
        <w:tc>
          <w:tcPr>
            <w:tcW w:w="0" w:type="auto"/>
            <w:vAlign w:val="center"/>
            <w:hideMark/>
          </w:tcPr>
          <w:p w14:paraId="69622A13" w14:textId="5424BA0C"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This provide</w:t>
            </w:r>
            <w:r w:rsidR="00625613">
              <w:rPr>
                <w:rFonts w:ascii="Times New Roman" w:eastAsia="Times New Roman" w:hAnsi="Times New Roman" w:cs="Times New Roman"/>
                <w:sz w:val="24"/>
                <w:szCs w:val="24"/>
              </w:rPr>
              <w:t>d</w:t>
            </w:r>
            <w:r w:rsidRPr="00900A11">
              <w:rPr>
                <w:rFonts w:ascii="Times New Roman" w:eastAsia="Times New Roman" w:hAnsi="Times New Roman" w:cs="Times New Roman"/>
                <w:sz w:val="24"/>
                <w:szCs w:val="24"/>
              </w:rPr>
              <w:t xml:space="preserve"> a strong reason to validate </w:t>
            </w:r>
            <w:r w:rsidR="00625613">
              <w:rPr>
                <w:rFonts w:ascii="Times New Roman" w:eastAsia="Times New Roman" w:hAnsi="Times New Roman" w:cs="Times New Roman"/>
                <w:sz w:val="24"/>
                <w:szCs w:val="24"/>
              </w:rPr>
              <w:t>my</w:t>
            </w:r>
            <w:r w:rsidRPr="00900A11">
              <w:rPr>
                <w:rFonts w:ascii="Times New Roman" w:eastAsia="Times New Roman" w:hAnsi="Times New Roman" w:cs="Times New Roman"/>
                <w:sz w:val="24"/>
                <w:szCs w:val="24"/>
              </w:rPr>
              <w:t xml:space="preserve"> lead-time finding using the underlying data</w:t>
            </w:r>
          </w:p>
        </w:tc>
      </w:tr>
      <w:tr w:rsidR="00CE1A2B" w:rsidRPr="00900A11" w14:paraId="6CE7576D" w14:textId="77777777" w:rsidTr="00D249FA">
        <w:trPr>
          <w:tblCellSpacing w:w="15" w:type="dxa"/>
        </w:trPr>
        <w:tc>
          <w:tcPr>
            <w:tcW w:w="0" w:type="auto"/>
            <w:vAlign w:val="center"/>
            <w:hideMark/>
          </w:tcPr>
          <w:p w14:paraId="521E8608"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Reminder status showed differences</w:t>
            </w:r>
          </w:p>
        </w:tc>
        <w:tc>
          <w:tcPr>
            <w:tcW w:w="0" w:type="auto"/>
            <w:vAlign w:val="center"/>
            <w:hideMark/>
          </w:tcPr>
          <w:p w14:paraId="7808B2CD"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Reminder performance was relatively stable in the model</w:t>
            </w:r>
          </w:p>
        </w:tc>
        <w:tc>
          <w:tcPr>
            <w:tcW w:w="0" w:type="auto"/>
            <w:vAlign w:val="center"/>
            <w:hideMark/>
          </w:tcPr>
          <w:p w14:paraId="00C050C5" w14:textId="33969923"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Suggest</w:t>
            </w:r>
            <w:r w:rsidR="00625613">
              <w:rPr>
                <w:rFonts w:ascii="Times New Roman" w:eastAsia="Times New Roman" w:hAnsi="Times New Roman" w:cs="Times New Roman"/>
                <w:sz w:val="24"/>
                <w:szCs w:val="24"/>
              </w:rPr>
              <w:t>ed that</w:t>
            </w:r>
            <w:r w:rsidRPr="00900A11">
              <w:rPr>
                <w:rFonts w:ascii="Times New Roman" w:eastAsia="Times New Roman" w:hAnsi="Times New Roman" w:cs="Times New Roman"/>
                <w:sz w:val="24"/>
                <w:szCs w:val="24"/>
              </w:rPr>
              <w:t xml:space="preserve"> reminder status may be less useful for distinguishing model performance than lead time/history</w:t>
            </w:r>
          </w:p>
        </w:tc>
      </w:tr>
      <w:tr w:rsidR="00CE1A2B" w:rsidRPr="00900A11" w14:paraId="1567AEAF" w14:textId="77777777" w:rsidTr="00D249FA">
        <w:trPr>
          <w:tblCellSpacing w:w="15" w:type="dxa"/>
        </w:trPr>
        <w:tc>
          <w:tcPr>
            <w:tcW w:w="0" w:type="auto"/>
            <w:vAlign w:val="center"/>
            <w:hideMark/>
          </w:tcPr>
          <w:p w14:paraId="0211E3D8"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Appointment type showed differences</w:t>
            </w:r>
          </w:p>
        </w:tc>
        <w:tc>
          <w:tcPr>
            <w:tcW w:w="0" w:type="auto"/>
            <w:vAlign w:val="center"/>
            <w:hideMark/>
          </w:tcPr>
          <w:p w14:paraId="035E7C10"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 xml:space="preserve">Recall was </w:t>
            </w:r>
            <w:r w:rsidRPr="00900A11">
              <w:rPr>
                <w:rFonts w:ascii="Times New Roman" w:eastAsia="Times New Roman" w:hAnsi="Times New Roman" w:cs="Times New Roman"/>
                <w:b/>
                <w:bCs/>
                <w:sz w:val="24"/>
                <w:szCs w:val="24"/>
              </w:rPr>
              <w:t>80% for Diagnostic Tests</w:t>
            </w:r>
            <w:r w:rsidRPr="00900A11">
              <w:rPr>
                <w:rFonts w:ascii="Times New Roman" w:eastAsia="Times New Roman" w:hAnsi="Times New Roman" w:cs="Times New Roman"/>
                <w:sz w:val="24"/>
                <w:szCs w:val="24"/>
              </w:rPr>
              <w:t xml:space="preserve"> vs </w:t>
            </w:r>
            <w:r w:rsidRPr="00900A11">
              <w:rPr>
                <w:rFonts w:ascii="Times New Roman" w:eastAsia="Times New Roman" w:hAnsi="Times New Roman" w:cs="Times New Roman"/>
                <w:b/>
                <w:bCs/>
                <w:sz w:val="24"/>
                <w:szCs w:val="24"/>
              </w:rPr>
              <w:t>53% for Specialist Consultations</w:t>
            </w:r>
          </w:p>
        </w:tc>
        <w:tc>
          <w:tcPr>
            <w:tcW w:w="0" w:type="auto"/>
            <w:vAlign w:val="center"/>
            <w:hideMark/>
          </w:tcPr>
          <w:p w14:paraId="5ACA13D5"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Shows that model performance varies by appointment type</w:t>
            </w:r>
          </w:p>
        </w:tc>
      </w:tr>
      <w:tr w:rsidR="00CE1A2B" w:rsidRPr="00900A11" w14:paraId="3BED7AAC" w14:textId="77777777" w:rsidTr="00D249FA">
        <w:trPr>
          <w:tblCellSpacing w:w="15" w:type="dxa"/>
        </w:trPr>
        <w:tc>
          <w:tcPr>
            <w:tcW w:w="0" w:type="auto"/>
            <w:vAlign w:val="center"/>
            <w:hideMark/>
          </w:tcPr>
          <w:p w14:paraId="45A531BC" w14:textId="092BFDE6" w:rsidR="00CE1A2B" w:rsidRPr="00900A11" w:rsidRDefault="00625613" w:rsidP="00D249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CE1A2B" w:rsidRPr="00900A11">
              <w:rPr>
                <w:rFonts w:ascii="Times New Roman" w:eastAsia="Times New Roman" w:hAnsi="Times New Roman" w:cs="Times New Roman"/>
                <w:sz w:val="24"/>
                <w:szCs w:val="24"/>
              </w:rPr>
              <w:t>dentified booking lead time as an important factor for further analysis</w:t>
            </w:r>
          </w:p>
        </w:tc>
        <w:tc>
          <w:tcPr>
            <w:tcW w:w="0" w:type="auto"/>
            <w:vAlign w:val="center"/>
            <w:hideMark/>
          </w:tcPr>
          <w:p w14:paraId="6D71E20B"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 xml:space="preserve">Overall AUC improved from </w:t>
            </w:r>
            <w:r w:rsidRPr="00900A11">
              <w:rPr>
                <w:rFonts w:ascii="Times New Roman" w:eastAsia="Times New Roman" w:hAnsi="Times New Roman" w:cs="Times New Roman"/>
                <w:b/>
                <w:bCs/>
                <w:sz w:val="24"/>
                <w:szCs w:val="24"/>
              </w:rPr>
              <w:t>0.68 to 0.72</w:t>
            </w:r>
            <w:r w:rsidRPr="00900A11">
              <w:rPr>
                <w:rFonts w:ascii="Times New Roman" w:eastAsia="Times New Roman" w:hAnsi="Times New Roman" w:cs="Times New Roman"/>
                <w:sz w:val="24"/>
                <w:szCs w:val="24"/>
              </w:rPr>
              <w:t xml:space="preserve">, with </w:t>
            </w:r>
            <w:r w:rsidRPr="00900A11">
              <w:rPr>
                <w:rFonts w:ascii="Times New Roman" w:eastAsia="Times New Roman" w:hAnsi="Times New Roman" w:cs="Times New Roman"/>
                <w:b/>
                <w:bCs/>
                <w:sz w:val="24"/>
                <w:szCs w:val="24"/>
              </w:rPr>
              <w:t>67% recall and 67% F1</w:t>
            </w:r>
            <w:r w:rsidRPr="00900A11">
              <w:rPr>
                <w:rFonts w:ascii="Times New Roman" w:eastAsia="Times New Roman" w:hAnsi="Times New Roman" w:cs="Times New Roman"/>
                <w:sz w:val="24"/>
                <w:szCs w:val="24"/>
              </w:rPr>
              <w:t xml:space="preserve"> after tuning</w:t>
            </w:r>
          </w:p>
        </w:tc>
        <w:tc>
          <w:tcPr>
            <w:tcW w:w="0" w:type="auto"/>
            <w:vAlign w:val="center"/>
            <w:hideMark/>
          </w:tcPr>
          <w:p w14:paraId="44F9BDA7" w14:textId="77777777" w:rsidR="00CE1A2B" w:rsidRPr="00900A11" w:rsidRDefault="00CE1A2B" w:rsidP="00D249FA">
            <w:pPr>
              <w:spacing w:after="0"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sz w:val="24"/>
                <w:szCs w:val="24"/>
              </w:rPr>
              <w:t>Data Science has moved from identifying patterns to testing their predictive usefulness</w:t>
            </w:r>
          </w:p>
        </w:tc>
      </w:tr>
    </w:tbl>
    <w:p w14:paraId="05023E31" w14:textId="77777777" w:rsidR="00CE1A2B" w:rsidRPr="00900A11" w:rsidRDefault="00CE1A2B" w:rsidP="00CE1A2B">
      <w:pPr>
        <w:spacing w:before="100" w:beforeAutospacing="1" w:after="100" w:afterAutospacing="1"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Track collaborated with:</w:t>
      </w:r>
      <w:r w:rsidRPr="00900A11">
        <w:rPr>
          <w:rFonts w:ascii="Times New Roman" w:eastAsia="Times New Roman" w:hAnsi="Times New Roman" w:cs="Times New Roman"/>
          <w:sz w:val="24"/>
          <w:szCs w:val="24"/>
        </w:rPr>
        <w:t xml:space="preserve"> Data Science</w:t>
      </w:r>
    </w:p>
    <w:p w14:paraId="4218836A" w14:textId="77777777" w:rsidR="00CE1A2B" w:rsidRPr="00900A11" w:rsidRDefault="00CE1A2B" w:rsidP="00CE1A2B">
      <w:pPr>
        <w:spacing w:before="100" w:beforeAutospacing="1" w:after="100" w:afterAutospacing="1"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Dependency:</w:t>
      </w:r>
      <w:r w:rsidRPr="00900A11">
        <w:rPr>
          <w:rFonts w:ascii="Times New Roman" w:eastAsia="Times New Roman" w:hAnsi="Times New Roman" w:cs="Times New Roman"/>
          <w:sz w:val="24"/>
          <w:szCs w:val="24"/>
        </w:rPr>
        <w:t xml:space="preserve"> Validation of booking lead-time patterns identified through predictive modelling.</w:t>
      </w:r>
    </w:p>
    <w:p w14:paraId="41765A64" w14:textId="77777777" w:rsidR="00CE1A2B" w:rsidRPr="00900A11" w:rsidRDefault="00CE1A2B" w:rsidP="00CE1A2B">
      <w:pPr>
        <w:spacing w:before="100" w:beforeAutospacing="1" w:after="100" w:afterAutospacing="1"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Information received:</w:t>
      </w:r>
      <w:r w:rsidRPr="00900A11">
        <w:rPr>
          <w:rFonts w:ascii="Times New Roman" w:eastAsia="Times New Roman" w:hAnsi="Times New Roman" w:cs="Times New Roman"/>
          <w:sz w:val="24"/>
          <w:szCs w:val="24"/>
        </w:rPr>
        <w:t xml:space="preserve"> Data Science reported differences in model recall for appointments booked ≤30 vs &gt;30 days ahead.</w:t>
      </w:r>
    </w:p>
    <w:p w14:paraId="747682D8" w14:textId="6F12C3FA" w:rsidR="00CE1A2B" w:rsidRPr="00900A11" w:rsidRDefault="00CE1A2B" w:rsidP="00CE1A2B">
      <w:pPr>
        <w:spacing w:before="100" w:beforeAutospacing="1" w:after="100" w:afterAutospacing="1"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Information provided:</w:t>
      </w:r>
      <w:r w:rsidRPr="00900A11">
        <w:rPr>
          <w:rFonts w:ascii="Times New Roman" w:eastAsia="Times New Roman" w:hAnsi="Times New Roman" w:cs="Times New Roman"/>
          <w:sz w:val="24"/>
          <w:szCs w:val="24"/>
        </w:rPr>
        <w:t xml:space="preserve"> </w:t>
      </w:r>
      <w:r w:rsidR="00625613">
        <w:rPr>
          <w:rFonts w:ascii="Times New Roman" w:eastAsia="Times New Roman" w:hAnsi="Times New Roman" w:cs="Times New Roman"/>
          <w:sz w:val="24"/>
          <w:szCs w:val="24"/>
        </w:rPr>
        <w:t>I</w:t>
      </w:r>
      <w:r w:rsidRPr="00900A11">
        <w:rPr>
          <w:rFonts w:ascii="Times New Roman" w:eastAsia="Times New Roman" w:hAnsi="Times New Roman" w:cs="Times New Roman"/>
          <w:sz w:val="24"/>
          <w:szCs w:val="24"/>
        </w:rPr>
        <w:t xml:space="preserve"> calculated the underlying no-show rates and appointment volumes for the same booking-lead-time groups.</w:t>
      </w:r>
    </w:p>
    <w:p w14:paraId="0186947B" w14:textId="77777777" w:rsidR="00CE1A2B" w:rsidRPr="00900A11" w:rsidRDefault="00CE1A2B" w:rsidP="00CE1A2B">
      <w:pPr>
        <w:spacing w:before="100" w:beforeAutospacing="1" w:after="100" w:afterAutospacing="1"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Integration activity:</w:t>
      </w:r>
      <w:r w:rsidRPr="00900A11">
        <w:rPr>
          <w:rFonts w:ascii="Times New Roman" w:eastAsia="Times New Roman" w:hAnsi="Times New Roman" w:cs="Times New Roman"/>
          <w:sz w:val="24"/>
          <w:szCs w:val="24"/>
        </w:rPr>
        <w:t xml:space="preserve"> Compared descriptive no-show rates with model performance across the same segments.</w:t>
      </w:r>
    </w:p>
    <w:p w14:paraId="22FAD77A" w14:textId="77777777" w:rsidR="00CE1A2B" w:rsidRPr="00900A11" w:rsidRDefault="00CE1A2B" w:rsidP="00CE1A2B">
      <w:pPr>
        <w:spacing w:before="100" w:beforeAutospacing="1" w:after="100" w:afterAutospacing="1" w:line="240" w:lineRule="auto"/>
        <w:rPr>
          <w:rFonts w:ascii="Times New Roman" w:eastAsia="Times New Roman" w:hAnsi="Times New Roman" w:cs="Times New Roman"/>
          <w:sz w:val="24"/>
          <w:szCs w:val="24"/>
        </w:rPr>
      </w:pPr>
      <w:r w:rsidRPr="00900A11">
        <w:rPr>
          <w:rFonts w:ascii="Times New Roman" w:eastAsia="Times New Roman" w:hAnsi="Times New Roman" w:cs="Times New Roman"/>
          <w:b/>
          <w:bCs/>
          <w:sz w:val="24"/>
          <w:szCs w:val="24"/>
        </w:rPr>
        <w:t>What changed:</w:t>
      </w:r>
      <w:r w:rsidRPr="00900A11">
        <w:rPr>
          <w:rFonts w:ascii="Times New Roman" w:eastAsia="Times New Roman" w:hAnsi="Times New Roman" w:cs="Times New Roman"/>
          <w:sz w:val="24"/>
          <w:szCs w:val="24"/>
        </w:rPr>
        <w:t xml:space="preserve"> The collaboration helped distinguish the observed no-show pattern from model predictive performance and provided cross-track evidence for evaluating booking lead time as an important analytical feature.</w:t>
      </w:r>
    </w:p>
    <w:p w14:paraId="366F633F" w14:textId="77777777" w:rsidR="00CE1A2B" w:rsidRDefault="00CE1A2B" w:rsidP="00900A11">
      <w:pPr>
        <w:pStyle w:val="NormalWeb"/>
      </w:pPr>
    </w:p>
    <w:p w14:paraId="6CD141E9" w14:textId="1C47DB9C" w:rsidR="00707352" w:rsidRPr="005F14B8" w:rsidRDefault="00707352" w:rsidP="00707352">
      <w:pPr>
        <w:rPr>
          <w:rFonts w:ascii="Times New Roman" w:hAnsi="Times New Roman" w:cs="Times New Roman"/>
          <w:b/>
          <w:bCs/>
          <w:sz w:val="24"/>
          <w:szCs w:val="24"/>
        </w:rPr>
      </w:pPr>
      <w:r w:rsidRPr="005F14B8">
        <w:rPr>
          <w:rFonts w:ascii="Times New Roman" w:hAnsi="Times New Roman" w:cs="Times New Roman"/>
          <w:b/>
          <w:bCs/>
          <w:sz w:val="24"/>
          <w:szCs w:val="24"/>
        </w:rPr>
        <w:lastRenderedPageBreak/>
        <w:t xml:space="preserve">Proposed </w:t>
      </w:r>
      <w:r w:rsidR="005F14B8">
        <w:rPr>
          <w:rFonts w:ascii="Times New Roman" w:hAnsi="Times New Roman" w:cs="Times New Roman"/>
          <w:b/>
          <w:bCs/>
          <w:sz w:val="24"/>
          <w:szCs w:val="24"/>
        </w:rPr>
        <w:t>W</w:t>
      </w:r>
      <w:r w:rsidRPr="005F14B8">
        <w:rPr>
          <w:rFonts w:ascii="Times New Roman" w:hAnsi="Times New Roman" w:cs="Times New Roman"/>
          <w:b/>
          <w:bCs/>
          <w:sz w:val="24"/>
          <w:szCs w:val="24"/>
        </w:rPr>
        <w:t xml:space="preserve">eek 7 </w:t>
      </w:r>
      <w:r w:rsidR="005F14B8">
        <w:rPr>
          <w:rFonts w:ascii="Times New Roman" w:hAnsi="Times New Roman" w:cs="Times New Roman"/>
          <w:b/>
          <w:bCs/>
          <w:sz w:val="24"/>
          <w:szCs w:val="24"/>
        </w:rPr>
        <w:t>T</w:t>
      </w:r>
      <w:r w:rsidRPr="005F14B8">
        <w:rPr>
          <w:rFonts w:ascii="Times New Roman" w:hAnsi="Times New Roman" w:cs="Times New Roman"/>
          <w:b/>
          <w:bCs/>
          <w:sz w:val="24"/>
          <w:szCs w:val="24"/>
        </w:rPr>
        <w:t xml:space="preserve">esting </w:t>
      </w:r>
      <w:r w:rsidR="005F14B8">
        <w:rPr>
          <w:rFonts w:ascii="Times New Roman" w:hAnsi="Times New Roman" w:cs="Times New Roman"/>
          <w:b/>
          <w:bCs/>
          <w:sz w:val="24"/>
          <w:szCs w:val="24"/>
        </w:rPr>
        <w:t>L</w:t>
      </w:r>
      <w:r w:rsidRPr="005F14B8">
        <w:rPr>
          <w:rFonts w:ascii="Times New Roman" w:hAnsi="Times New Roman" w:cs="Times New Roman"/>
          <w:b/>
          <w:bCs/>
          <w:sz w:val="24"/>
          <w:szCs w:val="24"/>
        </w:rPr>
        <w:t>og</w:t>
      </w:r>
    </w:p>
    <w:p w14:paraId="42F96BE3" w14:textId="77777777" w:rsidR="00707352" w:rsidRPr="005F14B8" w:rsidRDefault="00707352" w:rsidP="00707352">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707352" w:rsidRPr="005F14B8" w14:paraId="06E5F332" w14:textId="77777777" w:rsidTr="00DD53F2">
        <w:trPr>
          <w:jc w:val="center"/>
        </w:trPr>
        <w:tc>
          <w:tcPr>
            <w:tcW w:w="1440" w:type="dxa"/>
            <w:shd w:val="clear" w:color="auto" w:fill="D9EAF7"/>
          </w:tcPr>
          <w:p w14:paraId="556468DA"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Item Tested</w:t>
            </w:r>
          </w:p>
        </w:tc>
        <w:tc>
          <w:tcPr>
            <w:tcW w:w="1440" w:type="dxa"/>
            <w:shd w:val="clear" w:color="auto" w:fill="D9EAF7"/>
          </w:tcPr>
          <w:p w14:paraId="08175DF9"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Method</w:t>
            </w:r>
          </w:p>
        </w:tc>
        <w:tc>
          <w:tcPr>
            <w:tcW w:w="1440" w:type="dxa"/>
            <w:shd w:val="clear" w:color="auto" w:fill="D9EAF7"/>
          </w:tcPr>
          <w:p w14:paraId="037CC6B8"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Reference</w:t>
            </w:r>
          </w:p>
        </w:tc>
        <w:tc>
          <w:tcPr>
            <w:tcW w:w="1440" w:type="dxa"/>
            <w:shd w:val="clear" w:color="auto" w:fill="D9EAF7"/>
          </w:tcPr>
          <w:p w14:paraId="64E0293A"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Observed Result</w:t>
            </w:r>
          </w:p>
        </w:tc>
        <w:tc>
          <w:tcPr>
            <w:tcW w:w="1440" w:type="dxa"/>
            <w:shd w:val="clear" w:color="auto" w:fill="D9EAF7"/>
          </w:tcPr>
          <w:p w14:paraId="069A929B"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Status</w:t>
            </w:r>
          </w:p>
        </w:tc>
        <w:tc>
          <w:tcPr>
            <w:tcW w:w="1440" w:type="dxa"/>
            <w:shd w:val="clear" w:color="auto" w:fill="D9EAF7"/>
          </w:tcPr>
          <w:p w14:paraId="72F6F370"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Next Action</w:t>
            </w:r>
          </w:p>
        </w:tc>
      </w:tr>
      <w:tr w:rsidR="00707352" w:rsidRPr="005F14B8" w14:paraId="168F71C4" w14:textId="77777777" w:rsidTr="00DD53F2">
        <w:trPr>
          <w:jc w:val="center"/>
        </w:trPr>
        <w:tc>
          <w:tcPr>
            <w:tcW w:w="1440" w:type="dxa"/>
          </w:tcPr>
          <w:p w14:paraId="3EAF8108"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Attendance Rate</w:t>
            </w:r>
          </w:p>
        </w:tc>
        <w:tc>
          <w:tcPr>
            <w:tcW w:w="1440" w:type="dxa"/>
          </w:tcPr>
          <w:p w14:paraId="6DF5EEC3"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Power BI vs Excel</w:t>
            </w:r>
          </w:p>
        </w:tc>
        <w:tc>
          <w:tcPr>
            <w:tcW w:w="1440" w:type="dxa"/>
          </w:tcPr>
          <w:p w14:paraId="0ED5AD66"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46.28%</w:t>
            </w:r>
          </w:p>
        </w:tc>
        <w:tc>
          <w:tcPr>
            <w:tcW w:w="1440" w:type="dxa"/>
          </w:tcPr>
          <w:p w14:paraId="3669CD97"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46.28% in both</w:t>
            </w:r>
          </w:p>
        </w:tc>
        <w:tc>
          <w:tcPr>
            <w:tcW w:w="1440" w:type="dxa"/>
          </w:tcPr>
          <w:p w14:paraId="1400E1CA"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Pass</w:t>
            </w:r>
          </w:p>
        </w:tc>
        <w:tc>
          <w:tcPr>
            <w:tcW w:w="1440" w:type="dxa"/>
          </w:tcPr>
          <w:p w14:paraId="00E2C440"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Retain</w:t>
            </w:r>
          </w:p>
        </w:tc>
      </w:tr>
      <w:tr w:rsidR="00707352" w:rsidRPr="005F14B8" w14:paraId="1B67062A" w14:textId="77777777" w:rsidTr="00DD53F2">
        <w:trPr>
          <w:jc w:val="center"/>
        </w:trPr>
        <w:tc>
          <w:tcPr>
            <w:tcW w:w="1440" w:type="dxa"/>
          </w:tcPr>
          <w:p w14:paraId="180C2D9F"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No-Show Rate</w:t>
            </w:r>
          </w:p>
        </w:tc>
        <w:tc>
          <w:tcPr>
            <w:tcW w:w="1440" w:type="dxa"/>
          </w:tcPr>
          <w:p w14:paraId="263EDB55"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Power BI vs Excel</w:t>
            </w:r>
          </w:p>
        </w:tc>
        <w:tc>
          <w:tcPr>
            <w:tcW w:w="1440" w:type="dxa"/>
          </w:tcPr>
          <w:p w14:paraId="54710E4D"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48.46%</w:t>
            </w:r>
          </w:p>
        </w:tc>
        <w:tc>
          <w:tcPr>
            <w:tcW w:w="1440" w:type="dxa"/>
          </w:tcPr>
          <w:p w14:paraId="103E8DEF"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48.46% in both</w:t>
            </w:r>
          </w:p>
        </w:tc>
        <w:tc>
          <w:tcPr>
            <w:tcW w:w="1440" w:type="dxa"/>
          </w:tcPr>
          <w:p w14:paraId="4AD7BF79"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Pass</w:t>
            </w:r>
          </w:p>
        </w:tc>
        <w:tc>
          <w:tcPr>
            <w:tcW w:w="1440" w:type="dxa"/>
          </w:tcPr>
          <w:p w14:paraId="51D960E5"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Retain</w:t>
            </w:r>
          </w:p>
        </w:tc>
      </w:tr>
      <w:tr w:rsidR="00707352" w:rsidRPr="005F14B8" w14:paraId="248E3104" w14:textId="77777777" w:rsidTr="00DD53F2">
        <w:trPr>
          <w:jc w:val="center"/>
        </w:trPr>
        <w:tc>
          <w:tcPr>
            <w:tcW w:w="1440" w:type="dxa"/>
          </w:tcPr>
          <w:p w14:paraId="5A642BFC"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Cancellation Rate</w:t>
            </w:r>
          </w:p>
        </w:tc>
        <w:tc>
          <w:tcPr>
            <w:tcW w:w="1440" w:type="dxa"/>
          </w:tcPr>
          <w:p w14:paraId="4FF83B43"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Power BI vs Excel</w:t>
            </w:r>
          </w:p>
        </w:tc>
        <w:tc>
          <w:tcPr>
            <w:tcW w:w="1440" w:type="dxa"/>
          </w:tcPr>
          <w:p w14:paraId="01065595"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5.26%</w:t>
            </w:r>
          </w:p>
        </w:tc>
        <w:tc>
          <w:tcPr>
            <w:tcW w:w="1440" w:type="dxa"/>
          </w:tcPr>
          <w:p w14:paraId="6B0DD93E"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5.26% in both</w:t>
            </w:r>
          </w:p>
        </w:tc>
        <w:tc>
          <w:tcPr>
            <w:tcW w:w="1440" w:type="dxa"/>
          </w:tcPr>
          <w:p w14:paraId="0D540E7F"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Pass</w:t>
            </w:r>
          </w:p>
        </w:tc>
        <w:tc>
          <w:tcPr>
            <w:tcW w:w="1440" w:type="dxa"/>
          </w:tcPr>
          <w:p w14:paraId="6CBCDD99"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Retain</w:t>
            </w:r>
          </w:p>
        </w:tc>
      </w:tr>
      <w:tr w:rsidR="00707352" w:rsidRPr="005F14B8" w14:paraId="41B6DEDD" w14:textId="77777777" w:rsidTr="00DD53F2">
        <w:trPr>
          <w:jc w:val="center"/>
        </w:trPr>
        <w:tc>
          <w:tcPr>
            <w:tcW w:w="1440" w:type="dxa"/>
          </w:tcPr>
          <w:p w14:paraId="7DFB38CC"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KPI cross-check</w:t>
            </w:r>
          </w:p>
        </w:tc>
        <w:tc>
          <w:tcPr>
            <w:tcW w:w="1440" w:type="dxa"/>
          </w:tcPr>
          <w:p w14:paraId="29BEDBDA"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Power BI/Excel vs SQL</w:t>
            </w:r>
          </w:p>
        </w:tc>
        <w:tc>
          <w:tcPr>
            <w:tcW w:w="1440" w:type="dxa"/>
          </w:tcPr>
          <w:p w14:paraId="1A0509D9"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Same population</w:t>
            </w:r>
          </w:p>
        </w:tc>
        <w:tc>
          <w:tcPr>
            <w:tcW w:w="1440" w:type="dxa"/>
          </w:tcPr>
          <w:p w14:paraId="4E578087"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SQL: 4,850; 46.47% attendance; 48.23% no-show</w:t>
            </w:r>
          </w:p>
        </w:tc>
        <w:tc>
          <w:tcPr>
            <w:tcW w:w="1440" w:type="dxa"/>
          </w:tcPr>
          <w:p w14:paraId="0DEAABD0"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Needs review</w:t>
            </w:r>
          </w:p>
        </w:tc>
        <w:tc>
          <w:tcPr>
            <w:tcW w:w="1440" w:type="dxa"/>
          </w:tcPr>
          <w:p w14:paraId="7ECE0C32"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Check SQL filters and missing-value treatment</w:t>
            </w:r>
          </w:p>
        </w:tc>
      </w:tr>
      <w:tr w:rsidR="00707352" w:rsidRPr="005F14B8" w14:paraId="7B1460A7" w14:textId="77777777" w:rsidTr="00DD53F2">
        <w:trPr>
          <w:jc w:val="center"/>
        </w:trPr>
        <w:tc>
          <w:tcPr>
            <w:tcW w:w="1440" w:type="dxa"/>
          </w:tcPr>
          <w:p w14:paraId="1F909223"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Dashboard filters</w:t>
            </w:r>
          </w:p>
        </w:tc>
        <w:tc>
          <w:tcPr>
            <w:tcW w:w="1440" w:type="dxa"/>
          </w:tcPr>
          <w:p w14:paraId="084317FE"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Power BI vs SQL/Excel</w:t>
            </w:r>
          </w:p>
        </w:tc>
        <w:tc>
          <w:tcPr>
            <w:tcW w:w="1440" w:type="dxa"/>
          </w:tcPr>
          <w:p w14:paraId="10FC257F"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Values align</w:t>
            </w:r>
          </w:p>
        </w:tc>
        <w:tc>
          <w:tcPr>
            <w:tcW w:w="1440" w:type="dxa"/>
          </w:tcPr>
          <w:p w14:paraId="343731C9"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Values aligned</w:t>
            </w:r>
          </w:p>
        </w:tc>
        <w:tc>
          <w:tcPr>
            <w:tcW w:w="1440" w:type="dxa"/>
          </w:tcPr>
          <w:p w14:paraId="447DABC9"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Pass</w:t>
            </w:r>
          </w:p>
        </w:tc>
        <w:tc>
          <w:tcPr>
            <w:tcW w:w="1440" w:type="dxa"/>
          </w:tcPr>
          <w:p w14:paraId="2434079A"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Retain</w:t>
            </w:r>
          </w:p>
        </w:tc>
      </w:tr>
      <w:tr w:rsidR="00707352" w:rsidRPr="005F14B8" w14:paraId="76453C0F" w14:textId="77777777" w:rsidTr="00DD53F2">
        <w:trPr>
          <w:jc w:val="center"/>
        </w:trPr>
        <w:tc>
          <w:tcPr>
            <w:tcW w:w="1440" w:type="dxa"/>
          </w:tcPr>
          <w:p w14:paraId="57CCF255"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Booking lead time</w:t>
            </w:r>
          </w:p>
        </w:tc>
        <w:tc>
          <w:tcPr>
            <w:tcW w:w="1440" w:type="dxa"/>
          </w:tcPr>
          <w:p w14:paraId="6C7996E5"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Grouped rates</w:t>
            </w:r>
          </w:p>
        </w:tc>
        <w:tc>
          <w:tcPr>
            <w:tcW w:w="1440" w:type="dxa"/>
          </w:tcPr>
          <w:p w14:paraId="0F9EBE3D"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Week 6 pattern</w:t>
            </w:r>
          </w:p>
        </w:tc>
        <w:tc>
          <w:tcPr>
            <w:tcW w:w="1440" w:type="dxa"/>
          </w:tcPr>
          <w:p w14:paraId="57F4E521"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Week 7 test to document</w:t>
            </w:r>
          </w:p>
        </w:tc>
        <w:tc>
          <w:tcPr>
            <w:tcW w:w="1440" w:type="dxa"/>
          </w:tcPr>
          <w:p w14:paraId="6906FAF4"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Pending</w:t>
            </w:r>
          </w:p>
        </w:tc>
        <w:tc>
          <w:tcPr>
            <w:tcW w:w="1440" w:type="dxa"/>
          </w:tcPr>
          <w:p w14:paraId="4BD645EC"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Validate by group</w:t>
            </w:r>
          </w:p>
        </w:tc>
      </w:tr>
      <w:tr w:rsidR="00707352" w:rsidRPr="005F14B8" w14:paraId="1B49939F" w14:textId="77777777" w:rsidTr="00DD53F2">
        <w:trPr>
          <w:jc w:val="center"/>
        </w:trPr>
        <w:tc>
          <w:tcPr>
            <w:tcW w:w="1440" w:type="dxa"/>
          </w:tcPr>
          <w:p w14:paraId="591DF6AC"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Previous no-shows</w:t>
            </w:r>
          </w:p>
        </w:tc>
        <w:tc>
          <w:tcPr>
            <w:tcW w:w="1440" w:type="dxa"/>
          </w:tcPr>
          <w:p w14:paraId="6D8CFBA0"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Grouped no-show rates</w:t>
            </w:r>
          </w:p>
        </w:tc>
        <w:tc>
          <w:tcPr>
            <w:tcW w:w="1440" w:type="dxa"/>
          </w:tcPr>
          <w:p w14:paraId="549E0C7B" w14:textId="13A81E6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Pattern remains</w:t>
            </w:r>
          </w:p>
        </w:tc>
        <w:tc>
          <w:tcPr>
            <w:tcW w:w="1440" w:type="dxa"/>
          </w:tcPr>
          <w:p w14:paraId="4E519F21"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Week 7 test to document</w:t>
            </w:r>
          </w:p>
        </w:tc>
        <w:tc>
          <w:tcPr>
            <w:tcW w:w="1440" w:type="dxa"/>
          </w:tcPr>
          <w:p w14:paraId="2C5283AA"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Pending</w:t>
            </w:r>
          </w:p>
        </w:tc>
        <w:tc>
          <w:tcPr>
            <w:tcW w:w="1440" w:type="dxa"/>
          </w:tcPr>
          <w:p w14:paraId="7491DFF4" w14:textId="77777777" w:rsidR="00707352" w:rsidRPr="005F14B8" w:rsidRDefault="00707352" w:rsidP="00DD53F2">
            <w:pPr>
              <w:rPr>
                <w:rFonts w:ascii="Times New Roman" w:hAnsi="Times New Roman" w:cs="Times New Roman"/>
                <w:sz w:val="24"/>
                <w:szCs w:val="24"/>
              </w:rPr>
            </w:pPr>
            <w:r w:rsidRPr="005F14B8">
              <w:rPr>
                <w:rFonts w:ascii="Times New Roman" w:hAnsi="Times New Roman" w:cs="Times New Roman"/>
                <w:sz w:val="24"/>
                <w:szCs w:val="24"/>
              </w:rPr>
              <w:t>Validate with counts</w:t>
            </w:r>
          </w:p>
        </w:tc>
      </w:tr>
    </w:tbl>
    <w:p w14:paraId="1AC6BD99" w14:textId="77777777" w:rsidR="00707352" w:rsidRPr="005F14B8" w:rsidRDefault="00707352" w:rsidP="00707352">
      <w:pPr>
        <w:rPr>
          <w:rFonts w:ascii="Times New Roman" w:hAnsi="Times New Roman" w:cs="Times New Roman"/>
          <w:sz w:val="24"/>
          <w:szCs w:val="24"/>
        </w:rPr>
      </w:pPr>
    </w:p>
    <w:p w14:paraId="4A651AF7" w14:textId="188646ED" w:rsidR="00707352" w:rsidRPr="005F14B8" w:rsidRDefault="005F14B8" w:rsidP="00707352">
      <w:pPr>
        <w:rPr>
          <w:rFonts w:ascii="Times New Roman" w:hAnsi="Times New Roman" w:cs="Times New Roman"/>
          <w:b/>
          <w:bCs/>
          <w:sz w:val="24"/>
          <w:szCs w:val="24"/>
        </w:rPr>
      </w:pPr>
      <w:r w:rsidRPr="005F14B8">
        <w:rPr>
          <w:rFonts w:ascii="Times New Roman" w:hAnsi="Times New Roman" w:cs="Times New Roman"/>
          <w:b/>
          <w:bCs/>
          <w:sz w:val="24"/>
          <w:szCs w:val="24"/>
        </w:rPr>
        <w:t>Key Limitation To Carry Forward</w:t>
      </w:r>
    </w:p>
    <w:p w14:paraId="7B25591B" w14:textId="77777777" w:rsidR="005F14B8" w:rsidRPr="005F14B8" w:rsidRDefault="005F14B8" w:rsidP="00707352">
      <w:pPr>
        <w:rPr>
          <w:rFonts w:ascii="Times New Roman" w:hAnsi="Times New Roman" w:cs="Times New Roman"/>
          <w:sz w:val="24"/>
          <w:szCs w:val="24"/>
        </w:rPr>
      </w:pPr>
    </w:p>
    <w:p w14:paraId="4C001366" w14:textId="77777777" w:rsidR="005F14B8" w:rsidRPr="005F14B8" w:rsidRDefault="005F14B8" w:rsidP="005F14B8">
      <w:pPr>
        <w:pStyle w:val="ListBullet"/>
        <w:rPr>
          <w:rFonts w:ascii="Times New Roman" w:hAnsi="Times New Roman" w:cs="Times New Roman"/>
          <w:sz w:val="24"/>
          <w:szCs w:val="24"/>
        </w:rPr>
      </w:pPr>
      <w:r w:rsidRPr="005F14B8">
        <w:rPr>
          <w:rFonts w:ascii="Times New Roman" w:hAnsi="Times New Roman" w:cs="Times New Roman"/>
          <w:sz w:val="24"/>
          <w:szCs w:val="24"/>
        </w:rPr>
        <w:t>The dataset is fictional and may not represent real-world patient behaviour.</w:t>
      </w:r>
    </w:p>
    <w:p w14:paraId="39F50BB1" w14:textId="77777777" w:rsidR="005F14B8" w:rsidRPr="005F14B8" w:rsidRDefault="005F14B8" w:rsidP="005F14B8">
      <w:pPr>
        <w:pStyle w:val="ListBullet"/>
        <w:rPr>
          <w:rFonts w:ascii="Times New Roman" w:hAnsi="Times New Roman" w:cs="Times New Roman"/>
          <w:sz w:val="24"/>
          <w:szCs w:val="24"/>
        </w:rPr>
      </w:pPr>
      <w:r w:rsidRPr="005F14B8">
        <w:rPr>
          <w:rFonts w:ascii="Times New Roman" w:hAnsi="Times New Roman" w:cs="Times New Roman"/>
          <w:sz w:val="24"/>
          <w:szCs w:val="24"/>
        </w:rPr>
        <w:t>Distance to clinic and waiting time contain missing values.</w:t>
      </w:r>
    </w:p>
    <w:p w14:paraId="08CE64C3" w14:textId="77777777" w:rsidR="005F14B8" w:rsidRPr="005F14B8" w:rsidRDefault="005F14B8" w:rsidP="005F14B8">
      <w:pPr>
        <w:pStyle w:val="ListBullet"/>
        <w:rPr>
          <w:rFonts w:ascii="Times New Roman" w:hAnsi="Times New Roman" w:cs="Times New Roman"/>
          <w:sz w:val="24"/>
          <w:szCs w:val="24"/>
        </w:rPr>
      </w:pPr>
      <w:r w:rsidRPr="005F14B8">
        <w:rPr>
          <w:rFonts w:ascii="Times New Roman" w:hAnsi="Times New Roman" w:cs="Times New Roman"/>
          <w:sz w:val="24"/>
          <w:szCs w:val="24"/>
        </w:rPr>
        <w:t>The SQL KPI discrepancy must be resolved before finalising cross-tool validation.</w:t>
      </w:r>
    </w:p>
    <w:p w14:paraId="70FC500C" w14:textId="77777777" w:rsidR="005F14B8" w:rsidRPr="005F14B8" w:rsidRDefault="005F14B8" w:rsidP="005F14B8">
      <w:pPr>
        <w:pStyle w:val="ListBullet"/>
        <w:rPr>
          <w:rFonts w:ascii="Times New Roman" w:hAnsi="Times New Roman" w:cs="Times New Roman"/>
          <w:sz w:val="24"/>
          <w:szCs w:val="24"/>
        </w:rPr>
      </w:pPr>
      <w:r w:rsidRPr="005F14B8">
        <w:rPr>
          <w:rFonts w:ascii="Times New Roman" w:hAnsi="Times New Roman" w:cs="Times New Roman"/>
          <w:sz w:val="24"/>
          <w:szCs w:val="24"/>
        </w:rPr>
        <w:t>The available variables may not capture all factors affecting attendance.</w:t>
      </w:r>
    </w:p>
    <w:p w14:paraId="6EBD6E5B" w14:textId="77777777" w:rsidR="005F14B8" w:rsidRPr="005F14B8" w:rsidRDefault="005F14B8" w:rsidP="005F14B8">
      <w:pPr>
        <w:pStyle w:val="ListBullet"/>
        <w:rPr>
          <w:rFonts w:ascii="Times New Roman" w:hAnsi="Times New Roman" w:cs="Times New Roman"/>
          <w:sz w:val="24"/>
          <w:szCs w:val="24"/>
        </w:rPr>
      </w:pPr>
      <w:r w:rsidRPr="005F14B8">
        <w:rPr>
          <w:rFonts w:ascii="Times New Roman" w:hAnsi="Times New Roman" w:cs="Times New Roman"/>
          <w:sz w:val="24"/>
          <w:szCs w:val="24"/>
        </w:rPr>
        <w:t>Observed associations should not be interpreted as proof of causation.</w:t>
      </w:r>
    </w:p>
    <w:p w14:paraId="45A57F92" w14:textId="77777777" w:rsidR="005F14B8" w:rsidRPr="005F14B8" w:rsidRDefault="005F14B8" w:rsidP="005F14B8">
      <w:pPr>
        <w:pStyle w:val="ListBullet"/>
        <w:numPr>
          <w:ilvl w:val="0"/>
          <w:numId w:val="0"/>
        </w:numPr>
        <w:rPr>
          <w:rFonts w:ascii="Times New Roman" w:hAnsi="Times New Roman" w:cs="Times New Roman"/>
          <w:sz w:val="24"/>
          <w:szCs w:val="24"/>
        </w:rPr>
      </w:pPr>
    </w:p>
    <w:p w14:paraId="720C2053" w14:textId="1CAE7A88" w:rsidR="00707352" w:rsidRPr="005F14B8" w:rsidRDefault="005F14B8" w:rsidP="005F14B8">
      <w:pPr>
        <w:pStyle w:val="ListBullet"/>
        <w:numPr>
          <w:ilvl w:val="0"/>
          <w:numId w:val="0"/>
        </w:numPr>
        <w:rPr>
          <w:rFonts w:ascii="Times New Roman" w:hAnsi="Times New Roman" w:cs="Times New Roman"/>
          <w:b/>
          <w:bCs/>
          <w:sz w:val="24"/>
          <w:szCs w:val="24"/>
        </w:rPr>
      </w:pPr>
      <w:r w:rsidRPr="005F14B8">
        <w:rPr>
          <w:rFonts w:ascii="Times New Roman" w:hAnsi="Times New Roman" w:cs="Times New Roman"/>
          <w:b/>
          <w:bCs/>
          <w:sz w:val="24"/>
          <w:szCs w:val="24"/>
        </w:rPr>
        <w:t>Week 7 Summary</w:t>
      </w:r>
    </w:p>
    <w:p w14:paraId="3F451AB2" w14:textId="77777777" w:rsidR="005F14B8" w:rsidRPr="005F14B8" w:rsidRDefault="005F14B8" w:rsidP="005F14B8">
      <w:pPr>
        <w:rPr>
          <w:rFonts w:ascii="Times New Roman" w:hAnsi="Times New Roman" w:cs="Times New Roman"/>
          <w:sz w:val="24"/>
          <w:szCs w:val="24"/>
        </w:rPr>
      </w:pPr>
      <w:r w:rsidRPr="005F14B8">
        <w:rPr>
          <w:rFonts w:ascii="Times New Roman" w:hAnsi="Times New Roman" w:cs="Times New Roman"/>
          <w:sz w:val="24"/>
          <w:szCs w:val="24"/>
        </w:rPr>
        <w:t>The Week 7 approach is to move from observed patterns to validated analytical evidence. The main priorities are to reconcile the SQL KPI discrepancy, validate booking lead time and previous no-show findings against the underlying data, test relevant segments, verify dashboard filters and calculations, refine the dashboard, and integrate validated findings with Data Science. Material changes should be retested and documented.</w:t>
      </w:r>
    </w:p>
    <w:p w14:paraId="05ABB6D6" w14:textId="47495021" w:rsidR="00AA5AFF" w:rsidRPr="005F14B8" w:rsidRDefault="00AA5AFF" w:rsidP="005F14B8">
      <w:pPr>
        <w:rPr>
          <w:rFonts w:ascii="Times New Roman" w:hAnsi="Times New Roman" w:cs="Times New Roman"/>
          <w:sz w:val="24"/>
          <w:szCs w:val="24"/>
        </w:rPr>
      </w:pPr>
    </w:p>
    <w:sectPr w:rsidR="00AA5AFF" w:rsidRPr="005F1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4A026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5A36A4"/>
    <w:multiLevelType w:val="hybridMultilevel"/>
    <w:tmpl w:val="CBC85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323A9"/>
    <w:multiLevelType w:val="hybridMultilevel"/>
    <w:tmpl w:val="EBB4D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141F9A"/>
    <w:multiLevelType w:val="multilevel"/>
    <w:tmpl w:val="3F7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8D"/>
    <w:rsid w:val="001A71FE"/>
    <w:rsid w:val="00332761"/>
    <w:rsid w:val="005940DC"/>
    <w:rsid w:val="005F14B8"/>
    <w:rsid w:val="00625613"/>
    <w:rsid w:val="00707352"/>
    <w:rsid w:val="00900A11"/>
    <w:rsid w:val="00AA5AFF"/>
    <w:rsid w:val="00B86A8D"/>
    <w:rsid w:val="00CE1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BECED"/>
  <w15:chartTrackingRefBased/>
  <w15:docId w15:val="{53269CE9-9298-4B48-B90C-516188FD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00A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6A8D"/>
    <w:pPr>
      <w:ind w:left="720"/>
      <w:contextualSpacing/>
    </w:pPr>
  </w:style>
  <w:style w:type="table" w:styleId="TableGrid">
    <w:name w:val="Table Grid"/>
    <w:basedOn w:val="TableNormal"/>
    <w:uiPriority w:val="59"/>
    <w:rsid w:val="0070735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F14B8"/>
    <w:pPr>
      <w:numPr>
        <w:numId w:val="2"/>
      </w:numPr>
      <w:spacing w:after="200" w:line="276" w:lineRule="auto"/>
      <w:contextualSpacing/>
    </w:pPr>
    <w:rPr>
      <w:rFonts w:ascii="Aptos" w:eastAsiaTheme="minorEastAsia" w:hAnsi="Aptos"/>
      <w:sz w:val="21"/>
    </w:rPr>
  </w:style>
  <w:style w:type="character" w:customStyle="1" w:styleId="Heading3Char">
    <w:name w:val="Heading 3 Char"/>
    <w:basedOn w:val="DefaultParagraphFont"/>
    <w:link w:val="Heading3"/>
    <w:uiPriority w:val="9"/>
    <w:rsid w:val="00900A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0A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0A11"/>
    <w:rPr>
      <w:b/>
      <w:bCs/>
    </w:rPr>
  </w:style>
  <w:style w:type="character" w:styleId="HTMLCode">
    <w:name w:val="HTML Code"/>
    <w:basedOn w:val="DefaultParagraphFont"/>
    <w:uiPriority w:val="99"/>
    <w:semiHidden/>
    <w:unhideWhenUsed/>
    <w:rsid w:val="00900A1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00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0A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303438">
      <w:bodyDiv w:val="1"/>
      <w:marLeft w:val="0"/>
      <w:marRight w:val="0"/>
      <w:marTop w:val="0"/>
      <w:marBottom w:val="0"/>
      <w:divBdr>
        <w:top w:val="none" w:sz="0" w:space="0" w:color="auto"/>
        <w:left w:val="none" w:sz="0" w:space="0" w:color="auto"/>
        <w:bottom w:val="none" w:sz="0" w:space="0" w:color="auto"/>
        <w:right w:val="none" w:sz="0" w:space="0" w:color="auto"/>
      </w:divBdr>
      <w:divsChild>
        <w:div w:id="1233009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717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38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4</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2026-09-17T14:25:00Z</dcterms:created>
  <dcterms:modified xsi:type="dcterms:W3CDTF">2026-09-20T16:23:00Z</dcterms:modified>
</cp:coreProperties>
</file>