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D3D57" w14:textId="77777777" w:rsidR="007A4EA7" w:rsidRDefault="007A4EA7" w:rsidP="007A4EA7">
      <w:pPr>
        <w:jc w:val="center"/>
      </w:pPr>
      <w:r>
        <w:rPr>
          <w:b/>
          <w:color w:val="144770"/>
          <w:sz w:val="44"/>
        </w:rPr>
        <w:t>HEALTHCONNECT CLINIC</w:t>
      </w:r>
    </w:p>
    <w:p w14:paraId="3C070A7F" w14:textId="77777777" w:rsidR="007A4EA7" w:rsidRDefault="007A4EA7" w:rsidP="007A4EA7">
      <w:pPr>
        <w:jc w:val="center"/>
      </w:pPr>
      <w:r>
        <w:rPr>
          <w:b/>
          <w:color w:val="1F5E87"/>
          <w:sz w:val="36"/>
        </w:rPr>
        <w:t>WEEK 6 TRACK-SPECIFIC RESPONSE</w:t>
      </w:r>
    </w:p>
    <w:p w14:paraId="752A8672" w14:textId="7C277D2E" w:rsidR="007A4EA7" w:rsidRDefault="007A4EA7" w:rsidP="007A4EA7">
      <w:pPr>
        <w:jc w:val="center"/>
      </w:pPr>
      <w:r>
        <w:rPr>
          <w:b/>
          <w:sz w:val="22"/>
        </w:rPr>
        <w:t>Data Analytics Track | Advanced Analytics &amp; Decision Support</w:t>
      </w:r>
    </w:p>
    <w:p w14:paraId="0D78BFD6" w14:textId="11FA4AC5" w:rsidR="00CA4997" w:rsidRPr="007A4EA7" w:rsidRDefault="007A4EA7" w:rsidP="007A4EA7">
      <w:pPr>
        <w:jc w:val="center"/>
      </w:pPr>
      <w:r>
        <w:rPr>
          <w:i/>
          <w:noProof/>
        </w:rPr>
        <mc:AlternateContent>
          <mc:Choice Requires="wps">
            <w:drawing>
              <wp:anchor distT="0" distB="0" distL="114300" distR="114300" simplePos="0" relativeHeight="251659264" behindDoc="0" locked="0" layoutInCell="1" allowOverlap="1" wp14:anchorId="13DEB61D" wp14:editId="3FDEEB74">
                <wp:simplePos x="0" y="0"/>
                <wp:positionH relativeFrom="page">
                  <wp:posOffset>30822</wp:posOffset>
                </wp:positionH>
                <wp:positionV relativeFrom="paragraph">
                  <wp:posOffset>338368</wp:posOffset>
                </wp:positionV>
                <wp:extent cx="7715807" cy="61645"/>
                <wp:effectExtent l="0" t="0" r="19050" b="33655"/>
                <wp:wrapNone/>
                <wp:docPr id="3" name="Straight Connector 3"/>
                <wp:cNvGraphicFramePr/>
                <a:graphic xmlns:a="http://schemas.openxmlformats.org/drawingml/2006/main">
                  <a:graphicData uri="http://schemas.microsoft.com/office/word/2010/wordprocessingShape">
                    <wps:wsp>
                      <wps:cNvCnPr/>
                      <wps:spPr>
                        <a:xfrm flipV="1">
                          <a:off x="0" y="0"/>
                          <a:ext cx="7715807" cy="616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EF87D"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5pt,26.65pt" to="610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" strokecolor="#4472c4 [3204]" strokeweight=".5pt">
                <v:stroke joinstyle="miter"/>
                <w10:wrap anchorx="page"/>
              </v:line>
            </w:pict>
          </mc:Fallback>
        </mc:AlternateContent>
      </w:r>
      <w:r>
        <w:rPr>
          <w:i/>
        </w:rPr>
        <w:t>Appointment Attendance &amp; No-Show Analysis</w:t>
      </w:r>
      <w:r>
        <w:rPr>
          <w:i/>
        </w:rPr>
        <w:br/>
        <w:t>Prepared by: Dawodu Fehintoluwa Bukola</w:t>
      </w:r>
    </w:p>
    <w:p w14:paraId="35C7BBDF" w14:textId="0A79D705" w:rsidR="00B43924" w:rsidRPr="007A4EA7" w:rsidRDefault="00B43924" w:rsidP="007A4EA7">
      <w:pPr>
        <w:pStyle w:val="ListParagraph"/>
        <w:numPr>
          <w:ilvl w:val="0"/>
          <w:numId w:val="2"/>
        </w:numPr>
        <w:jc w:val="both"/>
        <w:rPr>
          <w:rFonts w:ascii="Times New Roman" w:hAnsi="Times New Roman" w:cs="Times New Roman"/>
          <w:sz w:val="28"/>
          <w:szCs w:val="28"/>
        </w:rPr>
      </w:pPr>
      <w:r w:rsidRPr="007A4EA7">
        <w:rPr>
          <w:rFonts w:ascii="Times New Roman" w:hAnsi="Times New Roman" w:cs="Times New Roman"/>
          <w:b/>
          <w:sz w:val="28"/>
          <w:szCs w:val="28"/>
        </w:rPr>
        <w:t xml:space="preserve">Week5 </w:t>
      </w:r>
      <w:r w:rsidRPr="007A4EA7">
        <w:rPr>
          <w:rFonts w:ascii="Times New Roman" w:hAnsi="Times New Roman" w:cs="Times New Roman"/>
          <w:sz w:val="28"/>
          <w:szCs w:val="28"/>
        </w:rPr>
        <w:t xml:space="preserve"> → </w:t>
      </w:r>
      <w:r w:rsidRPr="007A4EA7">
        <w:rPr>
          <w:rFonts w:ascii="Times New Roman" w:hAnsi="Times New Roman" w:cs="Times New Roman"/>
          <w:b/>
          <w:sz w:val="28"/>
          <w:szCs w:val="28"/>
        </w:rPr>
        <w:t>Week 6</w:t>
      </w:r>
    </w:p>
    <w:p w14:paraId="5114828C" w14:textId="7FA69353" w:rsidR="00B43924" w:rsidRPr="007A4EA7" w:rsidRDefault="00B43924" w:rsidP="007A4EA7">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Week 5 output: </w:t>
      </w:r>
      <w:r w:rsidRPr="00CD39C6">
        <w:rPr>
          <w:rFonts w:ascii="Times New Roman" w:hAnsi="Times New Roman" w:cs="Times New Roman"/>
          <w:color w:val="auto"/>
          <w:sz w:val="24"/>
          <w:szCs w:val="24"/>
        </w:rPr>
        <w:t>Initial Power BI dashboard and exploratory analysis of appointment attendance, no-shows and cancellations.</w:t>
      </w:r>
    </w:p>
    <w:p w14:paraId="1AE12016" w14:textId="77777777" w:rsidR="00B43924" w:rsidRPr="007A4EA7" w:rsidRDefault="00B43924" w:rsidP="007A4EA7">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Key Week 5 findings: </w:t>
      </w:r>
      <w:r w:rsidRPr="00CD39C6">
        <w:rPr>
          <w:rFonts w:ascii="Times New Roman" w:hAnsi="Times New Roman" w:cs="Times New Roman"/>
          <w:color w:val="auto"/>
          <w:sz w:val="24"/>
          <w:szCs w:val="24"/>
        </w:rPr>
        <w:t>No-shows were the largest appointment outcome at 48.46%, followed by attendance at 46.28% and cancellations at 5.26%. Previous no-show history, booking lead time and reminder patterns were identified as important areas for deeper investigation</w:t>
      </w:r>
      <w:r w:rsidRPr="007A4EA7">
        <w:rPr>
          <w:rFonts w:ascii="Times New Roman" w:hAnsi="Times New Roman" w:cs="Times New Roman"/>
          <w:sz w:val="24"/>
          <w:szCs w:val="24"/>
        </w:rPr>
        <w:t>.</w:t>
      </w:r>
    </w:p>
    <w:p w14:paraId="1EEBA48D" w14:textId="5469ED0D" w:rsidR="00B43924" w:rsidRPr="007A4EA7" w:rsidRDefault="00B43924" w:rsidP="007A4EA7">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Week 6 objective: </w:t>
      </w:r>
      <w:r w:rsidRPr="00CD39C6">
        <w:rPr>
          <w:rFonts w:ascii="Times New Roman" w:hAnsi="Times New Roman" w:cs="Times New Roman"/>
          <w:color w:val="auto"/>
          <w:sz w:val="24"/>
          <w:szCs w:val="24"/>
        </w:rPr>
        <w:t>Move beyond descriptive analysis by investigating these patterns in greater depth, validating the Week 5 KPIs, improving the dashboard and integrating relevant findings with the Data Science track.</w:t>
      </w:r>
    </w:p>
    <w:p w14:paraId="5ABBEBDB" w14:textId="35613734" w:rsidR="00B43924" w:rsidRPr="00AC35C7" w:rsidRDefault="00B43924" w:rsidP="007A4EA7">
      <w:pPr>
        <w:pStyle w:val="ListParagraph"/>
        <w:numPr>
          <w:ilvl w:val="0"/>
          <w:numId w:val="2"/>
        </w:numPr>
        <w:jc w:val="both"/>
        <w:rPr>
          <w:rFonts w:ascii="Times New Roman" w:hAnsi="Times New Roman" w:cs="Times New Roman"/>
          <w:sz w:val="28"/>
          <w:szCs w:val="28"/>
        </w:rPr>
      </w:pPr>
      <w:r w:rsidRPr="007A4EA7">
        <w:rPr>
          <w:rFonts w:ascii="Times New Roman" w:hAnsi="Times New Roman" w:cs="Times New Roman"/>
          <w:b/>
          <w:sz w:val="28"/>
          <w:szCs w:val="28"/>
        </w:rPr>
        <w:t>Integration with Data Science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6904"/>
      </w:tblGrid>
      <w:tr w:rsidR="00CD39C6" w:rsidRPr="00F47748" w14:paraId="0BE15A6C" w14:textId="77777777" w:rsidTr="00CD39C6">
        <w:trPr>
          <w:tblHeader/>
          <w:tblCellSpacing w:w="15" w:type="dxa"/>
        </w:trPr>
        <w:tc>
          <w:tcPr>
            <w:tcW w:w="0" w:type="auto"/>
            <w:vAlign w:val="center"/>
            <w:hideMark/>
          </w:tcPr>
          <w:p w14:paraId="728A63D2" w14:textId="77777777" w:rsidR="00CD39C6" w:rsidRPr="00F47748" w:rsidRDefault="00CD39C6" w:rsidP="00684C27">
            <w:pPr>
              <w:spacing w:after="0" w:line="240" w:lineRule="auto"/>
              <w:jc w:val="center"/>
              <w:rPr>
                <w:rFonts w:ascii="Times New Roman" w:eastAsia="Times New Roman" w:hAnsi="Times New Roman" w:cs="Times New Roman"/>
                <w:b/>
                <w:bCs/>
                <w:color w:val="auto"/>
                <w:sz w:val="24"/>
                <w:szCs w:val="24"/>
              </w:rPr>
            </w:pPr>
            <w:r w:rsidRPr="00F47748">
              <w:rPr>
                <w:rFonts w:ascii="Times New Roman" w:eastAsia="Times New Roman" w:hAnsi="Times New Roman" w:cs="Times New Roman"/>
                <w:b/>
                <w:bCs/>
                <w:color w:val="auto"/>
                <w:sz w:val="24"/>
                <w:szCs w:val="24"/>
              </w:rPr>
              <w:t>Question</w:t>
            </w:r>
          </w:p>
        </w:tc>
        <w:tc>
          <w:tcPr>
            <w:tcW w:w="0" w:type="auto"/>
            <w:vAlign w:val="center"/>
            <w:hideMark/>
          </w:tcPr>
          <w:p w14:paraId="42247676" w14:textId="77777777" w:rsidR="00CD39C6" w:rsidRPr="00F47748" w:rsidRDefault="00CD39C6" w:rsidP="00684C27">
            <w:pPr>
              <w:spacing w:after="0" w:line="240" w:lineRule="auto"/>
              <w:jc w:val="center"/>
              <w:rPr>
                <w:rFonts w:ascii="Times New Roman" w:eastAsia="Times New Roman" w:hAnsi="Times New Roman" w:cs="Times New Roman"/>
                <w:b/>
                <w:bCs/>
                <w:color w:val="auto"/>
                <w:sz w:val="24"/>
                <w:szCs w:val="24"/>
              </w:rPr>
            </w:pPr>
            <w:r w:rsidRPr="00F47748">
              <w:rPr>
                <w:rFonts w:ascii="Times New Roman" w:eastAsia="Times New Roman" w:hAnsi="Times New Roman" w:cs="Times New Roman"/>
                <w:b/>
                <w:bCs/>
                <w:color w:val="auto"/>
                <w:sz w:val="24"/>
                <w:szCs w:val="24"/>
              </w:rPr>
              <w:t>Response</w:t>
            </w:r>
          </w:p>
        </w:tc>
      </w:tr>
      <w:tr w:rsidR="00CD39C6" w:rsidRPr="00F47748" w14:paraId="301D43E2" w14:textId="77777777" w:rsidTr="00CD39C6">
        <w:trPr>
          <w:tblCellSpacing w:w="15" w:type="dxa"/>
        </w:trPr>
        <w:tc>
          <w:tcPr>
            <w:tcW w:w="0" w:type="auto"/>
            <w:vAlign w:val="center"/>
            <w:hideMark/>
          </w:tcPr>
          <w:p w14:paraId="5F5694A2"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1. Track collaborated with</w:t>
            </w:r>
          </w:p>
        </w:tc>
        <w:tc>
          <w:tcPr>
            <w:tcW w:w="0" w:type="auto"/>
            <w:vAlign w:val="center"/>
            <w:hideMark/>
          </w:tcPr>
          <w:p w14:paraId="1790FBEC"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Data Science Track</w:t>
            </w:r>
          </w:p>
        </w:tc>
      </w:tr>
      <w:tr w:rsidR="00CD39C6" w:rsidRPr="00F47748" w14:paraId="370706BE" w14:textId="77777777" w:rsidTr="00CD39C6">
        <w:trPr>
          <w:tblCellSpacing w:w="15" w:type="dxa"/>
        </w:trPr>
        <w:tc>
          <w:tcPr>
            <w:tcW w:w="0" w:type="auto"/>
            <w:vAlign w:val="center"/>
            <w:hideMark/>
          </w:tcPr>
          <w:p w14:paraId="6DC202F3"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2. Project dependency</w:t>
            </w:r>
          </w:p>
        </w:tc>
        <w:tc>
          <w:tcPr>
            <w:tcW w:w="0" w:type="auto"/>
            <w:vAlign w:val="center"/>
            <w:hideMark/>
          </w:tcPr>
          <w:p w14:paraId="46F819EA"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Data Science modelling findings were used to assess the predictive relevance of patterns identified through Data Analytics.</w:t>
            </w:r>
          </w:p>
        </w:tc>
      </w:tr>
      <w:tr w:rsidR="00CD39C6" w:rsidRPr="00F47748" w14:paraId="1C79957F" w14:textId="77777777" w:rsidTr="00CD39C6">
        <w:trPr>
          <w:tblCellSpacing w:w="15" w:type="dxa"/>
        </w:trPr>
        <w:tc>
          <w:tcPr>
            <w:tcW w:w="0" w:type="auto"/>
            <w:vAlign w:val="center"/>
            <w:hideMark/>
          </w:tcPr>
          <w:p w14:paraId="239A6D9C"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3. Information/output received</w:t>
            </w:r>
          </w:p>
        </w:tc>
        <w:tc>
          <w:tcPr>
            <w:tcW w:w="0" w:type="auto"/>
            <w:vAlign w:val="center"/>
            <w:hideMark/>
          </w:tcPr>
          <w:p w14:paraId="766BB131"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Model comparison results for Logistic Regression, Random Forest and Gradient Boosting; Gradient Boosting performed best at ~65% accuracy, ~65% recall, ~65% F1 and 0.68 ROC-AUC.</w:t>
            </w:r>
          </w:p>
        </w:tc>
      </w:tr>
      <w:tr w:rsidR="00CD39C6" w:rsidRPr="00F47748" w14:paraId="4E9462CC" w14:textId="77777777" w:rsidTr="00CD39C6">
        <w:trPr>
          <w:tblCellSpacing w:w="15" w:type="dxa"/>
        </w:trPr>
        <w:tc>
          <w:tcPr>
            <w:tcW w:w="0" w:type="auto"/>
            <w:vAlign w:val="center"/>
            <w:hideMark/>
          </w:tcPr>
          <w:p w14:paraId="7F68E3CD"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4. Information/output provided</w:t>
            </w:r>
          </w:p>
        </w:tc>
        <w:tc>
          <w:tcPr>
            <w:tcW w:w="0" w:type="auto"/>
            <w:vAlign w:val="center"/>
            <w:hideMark/>
          </w:tcPr>
          <w:p w14:paraId="75F8384A"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Findings on booking lead time, previous no-show history, reminder status and reminder patterns by appointment type.</w:t>
            </w:r>
          </w:p>
        </w:tc>
      </w:tr>
      <w:tr w:rsidR="00CD39C6" w:rsidRPr="00F47748" w14:paraId="3E619FAB" w14:textId="77777777" w:rsidTr="00CD39C6">
        <w:trPr>
          <w:tblCellSpacing w:w="15" w:type="dxa"/>
        </w:trPr>
        <w:tc>
          <w:tcPr>
            <w:tcW w:w="0" w:type="auto"/>
            <w:vAlign w:val="center"/>
            <w:hideMark/>
          </w:tcPr>
          <w:p w14:paraId="2D9F05F3"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5. Integration activity completed</w:t>
            </w:r>
          </w:p>
        </w:tc>
        <w:tc>
          <w:tcPr>
            <w:tcW w:w="0" w:type="auto"/>
            <w:vAlign w:val="center"/>
            <w:hideMark/>
          </w:tcPr>
          <w:p w14:paraId="48B40CF3"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Compared analytical findings with model results and used them to identify/prioritise candidate predictive features and refine dashboard interpretation.</w:t>
            </w:r>
          </w:p>
        </w:tc>
      </w:tr>
      <w:tr w:rsidR="00CD39C6" w:rsidRPr="00F47748" w14:paraId="201CEAF9" w14:textId="77777777" w:rsidTr="00CD39C6">
        <w:trPr>
          <w:tblCellSpacing w:w="15" w:type="dxa"/>
        </w:trPr>
        <w:tc>
          <w:tcPr>
            <w:tcW w:w="0" w:type="auto"/>
            <w:vAlign w:val="center"/>
            <w:hideMark/>
          </w:tcPr>
          <w:p w14:paraId="42373159"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6. What changed as a result</w:t>
            </w:r>
          </w:p>
        </w:tc>
        <w:tc>
          <w:tcPr>
            <w:tcW w:w="0" w:type="auto"/>
            <w:vAlign w:val="center"/>
            <w:hideMark/>
          </w:tcPr>
          <w:p w14:paraId="5A6CEF15"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Booking lead time and previous no-show history were strengthened as priority variables for further predictive investigation and decision support; dashboard/recommendations were refined.</w:t>
            </w:r>
          </w:p>
        </w:tc>
      </w:tr>
      <w:tr w:rsidR="00CD39C6" w:rsidRPr="00F47748" w14:paraId="4A8D8A40" w14:textId="77777777" w:rsidTr="00CD39C6">
        <w:trPr>
          <w:tblCellSpacing w:w="15" w:type="dxa"/>
        </w:trPr>
        <w:tc>
          <w:tcPr>
            <w:tcW w:w="0" w:type="auto"/>
            <w:vAlign w:val="center"/>
            <w:hideMark/>
          </w:tcPr>
          <w:p w14:paraId="106F0CFB"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b/>
                <w:bCs/>
                <w:color w:val="auto"/>
                <w:sz w:val="24"/>
                <w:szCs w:val="24"/>
              </w:rPr>
              <w:t>7. Evidence</w:t>
            </w:r>
          </w:p>
        </w:tc>
        <w:tc>
          <w:tcPr>
            <w:tcW w:w="0" w:type="auto"/>
            <w:vAlign w:val="center"/>
            <w:hideMark/>
          </w:tcPr>
          <w:p w14:paraId="0F51A758" w14:textId="77777777" w:rsidR="00CD39C6" w:rsidRPr="00F47748" w:rsidRDefault="00CD39C6" w:rsidP="00684C27">
            <w:pPr>
              <w:spacing w:after="0" w:line="240" w:lineRule="auto"/>
              <w:rPr>
                <w:rFonts w:ascii="Times New Roman" w:eastAsia="Times New Roman" w:hAnsi="Times New Roman" w:cs="Times New Roman"/>
                <w:color w:val="auto"/>
                <w:sz w:val="24"/>
                <w:szCs w:val="24"/>
              </w:rPr>
            </w:pPr>
            <w:r w:rsidRPr="00F47748">
              <w:rPr>
                <w:rFonts w:ascii="Times New Roman" w:eastAsia="Times New Roman" w:hAnsi="Times New Roman" w:cs="Times New Roman"/>
                <w:color w:val="auto"/>
                <w:sz w:val="24"/>
                <w:szCs w:val="24"/>
              </w:rPr>
              <w:t>Updated Power BI dashboard, Week 6 Track-Specific Response, model comparison results, and documented cross-track integration evidence.</w:t>
            </w:r>
          </w:p>
        </w:tc>
      </w:tr>
    </w:tbl>
    <w:p w14:paraId="6D8F8EDE" w14:textId="77777777" w:rsidR="00AC35C7" w:rsidRPr="00AC35C7" w:rsidRDefault="00AC35C7" w:rsidP="00AC35C7">
      <w:pPr>
        <w:pStyle w:val="ListParagraph"/>
        <w:ind w:left="360"/>
        <w:jc w:val="both"/>
      </w:pPr>
    </w:p>
    <w:p w14:paraId="6205EF23" w14:textId="77777777" w:rsidR="00B43924" w:rsidRPr="007A4EA7" w:rsidRDefault="00B43924" w:rsidP="007A4EA7">
      <w:pPr>
        <w:jc w:val="both"/>
        <w:rPr>
          <w:rFonts w:ascii="Times New Roman" w:hAnsi="Times New Roman" w:cs="Times New Roman"/>
          <w:sz w:val="24"/>
          <w:szCs w:val="24"/>
        </w:rPr>
      </w:pPr>
    </w:p>
    <w:p w14:paraId="0BB54C69" w14:textId="79E8D656" w:rsidR="00B43924" w:rsidRPr="007A4EA7" w:rsidRDefault="00B43924" w:rsidP="007A4EA7">
      <w:pPr>
        <w:pStyle w:val="ListParagraph"/>
        <w:numPr>
          <w:ilvl w:val="0"/>
          <w:numId w:val="2"/>
        </w:numPr>
        <w:jc w:val="both"/>
        <w:rPr>
          <w:rFonts w:ascii="Times New Roman" w:hAnsi="Times New Roman" w:cs="Times New Roman"/>
          <w:b/>
          <w:bCs/>
          <w:sz w:val="24"/>
          <w:szCs w:val="24"/>
        </w:rPr>
      </w:pPr>
      <w:r w:rsidRPr="007A4EA7">
        <w:rPr>
          <w:rFonts w:ascii="Times New Roman" w:hAnsi="Times New Roman" w:cs="Times New Roman"/>
          <w:b/>
          <w:bCs/>
          <w:sz w:val="24"/>
          <w:szCs w:val="24"/>
        </w:rPr>
        <w:t>Advanced analysis and Findings</w:t>
      </w:r>
    </w:p>
    <w:p w14:paraId="69BCBA8D" w14:textId="0DB08085" w:rsidR="00B43924" w:rsidRPr="007A4EA7" w:rsidRDefault="00B43924" w:rsidP="00080276">
      <w:pPr>
        <w:pStyle w:val="ListParagraph"/>
        <w:numPr>
          <w:ilvl w:val="1"/>
          <w:numId w:val="2"/>
        </w:numPr>
        <w:spacing w:line="240" w:lineRule="auto"/>
        <w:jc w:val="both"/>
        <w:rPr>
          <w:rFonts w:ascii="Times New Roman" w:hAnsi="Times New Roman" w:cs="Times New Roman"/>
          <w:b/>
          <w:sz w:val="24"/>
          <w:szCs w:val="24"/>
        </w:rPr>
      </w:pPr>
      <w:r w:rsidRPr="007A4EA7">
        <w:rPr>
          <w:rFonts w:ascii="Times New Roman" w:hAnsi="Times New Roman" w:cs="Times New Roman"/>
          <w:b/>
          <w:sz w:val="24"/>
          <w:szCs w:val="24"/>
        </w:rPr>
        <w:t>Booking Lead Time</w:t>
      </w:r>
    </w:p>
    <w:p w14:paraId="7C03F40E" w14:textId="21D4548F" w:rsidR="00B43924" w:rsidRPr="007A4EA7" w:rsidRDefault="00B43924" w:rsidP="00080276">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Finding: </w:t>
      </w:r>
      <w:r w:rsidRPr="00CD39C6">
        <w:rPr>
          <w:rFonts w:ascii="Times New Roman" w:hAnsi="Times New Roman" w:cs="Times New Roman"/>
          <w:color w:val="auto"/>
          <w:sz w:val="24"/>
          <w:szCs w:val="24"/>
        </w:rPr>
        <w:t>Further analysis of booking lead days showed a relationship with attendance. In this dataset, attendance rate decreases as booking lead days increase, while the no-show pattern moves in the opposite direction.</w:t>
      </w:r>
    </w:p>
    <w:p w14:paraId="3EB6AE9A" w14:textId="309495D8" w:rsidR="00B43924" w:rsidRPr="00CD39C6" w:rsidRDefault="00B43924" w:rsidP="00080276">
      <w:pPr>
        <w:pStyle w:val="ListParagraph"/>
        <w:spacing w:line="240" w:lineRule="auto"/>
        <w:ind w:left="0"/>
        <w:jc w:val="both"/>
        <w:rPr>
          <w:rFonts w:ascii="Times New Roman" w:hAnsi="Times New Roman" w:cs="Times New Roman"/>
          <w:color w:val="auto"/>
          <w:sz w:val="24"/>
          <w:szCs w:val="24"/>
        </w:rPr>
      </w:pPr>
      <w:r w:rsidRPr="007A4EA7">
        <w:rPr>
          <w:rFonts w:ascii="Times New Roman" w:hAnsi="Times New Roman" w:cs="Times New Roman"/>
          <w:b/>
          <w:sz w:val="24"/>
          <w:szCs w:val="24"/>
        </w:rPr>
        <w:t xml:space="preserve">Business relevance: </w:t>
      </w:r>
      <w:r w:rsidRPr="00CD39C6">
        <w:rPr>
          <w:rFonts w:ascii="Times New Roman" w:hAnsi="Times New Roman" w:cs="Times New Roman"/>
          <w:color w:val="auto"/>
          <w:sz w:val="24"/>
          <w:szCs w:val="24"/>
        </w:rPr>
        <w:t>Booking lead time is an important variable for patient segmentation and further predictive modelling. This is an observed association and should not be interpreted as proof that longer lead time causes missed appointments.</w:t>
      </w:r>
    </w:p>
    <w:p w14:paraId="4F455902" w14:textId="77777777" w:rsidR="00736F59" w:rsidRPr="007A4EA7" w:rsidRDefault="00736F59" w:rsidP="00080276">
      <w:pPr>
        <w:pStyle w:val="ListParagraph"/>
        <w:spacing w:line="240" w:lineRule="auto"/>
        <w:ind w:left="0"/>
        <w:jc w:val="both"/>
        <w:rPr>
          <w:rFonts w:ascii="Times New Roman" w:hAnsi="Times New Roman" w:cs="Times New Roman"/>
          <w:sz w:val="24"/>
          <w:szCs w:val="24"/>
        </w:rPr>
      </w:pPr>
    </w:p>
    <w:p w14:paraId="1CAE738E" w14:textId="1D4C023E" w:rsidR="00736F59" w:rsidRPr="007A4EA7" w:rsidRDefault="00736F59" w:rsidP="00080276">
      <w:pPr>
        <w:pStyle w:val="ListParagraph"/>
        <w:numPr>
          <w:ilvl w:val="1"/>
          <w:numId w:val="2"/>
        </w:numPr>
        <w:spacing w:line="240" w:lineRule="auto"/>
        <w:jc w:val="both"/>
        <w:rPr>
          <w:rFonts w:ascii="Times New Roman" w:hAnsi="Times New Roman" w:cs="Times New Roman"/>
          <w:b/>
          <w:sz w:val="24"/>
          <w:szCs w:val="24"/>
        </w:rPr>
      </w:pPr>
      <w:r w:rsidRPr="007A4EA7">
        <w:rPr>
          <w:rFonts w:ascii="Times New Roman" w:hAnsi="Times New Roman" w:cs="Times New Roman"/>
          <w:b/>
          <w:sz w:val="24"/>
          <w:szCs w:val="24"/>
        </w:rPr>
        <w:t>Previous No-Show History</w:t>
      </w:r>
    </w:p>
    <w:p w14:paraId="25975214" w14:textId="77777777" w:rsidR="00736F59" w:rsidRPr="007A4EA7" w:rsidRDefault="00736F59" w:rsidP="00080276">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Finding: </w:t>
      </w:r>
      <w:r w:rsidRPr="00CD39C6">
        <w:rPr>
          <w:rFonts w:ascii="Times New Roman" w:hAnsi="Times New Roman" w:cs="Times New Roman"/>
          <w:color w:val="auto"/>
          <w:sz w:val="24"/>
          <w:szCs w:val="24"/>
        </w:rPr>
        <w:t>Patients with previous no-shows showed higher rates of subsequent no-shows, with the pattern becoming more pronounced as previous no-show history increased.</w:t>
      </w:r>
    </w:p>
    <w:p w14:paraId="07FEBAED" w14:textId="22076558" w:rsidR="00736F59" w:rsidRPr="00CD39C6" w:rsidRDefault="00736F59" w:rsidP="00080276">
      <w:pPr>
        <w:spacing w:line="240" w:lineRule="auto"/>
        <w:jc w:val="both"/>
        <w:rPr>
          <w:rFonts w:ascii="Times New Roman" w:hAnsi="Times New Roman" w:cs="Times New Roman"/>
          <w:color w:val="auto"/>
          <w:sz w:val="24"/>
          <w:szCs w:val="24"/>
        </w:rPr>
      </w:pPr>
      <w:r w:rsidRPr="007A4EA7">
        <w:rPr>
          <w:rFonts w:ascii="Times New Roman" w:hAnsi="Times New Roman" w:cs="Times New Roman"/>
          <w:b/>
          <w:sz w:val="24"/>
          <w:szCs w:val="24"/>
        </w:rPr>
        <w:t xml:space="preserve">Implication: </w:t>
      </w:r>
      <w:r w:rsidRPr="00CD39C6">
        <w:rPr>
          <w:rFonts w:ascii="Times New Roman" w:hAnsi="Times New Roman" w:cs="Times New Roman"/>
          <w:color w:val="auto"/>
          <w:sz w:val="24"/>
          <w:szCs w:val="24"/>
        </w:rPr>
        <w:t>Previous no-show history can help identify higher-risk attendance segments for targeted follow-up and can be considered as a predictive modelling feature.</w:t>
      </w:r>
    </w:p>
    <w:p w14:paraId="5D9A99DE" w14:textId="7A9C72A8" w:rsidR="00736F59" w:rsidRPr="007A4EA7" w:rsidRDefault="00736F59" w:rsidP="00080276">
      <w:pPr>
        <w:pStyle w:val="ListParagraph"/>
        <w:numPr>
          <w:ilvl w:val="1"/>
          <w:numId w:val="2"/>
        </w:numPr>
        <w:spacing w:line="240" w:lineRule="auto"/>
        <w:jc w:val="both"/>
        <w:rPr>
          <w:rFonts w:ascii="Times New Roman" w:hAnsi="Times New Roman" w:cs="Times New Roman"/>
          <w:b/>
          <w:sz w:val="24"/>
          <w:szCs w:val="24"/>
        </w:rPr>
      </w:pPr>
      <w:r w:rsidRPr="007A4EA7">
        <w:rPr>
          <w:rFonts w:ascii="Times New Roman" w:hAnsi="Times New Roman" w:cs="Times New Roman"/>
          <w:b/>
          <w:sz w:val="24"/>
          <w:szCs w:val="24"/>
        </w:rPr>
        <w:t>Reminder Status and Channel</w:t>
      </w:r>
    </w:p>
    <w:p w14:paraId="6404CB13" w14:textId="77777777" w:rsidR="00736F59" w:rsidRPr="00CD39C6" w:rsidRDefault="00736F59" w:rsidP="00080276">
      <w:pPr>
        <w:spacing w:line="240" w:lineRule="auto"/>
        <w:jc w:val="both"/>
        <w:rPr>
          <w:rFonts w:ascii="Times New Roman" w:hAnsi="Times New Roman" w:cs="Times New Roman"/>
          <w:color w:val="auto"/>
          <w:sz w:val="24"/>
          <w:szCs w:val="24"/>
        </w:rPr>
      </w:pPr>
      <w:r w:rsidRPr="007A4EA7">
        <w:rPr>
          <w:rFonts w:ascii="Times New Roman" w:hAnsi="Times New Roman" w:cs="Times New Roman"/>
          <w:b/>
          <w:sz w:val="24"/>
          <w:szCs w:val="24"/>
        </w:rPr>
        <w:t xml:space="preserve">Finding: </w:t>
      </w:r>
      <w:r w:rsidRPr="00CD39C6">
        <w:rPr>
          <w:rFonts w:ascii="Times New Roman" w:hAnsi="Times New Roman" w:cs="Times New Roman"/>
          <w:color w:val="auto"/>
          <w:sz w:val="24"/>
          <w:szCs w:val="24"/>
        </w:rPr>
        <w:t>Patients who received reminders had a higher attendance rate than patients without reminders in the analysed dataset. Attendance also varied by reminder channel, with WhatsApp showing the highest attendance rate among the channels examined.</w:t>
      </w:r>
    </w:p>
    <w:p w14:paraId="26EF86DF" w14:textId="77777777" w:rsidR="00736F59" w:rsidRPr="007A4EA7" w:rsidRDefault="00736F59" w:rsidP="00080276">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Interpretation: </w:t>
      </w:r>
      <w:r w:rsidRPr="00CD39C6">
        <w:rPr>
          <w:rFonts w:ascii="Times New Roman" w:hAnsi="Times New Roman" w:cs="Times New Roman"/>
          <w:color w:val="auto"/>
          <w:sz w:val="24"/>
          <w:szCs w:val="24"/>
        </w:rPr>
        <w:t>Reminder status and channel are useful operational segments for further evaluation; however, these patterns do not establish that a reminder channel causes higher attendance.</w:t>
      </w:r>
    </w:p>
    <w:p w14:paraId="617D2D5A" w14:textId="2EC1DDC6" w:rsidR="00736F59" w:rsidRPr="007A4EA7" w:rsidRDefault="00736F59" w:rsidP="00080276">
      <w:pPr>
        <w:pStyle w:val="ListParagraph"/>
        <w:numPr>
          <w:ilvl w:val="1"/>
          <w:numId w:val="2"/>
        </w:numPr>
        <w:spacing w:line="240" w:lineRule="auto"/>
        <w:jc w:val="both"/>
        <w:rPr>
          <w:rFonts w:ascii="Times New Roman" w:hAnsi="Times New Roman" w:cs="Times New Roman"/>
          <w:b/>
          <w:sz w:val="24"/>
          <w:szCs w:val="24"/>
        </w:rPr>
      </w:pPr>
      <w:r w:rsidRPr="007A4EA7">
        <w:rPr>
          <w:rFonts w:ascii="Times New Roman" w:hAnsi="Times New Roman" w:cs="Times New Roman"/>
          <w:b/>
          <w:sz w:val="24"/>
          <w:szCs w:val="24"/>
        </w:rPr>
        <w:t>Appointment Type</w:t>
      </w:r>
    </w:p>
    <w:p w14:paraId="01727BFC" w14:textId="6E0E64D1" w:rsidR="00736F59" w:rsidRPr="007A4EA7" w:rsidRDefault="00736F59" w:rsidP="00080276">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Finding: </w:t>
      </w:r>
      <w:r w:rsidRPr="00CD39C6">
        <w:rPr>
          <w:rFonts w:ascii="Times New Roman" w:hAnsi="Times New Roman" w:cs="Times New Roman"/>
          <w:color w:val="auto"/>
          <w:sz w:val="24"/>
          <w:szCs w:val="24"/>
        </w:rPr>
        <w:t>Follow-up appointments showed a higher attendance pattern than general consultation appointments. Appointment type can therefore be useful for segmentation and further investigation.</w:t>
      </w:r>
    </w:p>
    <w:p w14:paraId="2EF765AC" w14:textId="65F3E386" w:rsidR="00736F59" w:rsidRPr="007A4EA7" w:rsidRDefault="00736F59" w:rsidP="00080276">
      <w:pPr>
        <w:pStyle w:val="ListParagraph"/>
        <w:numPr>
          <w:ilvl w:val="1"/>
          <w:numId w:val="2"/>
        </w:numPr>
        <w:spacing w:line="240" w:lineRule="auto"/>
        <w:jc w:val="both"/>
        <w:rPr>
          <w:rFonts w:ascii="Times New Roman" w:hAnsi="Times New Roman" w:cs="Times New Roman"/>
          <w:b/>
          <w:sz w:val="24"/>
          <w:szCs w:val="24"/>
        </w:rPr>
      </w:pPr>
      <w:r w:rsidRPr="007A4EA7">
        <w:rPr>
          <w:rFonts w:ascii="Times New Roman" w:hAnsi="Times New Roman" w:cs="Times New Roman"/>
          <w:b/>
          <w:sz w:val="24"/>
          <w:szCs w:val="24"/>
        </w:rPr>
        <w:t>Age Group</w:t>
      </w:r>
    </w:p>
    <w:p w14:paraId="393E8815" w14:textId="52CA021D" w:rsidR="00736F59" w:rsidRPr="007A4EA7" w:rsidRDefault="00736F59" w:rsidP="00080276">
      <w:pPr>
        <w:spacing w:line="240" w:lineRule="auto"/>
        <w:jc w:val="both"/>
        <w:rPr>
          <w:rFonts w:ascii="Times New Roman" w:hAnsi="Times New Roman" w:cs="Times New Roman"/>
          <w:sz w:val="24"/>
          <w:szCs w:val="24"/>
        </w:rPr>
      </w:pPr>
      <w:r w:rsidRPr="007A4EA7">
        <w:rPr>
          <w:rFonts w:ascii="Times New Roman" w:hAnsi="Times New Roman" w:cs="Times New Roman"/>
          <w:b/>
          <w:sz w:val="24"/>
          <w:szCs w:val="24"/>
        </w:rPr>
        <w:t xml:space="preserve">Finding: </w:t>
      </w:r>
      <w:r w:rsidRPr="00CD39C6">
        <w:rPr>
          <w:rFonts w:ascii="Times New Roman" w:hAnsi="Times New Roman" w:cs="Times New Roman"/>
          <w:color w:val="auto"/>
          <w:sz w:val="24"/>
          <w:szCs w:val="24"/>
        </w:rPr>
        <w:t>Age did not appear to materially differentiate attendance and no-show rates in the analysis. Age alone therefore does not appear to be a major explanatory factor for the observed no-show burden</w:t>
      </w:r>
    </w:p>
    <w:p w14:paraId="530C72B7" w14:textId="597B5E85" w:rsidR="00736F59" w:rsidRPr="007A4EA7" w:rsidRDefault="00736F59" w:rsidP="00080276">
      <w:pPr>
        <w:pStyle w:val="ListParagraph"/>
        <w:numPr>
          <w:ilvl w:val="1"/>
          <w:numId w:val="2"/>
        </w:numPr>
        <w:spacing w:line="240" w:lineRule="auto"/>
        <w:jc w:val="both"/>
        <w:rPr>
          <w:rFonts w:ascii="Times New Roman" w:hAnsi="Times New Roman" w:cs="Times New Roman"/>
          <w:b/>
          <w:sz w:val="24"/>
          <w:szCs w:val="24"/>
        </w:rPr>
      </w:pPr>
      <w:r w:rsidRPr="007A4EA7">
        <w:rPr>
          <w:rFonts w:ascii="Times New Roman" w:hAnsi="Times New Roman" w:cs="Times New Roman"/>
          <w:b/>
          <w:sz w:val="24"/>
          <w:szCs w:val="24"/>
        </w:rPr>
        <w:t>Appointment Day</w:t>
      </w:r>
    </w:p>
    <w:p w14:paraId="22F81679" w14:textId="411EA605" w:rsidR="00736F59" w:rsidRPr="00CD39C6" w:rsidRDefault="00736F59" w:rsidP="00080276">
      <w:pPr>
        <w:spacing w:line="240" w:lineRule="auto"/>
        <w:jc w:val="both"/>
        <w:rPr>
          <w:rFonts w:ascii="Times New Roman" w:hAnsi="Times New Roman" w:cs="Times New Roman"/>
          <w:color w:val="auto"/>
          <w:sz w:val="24"/>
          <w:szCs w:val="24"/>
        </w:rPr>
      </w:pPr>
      <w:r w:rsidRPr="007A4EA7">
        <w:rPr>
          <w:rFonts w:ascii="Times New Roman" w:hAnsi="Times New Roman" w:cs="Times New Roman"/>
          <w:b/>
          <w:sz w:val="24"/>
          <w:szCs w:val="24"/>
        </w:rPr>
        <w:t xml:space="preserve">Finding: </w:t>
      </w:r>
      <w:r w:rsidRPr="00CD39C6">
        <w:rPr>
          <w:rFonts w:ascii="Times New Roman" w:hAnsi="Times New Roman" w:cs="Times New Roman"/>
          <w:color w:val="auto"/>
          <w:sz w:val="24"/>
          <w:szCs w:val="24"/>
        </w:rPr>
        <w:t>Day of the week did not show a meaningful difference in attendance or no-show rates. Day-of-week targeting is therefore not currently a priority based on the available analysis</w:t>
      </w:r>
    </w:p>
    <w:p w14:paraId="6267EBB9" w14:textId="77777777" w:rsidR="00736F59" w:rsidRPr="00080276" w:rsidRDefault="00736F59" w:rsidP="007A4EA7">
      <w:pPr>
        <w:pStyle w:val="ListParagraph"/>
        <w:numPr>
          <w:ilvl w:val="0"/>
          <w:numId w:val="2"/>
        </w:numPr>
        <w:jc w:val="both"/>
        <w:rPr>
          <w:rFonts w:ascii="Times New Roman" w:hAnsi="Times New Roman" w:cs="Times New Roman"/>
          <w:b/>
          <w:bCs/>
          <w:sz w:val="28"/>
          <w:szCs w:val="28"/>
        </w:rPr>
      </w:pPr>
      <w:r w:rsidRPr="00080276">
        <w:rPr>
          <w:rFonts w:ascii="Times New Roman" w:hAnsi="Times New Roman" w:cs="Times New Roman"/>
          <w:b/>
          <w:bCs/>
          <w:sz w:val="28"/>
          <w:szCs w:val="28"/>
        </w:rPr>
        <w:t>KPI Validation</w:t>
      </w:r>
    </w:p>
    <w:p w14:paraId="7A4239E7" w14:textId="4DFF9E47" w:rsidR="00736F59" w:rsidRPr="00CD39C6" w:rsidRDefault="00736F59" w:rsidP="007A4EA7">
      <w:pPr>
        <w:jc w:val="both"/>
        <w:rPr>
          <w:rFonts w:ascii="Times New Roman" w:hAnsi="Times New Roman" w:cs="Times New Roman"/>
          <w:b/>
          <w:bCs/>
          <w:color w:val="auto"/>
          <w:sz w:val="24"/>
          <w:szCs w:val="24"/>
        </w:rPr>
      </w:pPr>
      <w:r w:rsidRPr="00CD39C6">
        <w:rPr>
          <w:rFonts w:ascii="Times New Roman" w:hAnsi="Times New Roman" w:cs="Times New Roman"/>
          <w:color w:val="auto"/>
          <w:sz w:val="24"/>
          <w:szCs w:val="24"/>
        </w:rPr>
        <w:lastRenderedPageBreak/>
        <w:t>The core Week 5 KPIs were reviewed against the appointment outcome distribution and retained in the Week 6 dashboard. The values remain consistent with the Week 5 analysis.</w:t>
      </w:r>
    </w:p>
    <w:tbl>
      <w:tblPr>
        <w:tblStyle w:val="TableGrid"/>
        <w:tblW w:w="0" w:type="auto"/>
        <w:jc w:val="center"/>
        <w:tblLook w:val="04A0" w:firstRow="1" w:lastRow="0" w:firstColumn="1" w:lastColumn="0" w:noHBand="0" w:noVBand="1"/>
      </w:tblPr>
      <w:tblGrid>
        <w:gridCol w:w="3151"/>
        <w:gridCol w:w="3089"/>
        <w:gridCol w:w="3110"/>
      </w:tblGrid>
      <w:tr w:rsidR="00736F59" w:rsidRPr="007A4EA7" w14:paraId="683C1593" w14:textId="77777777" w:rsidTr="00CD39C6">
        <w:trPr>
          <w:jc w:val="center"/>
        </w:trPr>
        <w:tc>
          <w:tcPr>
            <w:tcW w:w="3360" w:type="dxa"/>
            <w:shd w:val="clear" w:color="auto" w:fill="FFFFFF" w:themeFill="background1"/>
            <w:vAlign w:val="center"/>
          </w:tcPr>
          <w:p w14:paraId="59B45C1C"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KPI</w:t>
            </w:r>
          </w:p>
        </w:tc>
        <w:tc>
          <w:tcPr>
            <w:tcW w:w="3360" w:type="dxa"/>
            <w:shd w:val="clear" w:color="auto" w:fill="FFFFFF" w:themeFill="background1"/>
            <w:vAlign w:val="center"/>
          </w:tcPr>
          <w:p w14:paraId="773E8E7D"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Week 5 Value</w:t>
            </w:r>
          </w:p>
        </w:tc>
        <w:tc>
          <w:tcPr>
            <w:tcW w:w="3360" w:type="dxa"/>
            <w:shd w:val="clear" w:color="auto" w:fill="FFFFFF" w:themeFill="background1"/>
            <w:vAlign w:val="center"/>
          </w:tcPr>
          <w:p w14:paraId="35ED35F7"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Status</w:t>
            </w:r>
          </w:p>
        </w:tc>
      </w:tr>
      <w:tr w:rsidR="00CD39C6" w:rsidRPr="00CD39C6" w14:paraId="19910D9E" w14:textId="77777777" w:rsidTr="00141E0E">
        <w:trPr>
          <w:jc w:val="center"/>
        </w:trPr>
        <w:tc>
          <w:tcPr>
            <w:tcW w:w="3360" w:type="dxa"/>
            <w:vAlign w:val="center"/>
          </w:tcPr>
          <w:p w14:paraId="6414A83A"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No-Show Rate</w:t>
            </w:r>
          </w:p>
        </w:tc>
        <w:tc>
          <w:tcPr>
            <w:tcW w:w="3360" w:type="dxa"/>
            <w:vAlign w:val="center"/>
          </w:tcPr>
          <w:p w14:paraId="0786B4A1"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48.46%</w:t>
            </w:r>
          </w:p>
        </w:tc>
        <w:tc>
          <w:tcPr>
            <w:tcW w:w="3360" w:type="dxa"/>
            <w:vAlign w:val="center"/>
          </w:tcPr>
          <w:p w14:paraId="55CC4C1E"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Validated</w:t>
            </w:r>
          </w:p>
        </w:tc>
      </w:tr>
      <w:tr w:rsidR="00CD39C6" w:rsidRPr="00CD39C6" w14:paraId="18DE5661" w14:textId="77777777" w:rsidTr="00141E0E">
        <w:trPr>
          <w:jc w:val="center"/>
        </w:trPr>
        <w:tc>
          <w:tcPr>
            <w:tcW w:w="3360" w:type="dxa"/>
            <w:vAlign w:val="center"/>
          </w:tcPr>
          <w:p w14:paraId="6CC41D65"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Attendance Rate</w:t>
            </w:r>
          </w:p>
        </w:tc>
        <w:tc>
          <w:tcPr>
            <w:tcW w:w="3360" w:type="dxa"/>
            <w:vAlign w:val="center"/>
          </w:tcPr>
          <w:p w14:paraId="3AA891F8"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46.28%</w:t>
            </w:r>
          </w:p>
        </w:tc>
        <w:tc>
          <w:tcPr>
            <w:tcW w:w="3360" w:type="dxa"/>
            <w:vAlign w:val="center"/>
          </w:tcPr>
          <w:p w14:paraId="6FF4AEAF"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Validated</w:t>
            </w:r>
          </w:p>
        </w:tc>
      </w:tr>
      <w:tr w:rsidR="00CD39C6" w:rsidRPr="00CD39C6" w14:paraId="2A496F13" w14:textId="77777777" w:rsidTr="00141E0E">
        <w:trPr>
          <w:jc w:val="center"/>
        </w:trPr>
        <w:tc>
          <w:tcPr>
            <w:tcW w:w="3360" w:type="dxa"/>
            <w:vAlign w:val="center"/>
          </w:tcPr>
          <w:p w14:paraId="24A482CF"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Cancellation Rate</w:t>
            </w:r>
          </w:p>
        </w:tc>
        <w:tc>
          <w:tcPr>
            <w:tcW w:w="3360" w:type="dxa"/>
            <w:vAlign w:val="center"/>
          </w:tcPr>
          <w:p w14:paraId="563B022F"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5.26%</w:t>
            </w:r>
          </w:p>
        </w:tc>
        <w:tc>
          <w:tcPr>
            <w:tcW w:w="3360" w:type="dxa"/>
            <w:vAlign w:val="center"/>
          </w:tcPr>
          <w:p w14:paraId="30CFADC0"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Validated</w:t>
            </w:r>
          </w:p>
        </w:tc>
      </w:tr>
    </w:tbl>
    <w:p w14:paraId="77FDB07B" w14:textId="532D0137" w:rsidR="00736F59" w:rsidRPr="007A4EA7" w:rsidRDefault="00736F59" w:rsidP="007A4EA7">
      <w:pPr>
        <w:jc w:val="both"/>
        <w:rPr>
          <w:rFonts w:ascii="Times New Roman" w:hAnsi="Times New Roman" w:cs="Times New Roman"/>
          <w:b/>
          <w:bCs/>
          <w:sz w:val="24"/>
          <w:szCs w:val="24"/>
        </w:rPr>
      </w:pPr>
    </w:p>
    <w:p w14:paraId="24296FEA" w14:textId="0DE9410D" w:rsidR="00736F59" w:rsidRPr="00080276" w:rsidRDefault="00736F59" w:rsidP="007A4EA7">
      <w:pPr>
        <w:pStyle w:val="ListParagraph"/>
        <w:numPr>
          <w:ilvl w:val="0"/>
          <w:numId w:val="2"/>
        </w:numPr>
        <w:jc w:val="both"/>
        <w:rPr>
          <w:rFonts w:ascii="Times New Roman" w:hAnsi="Times New Roman" w:cs="Times New Roman"/>
          <w:b/>
          <w:bCs/>
          <w:sz w:val="28"/>
          <w:szCs w:val="28"/>
        </w:rPr>
      </w:pPr>
      <w:r w:rsidRPr="00080276">
        <w:rPr>
          <w:rFonts w:ascii="Times New Roman" w:hAnsi="Times New Roman" w:cs="Times New Roman"/>
          <w:b/>
          <w:bCs/>
          <w:sz w:val="28"/>
          <w:szCs w:val="28"/>
        </w:rPr>
        <w:t>Week 6 Dashboard improvement</w:t>
      </w:r>
    </w:p>
    <w:p w14:paraId="4E27498E"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The Week 6 dashboard was redesigned as an advanced decision-support dashboard rather than a repeat of the Week 5 dashboard. The main improvements include:</w:t>
      </w:r>
    </w:p>
    <w:p w14:paraId="543D9FFB" w14:textId="77777777" w:rsidR="007A4EA7" w:rsidRPr="00CD39C6" w:rsidRDefault="007A4EA7" w:rsidP="00080276">
      <w:pPr>
        <w:pStyle w:val="ListBullet"/>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Booking lead-time analysis showing attendance and no-show patterns.</w:t>
      </w:r>
    </w:p>
    <w:p w14:paraId="5B2F4064" w14:textId="77777777" w:rsidR="007A4EA7" w:rsidRPr="00CD39C6" w:rsidRDefault="007A4EA7" w:rsidP="00080276">
      <w:pPr>
        <w:pStyle w:val="ListBullet"/>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No-show rate by previous no-show history.</w:t>
      </w:r>
    </w:p>
    <w:p w14:paraId="3EC61EDC" w14:textId="77777777" w:rsidR="007A4EA7" w:rsidRPr="00CD39C6" w:rsidRDefault="007A4EA7" w:rsidP="00080276">
      <w:pPr>
        <w:pStyle w:val="ListBullet"/>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Attendance rate by reminder status and reminder channel.</w:t>
      </w:r>
    </w:p>
    <w:p w14:paraId="519AB24A" w14:textId="77777777" w:rsidR="007A4EA7" w:rsidRPr="00CD39C6" w:rsidRDefault="007A4EA7" w:rsidP="00080276">
      <w:pPr>
        <w:pStyle w:val="ListBullet"/>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No-show rate by appointment type and distance group.</w:t>
      </w:r>
    </w:p>
    <w:p w14:paraId="36B6AEF4" w14:textId="77777777" w:rsidR="007A4EA7" w:rsidRPr="00CD39C6" w:rsidRDefault="007A4EA7" w:rsidP="00080276">
      <w:pPr>
        <w:pStyle w:val="ListBullet"/>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Clearer key-insights and action-priority sections.</w:t>
      </w:r>
    </w:p>
    <w:p w14:paraId="196299F7" w14:textId="77777777" w:rsidR="007A4EA7" w:rsidRPr="00CD39C6" w:rsidRDefault="007A4EA7" w:rsidP="00080276">
      <w:pPr>
        <w:pStyle w:val="ListBullet"/>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Interactive filters for age group, gender, appointment type, appointment day and reminder status.</w:t>
      </w:r>
    </w:p>
    <w:p w14:paraId="48713F14" w14:textId="77777777" w:rsidR="007A4EA7" w:rsidRPr="007A4EA7" w:rsidRDefault="007A4EA7" w:rsidP="007A4EA7">
      <w:pPr>
        <w:jc w:val="both"/>
        <w:rPr>
          <w:rFonts w:ascii="Times New Roman" w:hAnsi="Times New Roman" w:cs="Times New Roman"/>
          <w:b/>
          <w:bCs/>
          <w:sz w:val="24"/>
          <w:szCs w:val="24"/>
        </w:rPr>
      </w:pPr>
    </w:p>
    <w:p w14:paraId="23A41AB4" w14:textId="7D58FC89" w:rsidR="00736F59" w:rsidRPr="00080276" w:rsidRDefault="00736F59" w:rsidP="007A4EA7">
      <w:pPr>
        <w:pStyle w:val="ListParagraph"/>
        <w:numPr>
          <w:ilvl w:val="0"/>
          <w:numId w:val="2"/>
        </w:numPr>
        <w:jc w:val="both"/>
        <w:rPr>
          <w:rFonts w:ascii="Times New Roman" w:hAnsi="Times New Roman" w:cs="Times New Roman"/>
          <w:b/>
          <w:bCs/>
          <w:sz w:val="28"/>
          <w:szCs w:val="28"/>
        </w:rPr>
      </w:pPr>
      <w:r w:rsidRPr="00080276">
        <w:rPr>
          <w:rFonts w:ascii="Times New Roman" w:hAnsi="Times New Roman" w:cs="Times New Roman"/>
          <w:b/>
          <w:bCs/>
          <w:sz w:val="28"/>
          <w:szCs w:val="28"/>
        </w:rPr>
        <w:t>Highest-Impact Findings and Recommended Actions</w:t>
      </w:r>
    </w:p>
    <w:tbl>
      <w:tblPr>
        <w:tblStyle w:val="TableGrid"/>
        <w:tblW w:w="9895" w:type="dxa"/>
        <w:jc w:val="center"/>
        <w:tblLook w:val="04A0" w:firstRow="1" w:lastRow="0" w:firstColumn="1" w:lastColumn="0" w:noHBand="0" w:noVBand="1"/>
      </w:tblPr>
      <w:tblGrid>
        <w:gridCol w:w="3117"/>
        <w:gridCol w:w="3105"/>
        <w:gridCol w:w="3673"/>
      </w:tblGrid>
      <w:tr w:rsidR="00736F59" w:rsidRPr="007A4EA7" w14:paraId="25669CBB" w14:textId="77777777" w:rsidTr="00CD39C6">
        <w:trPr>
          <w:jc w:val="center"/>
        </w:trPr>
        <w:tc>
          <w:tcPr>
            <w:tcW w:w="3117" w:type="dxa"/>
            <w:shd w:val="clear" w:color="auto" w:fill="FFFFFF" w:themeFill="background1"/>
            <w:vAlign w:val="center"/>
          </w:tcPr>
          <w:p w14:paraId="0C58A3CB"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Finding</w:t>
            </w:r>
          </w:p>
        </w:tc>
        <w:tc>
          <w:tcPr>
            <w:tcW w:w="3105" w:type="dxa"/>
            <w:shd w:val="clear" w:color="auto" w:fill="FFFFFF" w:themeFill="background1"/>
            <w:vAlign w:val="center"/>
          </w:tcPr>
          <w:p w14:paraId="3F9063DC"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Business relevance</w:t>
            </w:r>
          </w:p>
        </w:tc>
        <w:tc>
          <w:tcPr>
            <w:tcW w:w="3673" w:type="dxa"/>
            <w:shd w:val="clear" w:color="auto" w:fill="FFFFFF" w:themeFill="background1"/>
            <w:vAlign w:val="center"/>
          </w:tcPr>
          <w:p w14:paraId="2153C2D8" w14:textId="77777777" w:rsidR="00736F59" w:rsidRPr="00CD39C6" w:rsidRDefault="00736F59"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Recommended action</w:t>
            </w:r>
          </w:p>
        </w:tc>
      </w:tr>
      <w:tr w:rsidR="00736F59" w:rsidRPr="007A4EA7" w14:paraId="5F5A3FCB" w14:textId="77777777" w:rsidTr="00CD39C6">
        <w:trPr>
          <w:trHeight w:val="818"/>
          <w:jc w:val="center"/>
        </w:trPr>
        <w:tc>
          <w:tcPr>
            <w:tcW w:w="3117" w:type="dxa"/>
            <w:shd w:val="clear" w:color="auto" w:fill="FFFFFF" w:themeFill="background1"/>
            <w:vAlign w:val="center"/>
          </w:tcPr>
          <w:p w14:paraId="6C97779D"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High no-show burden</w:t>
            </w:r>
          </w:p>
        </w:tc>
        <w:tc>
          <w:tcPr>
            <w:tcW w:w="3105" w:type="dxa"/>
            <w:shd w:val="clear" w:color="auto" w:fill="FFFFFF" w:themeFill="background1"/>
            <w:vAlign w:val="center"/>
          </w:tcPr>
          <w:p w14:paraId="09D4BF65"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No-shows represent a large proportion of appointments.</w:t>
            </w:r>
          </w:p>
        </w:tc>
        <w:tc>
          <w:tcPr>
            <w:tcW w:w="3673" w:type="dxa"/>
            <w:shd w:val="clear" w:color="auto" w:fill="FFFFFF" w:themeFill="background1"/>
            <w:vAlign w:val="center"/>
          </w:tcPr>
          <w:p w14:paraId="41BF34D2"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Prioritise a structured no-show reduction strategy and monitor the KPI.</w:t>
            </w:r>
          </w:p>
        </w:tc>
      </w:tr>
      <w:tr w:rsidR="00736F59" w:rsidRPr="007A4EA7" w14:paraId="086E4D3E" w14:textId="77777777" w:rsidTr="00CD39C6">
        <w:trPr>
          <w:jc w:val="center"/>
        </w:trPr>
        <w:tc>
          <w:tcPr>
            <w:tcW w:w="3117" w:type="dxa"/>
            <w:shd w:val="clear" w:color="auto" w:fill="FFFFFF" w:themeFill="background1"/>
            <w:vAlign w:val="center"/>
          </w:tcPr>
          <w:p w14:paraId="244E30FB"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Booking lead-time pattern</w:t>
            </w:r>
          </w:p>
        </w:tc>
        <w:tc>
          <w:tcPr>
            <w:tcW w:w="3105" w:type="dxa"/>
            <w:shd w:val="clear" w:color="auto" w:fill="FFFFFF" w:themeFill="background1"/>
            <w:vAlign w:val="center"/>
          </w:tcPr>
          <w:p w14:paraId="66B9C5AD"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Attendance decreases as booking lead days increase in this dataset.</w:t>
            </w:r>
          </w:p>
        </w:tc>
        <w:tc>
          <w:tcPr>
            <w:tcW w:w="3673" w:type="dxa"/>
            <w:shd w:val="clear" w:color="auto" w:fill="FFFFFF" w:themeFill="background1"/>
            <w:vAlign w:val="center"/>
          </w:tcPr>
          <w:p w14:paraId="7FE17C66"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Use lead-time groups for segmentation and provide the finding to Data Science.</w:t>
            </w:r>
          </w:p>
        </w:tc>
      </w:tr>
      <w:tr w:rsidR="00736F59" w:rsidRPr="007A4EA7" w14:paraId="1ABB731A" w14:textId="77777777" w:rsidTr="00CD39C6">
        <w:trPr>
          <w:jc w:val="center"/>
        </w:trPr>
        <w:tc>
          <w:tcPr>
            <w:tcW w:w="3117" w:type="dxa"/>
            <w:shd w:val="clear" w:color="auto" w:fill="FFFFFF" w:themeFill="background1"/>
            <w:vAlign w:val="center"/>
          </w:tcPr>
          <w:p w14:paraId="0A96047D"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Previous no-show history</w:t>
            </w:r>
          </w:p>
        </w:tc>
        <w:tc>
          <w:tcPr>
            <w:tcW w:w="3105" w:type="dxa"/>
            <w:shd w:val="clear" w:color="auto" w:fill="FFFFFF" w:themeFill="background1"/>
            <w:vAlign w:val="center"/>
          </w:tcPr>
          <w:p w14:paraId="3836F565"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Patients with previous no-shows form a higher-risk attendance segment.</w:t>
            </w:r>
          </w:p>
        </w:tc>
        <w:tc>
          <w:tcPr>
            <w:tcW w:w="3673" w:type="dxa"/>
            <w:shd w:val="clear" w:color="auto" w:fill="FFFFFF" w:themeFill="background1"/>
            <w:vAlign w:val="center"/>
          </w:tcPr>
          <w:p w14:paraId="2F70F032"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Consider targeted follow-up or additional appointment support.</w:t>
            </w:r>
          </w:p>
        </w:tc>
      </w:tr>
      <w:tr w:rsidR="00736F59" w:rsidRPr="007A4EA7" w14:paraId="467C0690" w14:textId="77777777" w:rsidTr="00CD39C6">
        <w:trPr>
          <w:jc w:val="center"/>
        </w:trPr>
        <w:tc>
          <w:tcPr>
            <w:tcW w:w="3117" w:type="dxa"/>
            <w:shd w:val="clear" w:color="auto" w:fill="FFFFFF" w:themeFill="background1"/>
            <w:vAlign w:val="center"/>
          </w:tcPr>
          <w:p w14:paraId="243B641E"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Reminder differences</w:t>
            </w:r>
          </w:p>
        </w:tc>
        <w:tc>
          <w:tcPr>
            <w:tcW w:w="3105" w:type="dxa"/>
            <w:shd w:val="clear" w:color="auto" w:fill="FFFFFF" w:themeFill="background1"/>
            <w:vAlign w:val="center"/>
          </w:tcPr>
          <w:p w14:paraId="157CAB2B"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Attendance varies by reminder status and channel.</w:t>
            </w:r>
          </w:p>
        </w:tc>
        <w:tc>
          <w:tcPr>
            <w:tcW w:w="3673" w:type="dxa"/>
            <w:shd w:val="clear" w:color="auto" w:fill="FFFFFF" w:themeFill="background1"/>
            <w:vAlign w:val="center"/>
          </w:tcPr>
          <w:p w14:paraId="6ABF430C"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Review reminder coverage and channel performance before operational changes.</w:t>
            </w:r>
          </w:p>
        </w:tc>
      </w:tr>
      <w:tr w:rsidR="00736F59" w:rsidRPr="007A4EA7" w14:paraId="52D6B388" w14:textId="77777777" w:rsidTr="00CD39C6">
        <w:trPr>
          <w:jc w:val="center"/>
        </w:trPr>
        <w:tc>
          <w:tcPr>
            <w:tcW w:w="3117" w:type="dxa"/>
            <w:shd w:val="clear" w:color="auto" w:fill="FFFFFF" w:themeFill="background1"/>
            <w:vAlign w:val="center"/>
          </w:tcPr>
          <w:p w14:paraId="1F14AF09"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lastRenderedPageBreak/>
              <w:t>Appointment-type differences</w:t>
            </w:r>
          </w:p>
        </w:tc>
        <w:tc>
          <w:tcPr>
            <w:tcW w:w="3105" w:type="dxa"/>
            <w:shd w:val="clear" w:color="auto" w:fill="FFFFFF" w:themeFill="background1"/>
            <w:vAlign w:val="center"/>
          </w:tcPr>
          <w:p w14:paraId="778BB53F"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Attendance patterns vary by appointment type.</w:t>
            </w:r>
          </w:p>
        </w:tc>
        <w:tc>
          <w:tcPr>
            <w:tcW w:w="3673" w:type="dxa"/>
            <w:shd w:val="clear" w:color="auto" w:fill="FFFFFF" w:themeFill="background1"/>
            <w:vAlign w:val="center"/>
          </w:tcPr>
          <w:p w14:paraId="45B52EF1" w14:textId="77777777" w:rsidR="00736F59" w:rsidRPr="00CD39C6" w:rsidRDefault="00736F59"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Monitor attendance by appointment type and investigate service-specific needs.</w:t>
            </w:r>
          </w:p>
        </w:tc>
      </w:tr>
    </w:tbl>
    <w:p w14:paraId="74738DA9" w14:textId="1C5D105E" w:rsidR="00B43924" w:rsidRPr="007A4EA7" w:rsidRDefault="00B43924" w:rsidP="007A4EA7">
      <w:pPr>
        <w:jc w:val="both"/>
        <w:rPr>
          <w:rFonts w:ascii="Times New Roman" w:hAnsi="Times New Roman" w:cs="Times New Roman"/>
          <w:b/>
          <w:bCs/>
          <w:sz w:val="24"/>
          <w:szCs w:val="24"/>
        </w:rPr>
      </w:pPr>
    </w:p>
    <w:p w14:paraId="57862192" w14:textId="6C250D68" w:rsidR="007A4EA7" w:rsidRPr="00080276" w:rsidRDefault="007A4EA7" w:rsidP="007A4EA7">
      <w:pPr>
        <w:pStyle w:val="ListParagraph"/>
        <w:numPr>
          <w:ilvl w:val="0"/>
          <w:numId w:val="2"/>
        </w:numPr>
        <w:jc w:val="both"/>
        <w:rPr>
          <w:rFonts w:ascii="Times New Roman" w:hAnsi="Times New Roman" w:cs="Times New Roman"/>
          <w:b/>
          <w:bCs/>
          <w:sz w:val="28"/>
          <w:szCs w:val="28"/>
        </w:rPr>
      </w:pPr>
      <w:r w:rsidRPr="00080276">
        <w:rPr>
          <w:rFonts w:ascii="Times New Roman" w:hAnsi="Times New Roman" w:cs="Times New Roman"/>
          <w:b/>
          <w:bCs/>
          <w:sz w:val="28"/>
          <w:szCs w:val="28"/>
        </w:rPr>
        <w:t>Review of Week 5 Conclusions</w:t>
      </w:r>
    </w:p>
    <w:p w14:paraId="4B212D18"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The deeper Week 6 analysis supports the Week 5 conclusion that reducing no-shows should remain the primary business priority. It also strengthens the relevance of booking lead time, previous no-show history and reminder patterns as areas for further investigation. Age and day of week did not show strong patterns in this analysis. All findings remain observational and should be validated further before being treated as causal explanations.</w:t>
      </w:r>
    </w:p>
    <w:p w14:paraId="351E5452" w14:textId="6CFE1C46" w:rsidR="007A4EA7" w:rsidRPr="007A4EA7" w:rsidRDefault="007A4EA7" w:rsidP="007A4EA7">
      <w:pPr>
        <w:pStyle w:val="ListParagraph"/>
        <w:numPr>
          <w:ilvl w:val="0"/>
          <w:numId w:val="2"/>
        </w:numPr>
        <w:jc w:val="both"/>
        <w:rPr>
          <w:rFonts w:ascii="Times New Roman" w:hAnsi="Times New Roman" w:cs="Times New Roman"/>
          <w:b/>
          <w:bCs/>
          <w:sz w:val="24"/>
          <w:szCs w:val="24"/>
        </w:rPr>
      </w:pPr>
      <w:r w:rsidRPr="007A4EA7">
        <w:rPr>
          <w:rFonts w:ascii="Times New Roman" w:hAnsi="Times New Roman" w:cs="Times New Roman"/>
          <w:b/>
          <w:bCs/>
          <w:sz w:val="24"/>
          <w:szCs w:val="24"/>
        </w:rPr>
        <w:t>Assumptions, Limitations, Risks, and Dependencies</w:t>
      </w:r>
    </w:p>
    <w:tbl>
      <w:tblPr>
        <w:tblStyle w:val="TableGrid"/>
        <w:tblW w:w="9985" w:type="dxa"/>
        <w:jc w:val="center"/>
        <w:tblLook w:val="04A0" w:firstRow="1" w:lastRow="0" w:firstColumn="1" w:lastColumn="0" w:noHBand="0" w:noVBand="1"/>
      </w:tblPr>
      <w:tblGrid>
        <w:gridCol w:w="3118"/>
        <w:gridCol w:w="3114"/>
        <w:gridCol w:w="3753"/>
      </w:tblGrid>
      <w:tr w:rsidR="007A4EA7" w:rsidRPr="007A4EA7" w14:paraId="0DC7F738" w14:textId="77777777" w:rsidTr="00CD39C6">
        <w:trPr>
          <w:jc w:val="center"/>
        </w:trPr>
        <w:tc>
          <w:tcPr>
            <w:tcW w:w="3118" w:type="dxa"/>
            <w:shd w:val="clear" w:color="auto" w:fill="FFFFFF" w:themeFill="background1"/>
            <w:vAlign w:val="center"/>
          </w:tcPr>
          <w:p w14:paraId="10911373" w14:textId="77777777" w:rsidR="007A4EA7" w:rsidRPr="00CD39C6" w:rsidRDefault="007A4EA7"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Area</w:t>
            </w:r>
          </w:p>
        </w:tc>
        <w:tc>
          <w:tcPr>
            <w:tcW w:w="3114" w:type="dxa"/>
            <w:shd w:val="clear" w:color="auto" w:fill="FFFFFF" w:themeFill="background1"/>
            <w:vAlign w:val="center"/>
          </w:tcPr>
          <w:p w14:paraId="28A3E7DD" w14:textId="77777777" w:rsidR="007A4EA7" w:rsidRPr="00CD39C6" w:rsidRDefault="007A4EA7"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Assessment</w:t>
            </w:r>
          </w:p>
        </w:tc>
        <w:tc>
          <w:tcPr>
            <w:tcW w:w="3753" w:type="dxa"/>
            <w:shd w:val="clear" w:color="auto" w:fill="FFFFFF" w:themeFill="background1"/>
            <w:vAlign w:val="center"/>
          </w:tcPr>
          <w:p w14:paraId="3302CEE5" w14:textId="77777777" w:rsidR="007A4EA7" w:rsidRPr="00CD39C6" w:rsidRDefault="007A4EA7" w:rsidP="007A4EA7">
            <w:pPr>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Mitigation / next step</w:t>
            </w:r>
          </w:p>
        </w:tc>
      </w:tr>
      <w:tr w:rsidR="007A4EA7" w:rsidRPr="007A4EA7" w14:paraId="59B928E4" w14:textId="77777777" w:rsidTr="00CD39C6">
        <w:trPr>
          <w:jc w:val="center"/>
        </w:trPr>
        <w:tc>
          <w:tcPr>
            <w:tcW w:w="3118" w:type="dxa"/>
            <w:shd w:val="clear" w:color="auto" w:fill="FFFFFF" w:themeFill="background1"/>
            <w:vAlign w:val="center"/>
          </w:tcPr>
          <w:p w14:paraId="4B63D285"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Data limitations</w:t>
            </w:r>
          </w:p>
        </w:tc>
        <w:tc>
          <w:tcPr>
            <w:tcW w:w="3114" w:type="dxa"/>
            <w:shd w:val="clear" w:color="auto" w:fill="FFFFFF" w:themeFill="background1"/>
            <w:vAlign w:val="center"/>
          </w:tcPr>
          <w:p w14:paraId="4F90147A"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Distance and waiting-time variables contain missing values, and some reasons for non-attendance are not captured.</w:t>
            </w:r>
          </w:p>
        </w:tc>
        <w:tc>
          <w:tcPr>
            <w:tcW w:w="3753" w:type="dxa"/>
            <w:shd w:val="clear" w:color="auto" w:fill="FFFFFF" w:themeFill="background1"/>
            <w:vAlign w:val="center"/>
          </w:tcPr>
          <w:p w14:paraId="656E7631"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Document missingness and interpret affected findings cautiously.</w:t>
            </w:r>
          </w:p>
        </w:tc>
      </w:tr>
      <w:tr w:rsidR="007A4EA7" w:rsidRPr="007A4EA7" w14:paraId="35F09304" w14:textId="77777777" w:rsidTr="00CD39C6">
        <w:trPr>
          <w:jc w:val="center"/>
        </w:trPr>
        <w:tc>
          <w:tcPr>
            <w:tcW w:w="3118" w:type="dxa"/>
            <w:shd w:val="clear" w:color="auto" w:fill="FFFFFF" w:themeFill="background1"/>
            <w:vAlign w:val="center"/>
          </w:tcPr>
          <w:p w14:paraId="2F628CAB"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Causality risk</w:t>
            </w:r>
          </w:p>
        </w:tc>
        <w:tc>
          <w:tcPr>
            <w:tcW w:w="3114" w:type="dxa"/>
            <w:shd w:val="clear" w:color="auto" w:fill="FFFFFF" w:themeFill="background1"/>
            <w:vAlign w:val="center"/>
          </w:tcPr>
          <w:p w14:paraId="72BB4DCA"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Observed associations do not establish causation.</w:t>
            </w:r>
          </w:p>
        </w:tc>
        <w:tc>
          <w:tcPr>
            <w:tcW w:w="3753" w:type="dxa"/>
            <w:shd w:val="clear" w:color="auto" w:fill="FFFFFF" w:themeFill="background1"/>
            <w:vAlign w:val="center"/>
          </w:tcPr>
          <w:p w14:paraId="16A43E23"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Use association-based language and apply further statistical validation.</w:t>
            </w:r>
          </w:p>
        </w:tc>
      </w:tr>
      <w:tr w:rsidR="007A4EA7" w:rsidRPr="007A4EA7" w14:paraId="658F53CD" w14:textId="77777777" w:rsidTr="00CD39C6">
        <w:trPr>
          <w:jc w:val="center"/>
        </w:trPr>
        <w:tc>
          <w:tcPr>
            <w:tcW w:w="3118" w:type="dxa"/>
            <w:shd w:val="clear" w:color="auto" w:fill="FFFFFF" w:themeFill="background1"/>
            <w:vAlign w:val="center"/>
          </w:tcPr>
          <w:p w14:paraId="6944D32C"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Small segments</w:t>
            </w:r>
          </w:p>
        </w:tc>
        <w:tc>
          <w:tcPr>
            <w:tcW w:w="3114" w:type="dxa"/>
            <w:shd w:val="clear" w:color="auto" w:fill="FFFFFF" w:themeFill="background1"/>
            <w:vAlign w:val="center"/>
          </w:tcPr>
          <w:p w14:paraId="10662D35"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Some previous no-show categories may contain relatively few records.</w:t>
            </w:r>
          </w:p>
        </w:tc>
        <w:tc>
          <w:tcPr>
            <w:tcW w:w="3753" w:type="dxa"/>
            <w:shd w:val="clear" w:color="auto" w:fill="FFFFFF" w:themeFill="background1"/>
            <w:vAlign w:val="center"/>
          </w:tcPr>
          <w:p w14:paraId="3AE10526"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Review sample sizes before drawing strong conclusions.</w:t>
            </w:r>
          </w:p>
        </w:tc>
      </w:tr>
      <w:tr w:rsidR="007A4EA7" w:rsidRPr="007A4EA7" w14:paraId="09A20F04" w14:textId="77777777" w:rsidTr="00CD39C6">
        <w:trPr>
          <w:jc w:val="center"/>
        </w:trPr>
        <w:tc>
          <w:tcPr>
            <w:tcW w:w="3118" w:type="dxa"/>
            <w:shd w:val="clear" w:color="auto" w:fill="FFFFFF" w:themeFill="background1"/>
            <w:vAlign w:val="center"/>
          </w:tcPr>
          <w:p w14:paraId="468EC6E0"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Cross-track dependency</w:t>
            </w:r>
          </w:p>
        </w:tc>
        <w:tc>
          <w:tcPr>
            <w:tcW w:w="3114" w:type="dxa"/>
            <w:shd w:val="clear" w:color="auto" w:fill="FFFFFF" w:themeFill="background1"/>
            <w:vAlign w:val="center"/>
          </w:tcPr>
          <w:p w14:paraId="6E704C53"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Data Science uses analytical findings to inform modelling decisions.</w:t>
            </w:r>
          </w:p>
        </w:tc>
        <w:tc>
          <w:tcPr>
            <w:tcW w:w="3753" w:type="dxa"/>
            <w:shd w:val="clear" w:color="auto" w:fill="FFFFFF" w:themeFill="background1"/>
            <w:vAlign w:val="center"/>
          </w:tcPr>
          <w:p w14:paraId="652CFAE5"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Maintain clear definitions of variables and findings supplied.</w:t>
            </w:r>
          </w:p>
        </w:tc>
      </w:tr>
      <w:tr w:rsidR="007A4EA7" w:rsidRPr="007A4EA7" w14:paraId="462C02CA" w14:textId="77777777" w:rsidTr="00CD39C6">
        <w:trPr>
          <w:jc w:val="center"/>
        </w:trPr>
        <w:tc>
          <w:tcPr>
            <w:tcW w:w="3118" w:type="dxa"/>
            <w:shd w:val="clear" w:color="auto" w:fill="FFFFFF" w:themeFill="background1"/>
            <w:vAlign w:val="center"/>
          </w:tcPr>
          <w:p w14:paraId="2926CE8B"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Dashboard reliability</w:t>
            </w:r>
          </w:p>
        </w:tc>
        <w:tc>
          <w:tcPr>
            <w:tcW w:w="3114" w:type="dxa"/>
            <w:shd w:val="clear" w:color="auto" w:fill="FFFFFF" w:themeFill="background1"/>
            <w:vAlign w:val="center"/>
          </w:tcPr>
          <w:p w14:paraId="50CE65EA"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Measures and filters must remain consistent across visuals.</w:t>
            </w:r>
          </w:p>
        </w:tc>
        <w:tc>
          <w:tcPr>
            <w:tcW w:w="3753" w:type="dxa"/>
            <w:shd w:val="clear" w:color="auto" w:fill="FFFFFF" w:themeFill="background1"/>
            <w:vAlign w:val="center"/>
          </w:tcPr>
          <w:p w14:paraId="19289D6C"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Validate calculations, filters and interactions before Week 7.</w:t>
            </w:r>
          </w:p>
        </w:tc>
      </w:tr>
    </w:tbl>
    <w:p w14:paraId="714915EF" w14:textId="23422B3E" w:rsidR="007A4EA7" w:rsidRPr="007A4EA7" w:rsidRDefault="007A4EA7" w:rsidP="007A4EA7">
      <w:pPr>
        <w:jc w:val="both"/>
        <w:rPr>
          <w:rFonts w:ascii="Times New Roman" w:hAnsi="Times New Roman" w:cs="Times New Roman"/>
          <w:b/>
          <w:bCs/>
          <w:sz w:val="24"/>
          <w:szCs w:val="24"/>
        </w:rPr>
      </w:pPr>
    </w:p>
    <w:p w14:paraId="534B7C5A" w14:textId="2CD6A5DC" w:rsidR="007A4EA7" w:rsidRPr="007A4EA7" w:rsidRDefault="007A4EA7" w:rsidP="007A4EA7">
      <w:pPr>
        <w:pStyle w:val="ListParagraph"/>
        <w:numPr>
          <w:ilvl w:val="0"/>
          <w:numId w:val="2"/>
        </w:numPr>
        <w:jc w:val="both"/>
        <w:rPr>
          <w:rFonts w:ascii="Times New Roman" w:hAnsi="Times New Roman" w:cs="Times New Roman"/>
          <w:b/>
          <w:bCs/>
          <w:sz w:val="24"/>
          <w:szCs w:val="24"/>
        </w:rPr>
      </w:pPr>
      <w:r w:rsidRPr="007A4EA7">
        <w:rPr>
          <w:rFonts w:ascii="Times New Roman" w:hAnsi="Times New Roman" w:cs="Times New Roman"/>
          <w:b/>
          <w:bCs/>
          <w:sz w:val="24"/>
          <w:szCs w:val="24"/>
        </w:rPr>
        <w:t>Week 7 Analytical Testing Requirements</w:t>
      </w:r>
    </w:p>
    <w:p w14:paraId="17DD6EB2" w14:textId="77777777" w:rsidR="007A4EA7" w:rsidRPr="00CD39C6" w:rsidRDefault="007A4EA7" w:rsidP="00080276">
      <w:pPr>
        <w:pStyle w:val="ListBullet"/>
        <w:numPr>
          <w:ilvl w:val="0"/>
          <w:numId w:val="9"/>
        </w:numPr>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Recalculate and verify the key appointment outcome KPIs.</w:t>
      </w:r>
    </w:p>
    <w:p w14:paraId="24EC68CD" w14:textId="77777777" w:rsidR="007A4EA7" w:rsidRPr="00CD39C6" w:rsidRDefault="007A4EA7" w:rsidP="00080276">
      <w:pPr>
        <w:pStyle w:val="ListBullet"/>
        <w:numPr>
          <w:ilvl w:val="0"/>
          <w:numId w:val="9"/>
        </w:numPr>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Test dashboard filters and interactions to ensure results update correctly.</w:t>
      </w:r>
    </w:p>
    <w:p w14:paraId="1C7D348D" w14:textId="77777777" w:rsidR="007A4EA7" w:rsidRPr="00CD39C6" w:rsidRDefault="007A4EA7" w:rsidP="00080276">
      <w:pPr>
        <w:pStyle w:val="ListBullet"/>
        <w:numPr>
          <w:ilvl w:val="0"/>
          <w:numId w:val="9"/>
        </w:numPr>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Statistically or analytically validate the booking lead-time relationship.</w:t>
      </w:r>
    </w:p>
    <w:p w14:paraId="0A55C1EB" w14:textId="77777777" w:rsidR="007A4EA7" w:rsidRPr="00CD39C6" w:rsidRDefault="007A4EA7" w:rsidP="00080276">
      <w:pPr>
        <w:pStyle w:val="ListBullet"/>
        <w:numPr>
          <w:ilvl w:val="0"/>
          <w:numId w:val="9"/>
        </w:numPr>
        <w:spacing w:line="240" w:lineRule="auto"/>
        <w:jc w:val="both"/>
        <w:rPr>
          <w:rFonts w:ascii="Times New Roman" w:hAnsi="Times New Roman" w:cs="Times New Roman"/>
          <w:sz w:val="24"/>
          <w:szCs w:val="24"/>
        </w:rPr>
      </w:pPr>
      <w:r w:rsidRPr="00CD39C6">
        <w:rPr>
          <w:rFonts w:ascii="Times New Roman" w:hAnsi="Times New Roman" w:cs="Times New Roman"/>
          <w:sz w:val="24"/>
          <w:szCs w:val="24"/>
        </w:rPr>
        <w:t>Check the stability of the previous no-show pattern across relevant segments.</w:t>
      </w:r>
    </w:p>
    <w:p w14:paraId="16FD0CCC" w14:textId="77777777" w:rsidR="007A4EA7" w:rsidRPr="007A4EA7" w:rsidRDefault="007A4EA7" w:rsidP="00080276">
      <w:pPr>
        <w:pStyle w:val="ListBullet"/>
        <w:numPr>
          <w:ilvl w:val="0"/>
          <w:numId w:val="9"/>
        </w:numPr>
        <w:spacing w:line="240" w:lineRule="auto"/>
        <w:jc w:val="both"/>
        <w:rPr>
          <w:rFonts w:ascii="Times New Roman" w:hAnsi="Times New Roman" w:cs="Times New Roman"/>
          <w:sz w:val="24"/>
          <w:szCs w:val="24"/>
        </w:rPr>
      </w:pPr>
      <w:r w:rsidRPr="007A4EA7">
        <w:rPr>
          <w:rFonts w:ascii="Times New Roman" w:hAnsi="Times New Roman" w:cs="Times New Roman"/>
          <w:sz w:val="24"/>
          <w:szCs w:val="24"/>
        </w:rPr>
        <w:lastRenderedPageBreak/>
        <w:t>Further evaluate reminder patterns while considering relevant patient and appointment differences.</w:t>
      </w:r>
    </w:p>
    <w:p w14:paraId="04E098F9" w14:textId="77777777" w:rsidR="007A4EA7" w:rsidRPr="007A4EA7" w:rsidRDefault="007A4EA7" w:rsidP="00080276">
      <w:pPr>
        <w:pStyle w:val="ListBullet"/>
        <w:numPr>
          <w:ilvl w:val="0"/>
          <w:numId w:val="9"/>
        </w:numPr>
        <w:spacing w:line="240" w:lineRule="auto"/>
        <w:jc w:val="both"/>
        <w:rPr>
          <w:rFonts w:ascii="Times New Roman" w:hAnsi="Times New Roman" w:cs="Times New Roman"/>
          <w:sz w:val="24"/>
          <w:szCs w:val="24"/>
        </w:rPr>
      </w:pPr>
      <w:r w:rsidRPr="007A4EA7">
        <w:rPr>
          <w:rFonts w:ascii="Times New Roman" w:hAnsi="Times New Roman" w:cs="Times New Roman"/>
          <w:sz w:val="24"/>
          <w:szCs w:val="24"/>
        </w:rPr>
        <w:t>Review the impact of missing distance and waiting-time values.</w:t>
      </w:r>
    </w:p>
    <w:p w14:paraId="3759380A" w14:textId="2C9DAB32" w:rsidR="007A4EA7" w:rsidRPr="007A4EA7" w:rsidRDefault="007A4EA7" w:rsidP="00080276">
      <w:pPr>
        <w:pStyle w:val="ListBullet"/>
        <w:numPr>
          <w:ilvl w:val="0"/>
          <w:numId w:val="9"/>
        </w:numPr>
        <w:spacing w:line="240" w:lineRule="auto"/>
        <w:jc w:val="both"/>
        <w:rPr>
          <w:rFonts w:ascii="Times New Roman" w:hAnsi="Times New Roman" w:cs="Times New Roman"/>
          <w:sz w:val="24"/>
          <w:szCs w:val="24"/>
        </w:rPr>
      </w:pPr>
      <w:r w:rsidRPr="007A4EA7">
        <w:rPr>
          <w:rFonts w:ascii="Times New Roman" w:hAnsi="Times New Roman" w:cs="Times New Roman"/>
          <w:sz w:val="24"/>
          <w:szCs w:val="24"/>
        </w:rPr>
        <w:t>Confirm that analytical findings supplied to Data Science are clearly defined and suitable for modelling.</w:t>
      </w:r>
    </w:p>
    <w:p w14:paraId="37BD6565" w14:textId="0E8E855B" w:rsidR="007A4EA7" w:rsidRPr="007A4EA7" w:rsidRDefault="007A4EA7" w:rsidP="007A4EA7">
      <w:pPr>
        <w:pStyle w:val="ListBullet"/>
        <w:numPr>
          <w:ilvl w:val="0"/>
          <w:numId w:val="0"/>
        </w:numPr>
        <w:ind w:left="360" w:hanging="360"/>
        <w:jc w:val="both"/>
        <w:rPr>
          <w:rFonts w:ascii="Times New Roman" w:hAnsi="Times New Roman" w:cs="Times New Roman"/>
          <w:sz w:val="24"/>
          <w:szCs w:val="24"/>
        </w:rPr>
      </w:pPr>
    </w:p>
    <w:p w14:paraId="3FE3E98B" w14:textId="4397F193" w:rsidR="007A4EA7" w:rsidRPr="007A4EA7" w:rsidRDefault="007A4EA7" w:rsidP="007A4EA7">
      <w:pPr>
        <w:pStyle w:val="ListParagraph"/>
        <w:numPr>
          <w:ilvl w:val="0"/>
          <w:numId w:val="2"/>
        </w:numPr>
        <w:jc w:val="both"/>
        <w:rPr>
          <w:rFonts w:ascii="Times New Roman" w:hAnsi="Times New Roman" w:cs="Times New Roman"/>
          <w:b/>
          <w:bCs/>
          <w:sz w:val="24"/>
          <w:szCs w:val="24"/>
        </w:rPr>
      </w:pPr>
      <w:r w:rsidRPr="007A4EA7">
        <w:rPr>
          <w:rFonts w:ascii="Times New Roman" w:hAnsi="Times New Roman" w:cs="Times New Roman"/>
          <w:b/>
          <w:bCs/>
          <w:sz w:val="24"/>
          <w:szCs w:val="24"/>
        </w:rPr>
        <w:t>Contribution of Overall HealthConnect Project</w:t>
      </w:r>
    </w:p>
    <w:p w14:paraId="51BD8944" w14:textId="4F734D94" w:rsidR="007A4EA7" w:rsidRPr="007A4EA7" w:rsidRDefault="007A4EA7" w:rsidP="00080276">
      <w:pPr>
        <w:spacing w:line="240" w:lineRule="auto"/>
        <w:jc w:val="both"/>
        <w:rPr>
          <w:rFonts w:ascii="Times New Roman" w:hAnsi="Times New Roman" w:cs="Times New Roman"/>
          <w:sz w:val="24"/>
          <w:szCs w:val="24"/>
        </w:rPr>
      </w:pPr>
      <w:r w:rsidRPr="00CD39C6">
        <w:rPr>
          <w:rFonts w:ascii="Times New Roman" w:hAnsi="Times New Roman" w:cs="Times New Roman"/>
          <w:color w:val="auto"/>
          <w:sz w:val="24"/>
          <w:szCs w:val="24"/>
        </w:rPr>
        <w:t>My Week 6 contribution advances HealthConnect from descriptive appointment analysis toward evidence-based decision support. By validating the core KPIs, investigating high-impact attendance patterns, improving the Power BI dashboard and integrating findings with the Data Science track, the analysis provides a clearer basis for identifying appointment and patient patterns that may require further attention. It also provides analytical inputs that can support predictive modelling and the next stage of project testing</w:t>
      </w:r>
      <w:r w:rsidRPr="007A4EA7">
        <w:rPr>
          <w:rFonts w:ascii="Times New Roman" w:hAnsi="Times New Roman" w:cs="Times New Roman"/>
          <w:sz w:val="24"/>
          <w:szCs w:val="24"/>
        </w:rPr>
        <w:t>.</w:t>
      </w:r>
    </w:p>
    <w:p w14:paraId="74361BF6" w14:textId="2CED3212" w:rsidR="007A4EA7" w:rsidRPr="007A4EA7" w:rsidRDefault="007A4EA7" w:rsidP="007A4EA7">
      <w:pPr>
        <w:pStyle w:val="ListParagraph"/>
        <w:numPr>
          <w:ilvl w:val="0"/>
          <w:numId w:val="2"/>
        </w:numPr>
        <w:jc w:val="both"/>
        <w:rPr>
          <w:rFonts w:ascii="Times New Roman" w:hAnsi="Times New Roman" w:cs="Times New Roman"/>
          <w:b/>
          <w:bCs/>
          <w:sz w:val="24"/>
          <w:szCs w:val="24"/>
        </w:rPr>
      </w:pPr>
      <w:r w:rsidRPr="007A4EA7">
        <w:rPr>
          <w:rFonts w:ascii="Times New Roman" w:hAnsi="Times New Roman" w:cs="Times New Roman"/>
          <w:b/>
          <w:bCs/>
          <w:sz w:val="24"/>
          <w:szCs w:val="24"/>
        </w:rPr>
        <w:t>Week 6 Completion Summary</w:t>
      </w:r>
    </w:p>
    <w:tbl>
      <w:tblPr>
        <w:tblStyle w:val="TableGrid"/>
        <w:tblW w:w="9985" w:type="dxa"/>
        <w:jc w:val="center"/>
        <w:tblLook w:val="04A0" w:firstRow="1" w:lastRow="0" w:firstColumn="1" w:lastColumn="0" w:noHBand="0" w:noVBand="1"/>
      </w:tblPr>
      <w:tblGrid>
        <w:gridCol w:w="4658"/>
        <w:gridCol w:w="5327"/>
      </w:tblGrid>
      <w:tr w:rsidR="007A4EA7" w:rsidRPr="007A4EA7" w14:paraId="33303749" w14:textId="77777777" w:rsidTr="00CD39C6">
        <w:trPr>
          <w:jc w:val="center"/>
        </w:trPr>
        <w:tc>
          <w:tcPr>
            <w:tcW w:w="4658" w:type="dxa"/>
            <w:shd w:val="clear" w:color="auto" w:fill="FFFFFF" w:themeFill="background1"/>
            <w:vAlign w:val="center"/>
          </w:tcPr>
          <w:p w14:paraId="77093FE1"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Area</w:t>
            </w:r>
          </w:p>
        </w:tc>
        <w:tc>
          <w:tcPr>
            <w:tcW w:w="5327" w:type="dxa"/>
            <w:shd w:val="clear" w:color="auto" w:fill="FFFFFF" w:themeFill="background1"/>
            <w:vAlign w:val="center"/>
          </w:tcPr>
          <w:p w14:paraId="38E48E34"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Summary</w:t>
            </w:r>
          </w:p>
        </w:tc>
      </w:tr>
      <w:tr w:rsidR="007A4EA7" w:rsidRPr="007A4EA7" w14:paraId="186B0FEE" w14:textId="77777777" w:rsidTr="00CD39C6">
        <w:trPr>
          <w:jc w:val="center"/>
        </w:trPr>
        <w:tc>
          <w:tcPr>
            <w:tcW w:w="4658" w:type="dxa"/>
            <w:shd w:val="clear" w:color="auto" w:fill="FFFFFF" w:themeFill="background1"/>
            <w:vAlign w:val="center"/>
          </w:tcPr>
          <w:p w14:paraId="5BC5AF8E"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Planned</w:t>
            </w:r>
          </w:p>
        </w:tc>
        <w:tc>
          <w:tcPr>
            <w:tcW w:w="5327" w:type="dxa"/>
            <w:shd w:val="clear" w:color="auto" w:fill="FFFFFF" w:themeFill="background1"/>
            <w:vAlign w:val="center"/>
          </w:tcPr>
          <w:p w14:paraId="49ECB1BA"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Deepen Week 5 findings, validate KPIs, improve the dashboard and integrate findings with Data Science.</w:t>
            </w:r>
          </w:p>
        </w:tc>
      </w:tr>
      <w:tr w:rsidR="007A4EA7" w:rsidRPr="007A4EA7" w14:paraId="44AD2D67" w14:textId="77777777" w:rsidTr="00CD39C6">
        <w:trPr>
          <w:jc w:val="center"/>
        </w:trPr>
        <w:tc>
          <w:tcPr>
            <w:tcW w:w="4658" w:type="dxa"/>
            <w:shd w:val="clear" w:color="auto" w:fill="FFFFFF" w:themeFill="background1"/>
            <w:vAlign w:val="center"/>
          </w:tcPr>
          <w:p w14:paraId="5E4ECB64"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Completed</w:t>
            </w:r>
          </w:p>
        </w:tc>
        <w:tc>
          <w:tcPr>
            <w:tcW w:w="5327" w:type="dxa"/>
            <w:shd w:val="clear" w:color="auto" w:fill="FFFFFF" w:themeFill="background1"/>
            <w:vAlign w:val="center"/>
          </w:tcPr>
          <w:p w14:paraId="0FDDA26F"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Advanced analysis of booking lead time, previous no-show history, reminder patterns, appointment type, age and appointment day; KPI validation; dashboard improvement; cross-track integration.</w:t>
            </w:r>
          </w:p>
        </w:tc>
      </w:tr>
      <w:tr w:rsidR="007A4EA7" w:rsidRPr="007A4EA7" w14:paraId="13544C1E" w14:textId="77777777" w:rsidTr="00CD39C6">
        <w:trPr>
          <w:jc w:val="center"/>
        </w:trPr>
        <w:tc>
          <w:tcPr>
            <w:tcW w:w="4658" w:type="dxa"/>
            <w:shd w:val="clear" w:color="auto" w:fill="FFFFFF" w:themeFill="background1"/>
            <w:vAlign w:val="center"/>
          </w:tcPr>
          <w:p w14:paraId="42B3A148"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Integrated</w:t>
            </w:r>
          </w:p>
        </w:tc>
        <w:tc>
          <w:tcPr>
            <w:tcW w:w="5327" w:type="dxa"/>
            <w:shd w:val="clear" w:color="auto" w:fill="FFFFFF" w:themeFill="background1"/>
            <w:vAlign w:val="center"/>
          </w:tcPr>
          <w:p w14:paraId="003F3155"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Data Analytics findings were connected to Data Science modelling considerations, particularly booking lead time and previous no-show history.</w:t>
            </w:r>
          </w:p>
        </w:tc>
      </w:tr>
      <w:tr w:rsidR="007A4EA7" w:rsidRPr="007A4EA7" w14:paraId="68A36D8A" w14:textId="77777777" w:rsidTr="00CD39C6">
        <w:trPr>
          <w:jc w:val="center"/>
        </w:trPr>
        <w:tc>
          <w:tcPr>
            <w:tcW w:w="4658" w:type="dxa"/>
            <w:shd w:val="clear" w:color="auto" w:fill="FFFFFF" w:themeFill="background1"/>
            <w:vAlign w:val="center"/>
          </w:tcPr>
          <w:p w14:paraId="23F8E442"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Key outcome</w:t>
            </w:r>
          </w:p>
        </w:tc>
        <w:tc>
          <w:tcPr>
            <w:tcW w:w="5327" w:type="dxa"/>
            <w:shd w:val="clear" w:color="auto" w:fill="FFFFFF" w:themeFill="background1"/>
            <w:vAlign w:val="center"/>
          </w:tcPr>
          <w:p w14:paraId="1E597327"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No-show remains the largest appointment outcome; booking lead time and previous no-show history show important attendance patterns requiring further validation.</w:t>
            </w:r>
          </w:p>
        </w:tc>
      </w:tr>
      <w:tr w:rsidR="007A4EA7" w:rsidRPr="007A4EA7" w14:paraId="73F2399D" w14:textId="77777777" w:rsidTr="00CD39C6">
        <w:trPr>
          <w:jc w:val="center"/>
        </w:trPr>
        <w:tc>
          <w:tcPr>
            <w:tcW w:w="4658" w:type="dxa"/>
            <w:shd w:val="clear" w:color="auto" w:fill="FFFFFF" w:themeFill="background1"/>
            <w:vAlign w:val="center"/>
          </w:tcPr>
          <w:p w14:paraId="60AE472F"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Remaining issues</w:t>
            </w:r>
          </w:p>
        </w:tc>
        <w:tc>
          <w:tcPr>
            <w:tcW w:w="5327" w:type="dxa"/>
            <w:shd w:val="clear" w:color="auto" w:fill="FFFFFF" w:themeFill="background1"/>
            <w:vAlign w:val="center"/>
          </w:tcPr>
          <w:p w14:paraId="18EDC02D"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Causal inference, missing operational variables and validation of relationships remain limitations.</w:t>
            </w:r>
          </w:p>
        </w:tc>
      </w:tr>
      <w:tr w:rsidR="007A4EA7" w:rsidRPr="007A4EA7" w14:paraId="1CC4618E" w14:textId="77777777" w:rsidTr="00CD39C6">
        <w:trPr>
          <w:jc w:val="center"/>
        </w:trPr>
        <w:tc>
          <w:tcPr>
            <w:tcW w:w="4658" w:type="dxa"/>
            <w:shd w:val="clear" w:color="auto" w:fill="FFFFFF" w:themeFill="background1"/>
            <w:vAlign w:val="center"/>
          </w:tcPr>
          <w:p w14:paraId="2E992FE0"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b/>
                <w:color w:val="auto"/>
                <w:sz w:val="24"/>
                <w:szCs w:val="24"/>
              </w:rPr>
              <w:t>Week 7 focus</w:t>
            </w:r>
          </w:p>
        </w:tc>
        <w:tc>
          <w:tcPr>
            <w:tcW w:w="5327" w:type="dxa"/>
            <w:shd w:val="clear" w:color="auto" w:fill="FFFFFF" w:themeFill="background1"/>
            <w:vAlign w:val="center"/>
          </w:tcPr>
          <w:p w14:paraId="45CE7752" w14:textId="77777777" w:rsidR="007A4EA7" w:rsidRPr="00CD39C6" w:rsidRDefault="007A4EA7" w:rsidP="00080276">
            <w:pPr>
              <w:spacing w:line="240" w:lineRule="auto"/>
              <w:jc w:val="both"/>
              <w:rPr>
                <w:rFonts w:ascii="Times New Roman" w:hAnsi="Times New Roman" w:cs="Times New Roman"/>
                <w:color w:val="auto"/>
                <w:sz w:val="24"/>
                <w:szCs w:val="24"/>
              </w:rPr>
            </w:pPr>
            <w:r w:rsidRPr="00CD39C6">
              <w:rPr>
                <w:rFonts w:ascii="Times New Roman" w:hAnsi="Times New Roman" w:cs="Times New Roman"/>
                <w:color w:val="auto"/>
                <w:sz w:val="24"/>
                <w:szCs w:val="24"/>
              </w:rPr>
              <w:t>Testing, analytical validation, dashboard reliability checks and refinement.</w:t>
            </w:r>
          </w:p>
        </w:tc>
      </w:tr>
    </w:tbl>
    <w:p w14:paraId="371B7B21" w14:textId="77777777" w:rsidR="007A4EA7" w:rsidRPr="007A4EA7" w:rsidRDefault="007A4EA7" w:rsidP="007A4EA7">
      <w:pPr>
        <w:jc w:val="both"/>
        <w:rPr>
          <w:rFonts w:ascii="Times New Roman" w:hAnsi="Times New Roman" w:cs="Times New Roman"/>
          <w:b/>
          <w:bCs/>
          <w:sz w:val="24"/>
          <w:szCs w:val="24"/>
        </w:rPr>
      </w:pPr>
    </w:p>
    <w:p w14:paraId="0C9EB71F" w14:textId="77777777" w:rsidR="007A4EA7" w:rsidRPr="007A4EA7" w:rsidRDefault="007A4EA7" w:rsidP="007A4EA7">
      <w:pPr>
        <w:pStyle w:val="ListBullet"/>
        <w:numPr>
          <w:ilvl w:val="0"/>
          <w:numId w:val="0"/>
        </w:numPr>
        <w:ind w:left="360" w:hanging="360"/>
        <w:jc w:val="both"/>
        <w:rPr>
          <w:rFonts w:ascii="Times New Roman" w:hAnsi="Times New Roman" w:cs="Times New Roman"/>
          <w:sz w:val="24"/>
          <w:szCs w:val="24"/>
        </w:rPr>
      </w:pPr>
    </w:p>
    <w:p w14:paraId="3949992D" w14:textId="77777777" w:rsidR="007A4EA7" w:rsidRPr="007A4EA7" w:rsidRDefault="007A4EA7" w:rsidP="007A4EA7">
      <w:pPr>
        <w:jc w:val="both"/>
        <w:rPr>
          <w:rFonts w:ascii="Times New Roman" w:hAnsi="Times New Roman" w:cs="Times New Roman"/>
          <w:b/>
          <w:bCs/>
          <w:sz w:val="24"/>
          <w:szCs w:val="24"/>
        </w:rPr>
      </w:pPr>
    </w:p>
    <w:sectPr w:rsidR="007A4EA7" w:rsidRPr="007A4EA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03533" w14:textId="77777777" w:rsidR="00F75D6E" w:rsidRDefault="00F75D6E" w:rsidP="00080276">
      <w:pPr>
        <w:spacing w:after="0" w:line="240" w:lineRule="auto"/>
      </w:pPr>
      <w:r>
        <w:separator/>
      </w:r>
    </w:p>
  </w:endnote>
  <w:endnote w:type="continuationSeparator" w:id="0">
    <w:p w14:paraId="5BFEC206" w14:textId="77777777" w:rsidR="00F75D6E" w:rsidRDefault="00F75D6E" w:rsidP="00080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5B490" w14:textId="703AC9F5" w:rsidR="00080276" w:rsidRDefault="00080276">
    <w:pPr>
      <w:pStyle w:val="Footer"/>
    </w:pPr>
    <w:r>
      <w:rPr>
        <w:noProof/>
      </w:rPr>
      <mc:AlternateContent>
        <mc:Choice Requires="wpg">
          <w:drawing>
            <wp:anchor distT="0" distB="0" distL="114300" distR="114300" simplePos="0" relativeHeight="251659264" behindDoc="0" locked="0" layoutInCell="1" allowOverlap="1" wp14:anchorId="1A62B324" wp14:editId="1C6375E5">
              <wp:simplePos x="0" y="0"/>
              <wp:positionH relativeFrom="page">
                <wp:posOffset>-760288</wp:posOffset>
              </wp:positionH>
              <wp:positionV relativeFrom="bottomMargin">
                <wp:posOffset>318499</wp:posOffset>
              </wp:positionV>
              <wp:extent cx="8535257" cy="358647"/>
              <wp:effectExtent l="0" t="0" r="0" b="3810"/>
              <wp:wrapNone/>
              <wp:docPr id="164" name="Group 164"/>
              <wp:cNvGraphicFramePr/>
              <a:graphic xmlns:a="http://schemas.openxmlformats.org/drawingml/2006/main">
                <a:graphicData uri="http://schemas.microsoft.com/office/word/2010/wordprocessingGroup">
                  <wpg:wgp>
                    <wpg:cNvGrpSpPr/>
                    <wpg:grpSpPr>
                      <a:xfrm>
                        <a:off x="0" y="0"/>
                        <a:ext cx="8535257" cy="358647"/>
                        <a:chOff x="-2363057" y="0"/>
                        <a:chExt cx="8535257" cy="358647"/>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2363057" y="112267"/>
                          <a:ext cx="5943600" cy="246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C40F3B" w14:textId="2DC0E8C1" w:rsidR="00080276" w:rsidRDefault="00F75D6E">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AC35C7">
                                  <w:rPr>
                                    <w:caps/>
                                    <w:color w:val="4472C4" w:themeColor="accent1"/>
                                    <w:sz w:val="20"/>
                                    <w:szCs w:val="20"/>
                                  </w:rPr>
                                  <w:t>Healthconnect</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A62B324" id="Group 164" o:spid="_x0000_s1026" style="position:absolute;margin-left:-59.85pt;margin-top:25.1pt;width:672.05pt;height:28.25pt;z-index:251659264;mso-position-horizontal-relative:page;mso-position-vertical-relative:bottom-margin-area;mso-width-relative:margin;mso-height-relative:margin" coordorigin="-23630" coordsize="85352,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left:-23630;top:1122;width:5943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7FC40F3B" w14:textId="2DC0E8C1" w:rsidR="00080276" w:rsidRDefault="00F75D6E">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AC35C7">
                            <w:rPr>
                              <w:caps/>
                              <w:color w:val="4472C4" w:themeColor="accent1"/>
                              <w:sz w:val="20"/>
                              <w:szCs w:val="20"/>
                            </w:rPr>
                            <w:t>Healthconnect</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C21F" w14:textId="77777777" w:rsidR="00F75D6E" w:rsidRDefault="00F75D6E" w:rsidP="00080276">
      <w:pPr>
        <w:spacing w:after="0" w:line="240" w:lineRule="auto"/>
      </w:pPr>
      <w:r>
        <w:separator/>
      </w:r>
    </w:p>
  </w:footnote>
  <w:footnote w:type="continuationSeparator" w:id="0">
    <w:p w14:paraId="47A54D39" w14:textId="77777777" w:rsidR="00F75D6E" w:rsidRDefault="00F75D6E" w:rsidP="00080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3F42A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01B0B"/>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0D1C5D"/>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3A3C02"/>
    <w:multiLevelType w:val="multilevel"/>
    <w:tmpl w:val="8FDC5CF6"/>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416516"/>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F99654F"/>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4031166"/>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98B0CA4"/>
    <w:multiLevelType w:val="hybridMultilevel"/>
    <w:tmpl w:val="63A8B27C"/>
    <w:lvl w:ilvl="0" w:tplc="736C70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390407"/>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8"/>
  </w:num>
  <w:num w:numId="3">
    <w:abstractNumId w:val="1"/>
  </w:num>
  <w:num w:numId="4">
    <w:abstractNumId w:val="2"/>
  </w:num>
  <w:num w:numId="5">
    <w:abstractNumId w:val="4"/>
  </w:num>
  <w:num w:numId="6">
    <w:abstractNumId w:val="6"/>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9FC"/>
    <w:rsid w:val="00080276"/>
    <w:rsid w:val="000D6DC4"/>
    <w:rsid w:val="002F747B"/>
    <w:rsid w:val="003839FC"/>
    <w:rsid w:val="003D0F44"/>
    <w:rsid w:val="00470D97"/>
    <w:rsid w:val="00736F59"/>
    <w:rsid w:val="007A4EA7"/>
    <w:rsid w:val="00873B4D"/>
    <w:rsid w:val="00AC35C7"/>
    <w:rsid w:val="00B43924"/>
    <w:rsid w:val="00CA4997"/>
    <w:rsid w:val="00CD39C6"/>
    <w:rsid w:val="00F75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BBC00"/>
  <w15:chartTrackingRefBased/>
  <w15:docId w15:val="{3FBF9BDD-BDDB-400C-AE33-67C7EE11C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9FC"/>
    <w:pPr>
      <w:spacing w:after="200" w:line="276" w:lineRule="auto"/>
    </w:pPr>
    <w:rPr>
      <w:rFonts w:ascii="Aptos" w:eastAsiaTheme="minorEastAsia" w:hAnsi="Aptos"/>
      <w:color w:val="28343E"/>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924"/>
    <w:pPr>
      <w:ind w:left="720"/>
      <w:contextualSpacing/>
    </w:pPr>
  </w:style>
  <w:style w:type="table" w:styleId="TableGrid">
    <w:name w:val="Table Grid"/>
    <w:basedOn w:val="TableNormal"/>
    <w:uiPriority w:val="59"/>
    <w:rsid w:val="00736F5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A4EA7"/>
    <w:pPr>
      <w:numPr>
        <w:numId w:val="8"/>
      </w:numPr>
      <w:contextualSpacing/>
    </w:pPr>
    <w:rPr>
      <w:color w:val="auto"/>
    </w:rPr>
  </w:style>
  <w:style w:type="paragraph" w:styleId="Header">
    <w:name w:val="header"/>
    <w:basedOn w:val="Normal"/>
    <w:link w:val="HeaderChar"/>
    <w:uiPriority w:val="99"/>
    <w:unhideWhenUsed/>
    <w:rsid w:val="000802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276"/>
    <w:rPr>
      <w:rFonts w:ascii="Aptos" w:eastAsiaTheme="minorEastAsia" w:hAnsi="Aptos"/>
      <w:color w:val="28343E"/>
      <w:sz w:val="21"/>
    </w:rPr>
  </w:style>
  <w:style w:type="paragraph" w:styleId="Footer">
    <w:name w:val="footer"/>
    <w:basedOn w:val="Normal"/>
    <w:link w:val="FooterChar"/>
    <w:uiPriority w:val="99"/>
    <w:unhideWhenUsed/>
    <w:rsid w:val="00080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276"/>
    <w:rPr>
      <w:rFonts w:ascii="Aptos" w:eastAsiaTheme="minorEastAsia" w:hAnsi="Aptos"/>
      <w:color w:val="28343E"/>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31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Healthconnect</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dc:title>
  <dc:subject/>
  <dc:creator>Admin</dc:creator>
  <cp:keywords/>
  <dc:description/>
  <cp:lastModifiedBy>Admin</cp:lastModifiedBy>
  <cp:revision>3</cp:revision>
  <dcterms:created xsi:type="dcterms:W3CDTF">2026-09-08T16:28:00Z</dcterms:created>
  <dcterms:modified xsi:type="dcterms:W3CDTF">2026-09-13T16:16:00Z</dcterms:modified>
</cp:coreProperties>
</file>