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78E0F" w14:textId="77777777" w:rsidR="00CA575C" w:rsidRPr="00F831AC" w:rsidRDefault="00CA575C" w:rsidP="00CA575C">
      <w:pPr>
        <w:jc w:val="center"/>
        <w:rPr>
          <w:rFonts w:ascii="Times New Roman" w:hAnsi="Times New Roman" w:cs="Times New Roman"/>
          <w:sz w:val="24"/>
          <w:szCs w:val="28"/>
        </w:rPr>
      </w:pPr>
      <w:r w:rsidRPr="00F831AC">
        <w:rPr>
          <w:rFonts w:ascii="Times New Roman" w:hAnsi="Times New Roman" w:cs="Times New Roman"/>
          <w:b/>
          <w:sz w:val="48"/>
          <w:szCs w:val="28"/>
        </w:rPr>
        <w:t>HEALTHCONNECT CLINIC</w:t>
      </w:r>
    </w:p>
    <w:p w14:paraId="7F41B43B" w14:textId="77777777" w:rsidR="00CA575C" w:rsidRPr="00F831AC" w:rsidRDefault="00CA575C" w:rsidP="00CA575C">
      <w:pPr>
        <w:jc w:val="center"/>
        <w:rPr>
          <w:rFonts w:ascii="Times New Roman" w:hAnsi="Times New Roman" w:cs="Times New Roman"/>
          <w:sz w:val="24"/>
          <w:szCs w:val="28"/>
        </w:rPr>
      </w:pPr>
      <w:r w:rsidRPr="00F831AC">
        <w:rPr>
          <w:rFonts w:ascii="Times New Roman" w:hAnsi="Times New Roman" w:cs="Times New Roman"/>
          <w:b/>
          <w:sz w:val="36"/>
          <w:szCs w:val="28"/>
        </w:rPr>
        <w:t>WEEK 8: DATA ANALYTICS TRACK-SPECIFIC RESPONSE</w:t>
      </w:r>
    </w:p>
    <w:p w14:paraId="16AC3306" w14:textId="77777777" w:rsidR="00CA575C" w:rsidRPr="00F831AC" w:rsidRDefault="00CA575C" w:rsidP="00CA575C">
      <w:pPr>
        <w:jc w:val="center"/>
        <w:rPr>
          <w:rFonts w:ascii="Times New Roman" w:hAnsi="Times New Roman" w:cs="Times New Roman"/>
          <w:sz w:val="24"/>
          <w:szCs w:val="28"/>
        </w:rPr>
      </w:pPr>
      <w:r w:rsidRPr="00F831AC">
        <w:rPr>
          <w:rFonts w:ascii="Times New Roman" w:hAnsi="Times New Roman" w:cs="Times New Roman"/>
          <w:i/>
          <w:sz w:val="24"/>
          <w:szCs w:val="28"/>
        </w:rPr>
        <w:t>Final Analytics, Dashboard &amp; Business Insights</w:t>
      </w:r>
    </w:p>
    <w:p w14:paraId="672E1CC2" w14:textId="4741480C" w:rsidR="00CA575C" w:rsidRPr="00F831AC" w:rsidRDefault="00CA575C" w:rsidP="00CA575C">
      <w:pPr>
        <w:jc w:val="center"/>
        <w:rPr>
          <w:rFonts w:ascii="Times New Roman" w:hAnsi="Times New Roman" w:cs="Times New Roman"/>
          <w:b/>
          <w:sz w:val="24"/>
          <w:szCs w:val="28"/>
        </w:rPr>
      </w:pPr>
      <w:r w:rsidRPr="00F831AC">
        <w:rPr>
          <w:rFonts w:ascii="Times New Roman" w:hAnsi="Times New Roman" w:cs="Times New Roman"/>
          <w:b/>
          <w:sz w:val="24"/>
          <w:szCs w:val="28"/>
        </w:rPr>
        <w:t>Prepared by: Dawodu Fehintoluwa Bukola</w:t>
      </w:r>
    </w:p>
    <w:p w14:paraId="2E75C7AE" w14:textId="77777777" w:rsidR="00CA575C" w:rsidRPr="00F831AC" w:rsidRDefault="00CA575C" w:rsidP="00CA575C">
      <w:pPr>
        <w:jc w:val="center"/>
        <w:rPr>
          <w:rFonts w:ascii="Times New Roman" w:hAnsi="Times New Roman" w:cs="Times New Roman"/>
          <w:b/>
          <w:sz w:val="24"/>
          <w:szCs w:val="28"/>
        </w:rPr>
      </w:pPr>
    </w:p>
    <w:p w14:paraId="55DDD56D" w14:textId="2280EE43" w:rsidR="00CA575C" w:rsidRPr="00F831AC" w:rsidRDefault="00CA575C" w:rsidP="00CA575C">
      <w:pPr>
        <w:pStyle w:val="ListParagraph"/>
        <w:numPr>
          <w:ilvl w:val="0"/>
          <w:numId w:val="1"/>
        </w:numPr>
        <w:rPr>
          <w:rFonts w:ascii="Times New Roman" w:hAnsi="Times New Roman" w:cs="Times New Roman"/>
          <w:b/>
          <w:sz w:val="24"/>
          <w:szCs w:val="28"/>
        </w:rPr>
      </w:pPr>
      <w:r w:rsidRPr="00F831AC">
        <w:rPr>
          <w:rFonts w:ascii="Times New Roman" w:hAnsi="Times New Roman" w:cs="Times New Roman"/>
          <w:b/>
          <w:noProof/>
          <w:sz w:val="24"/>
          <w:szCs w:val="28"/>
        </w:rPr>
        <mc:AlternateContent>
          <mc:Choice Requires="wps">
            <w:drawing>
              <wp:anchor distT="0" distB="0" distL="114300" distR="114300" simplePos="0" relativeHeight="251659264" behindDoc="0" locked="0" layoutInCell="1" allowOverlap="1" wp14:anchorId="4D647049" wp14:editId="2014C57D">
                <wp:simplePos x="0" y="0"/>
                <wp:positionH relativeFrom="column">
                  <wp:posOffset>1095375</wp:posOffset>
                </wp:positionH>
                <wp:positionV relativeFrom="paragraph">
                  <wp:posOffset>85725</wp:posOffset>
                </wp:positionV>
                <wp:extent cx="209550" cy="0"/>
                <wp:effectExtent l="0" t="76200" r="19050" b="95250"/>
                <wp:wrapNone/>
                <wp:docPr id="1" name="Straight Arrow Connector 1"/>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450FC6" id="_x0000_t32" coordsize="21600,21600" o:spt="32" o:oned="t" path="m,l21600,21600e" filled="f">
                <v:path arrowok="t" fillok="f" o:connecttype="none"/>
                <o:lock v:ext="edit" shapetype="t"/>
              </v:shapetype>
              <v:shape id="Straight Arrow Connector 1" o:spid="_x0000_s1026" type="#_x0000_t32" style="position:absolute;margin-left:86.25pt;margin-top:6.75pt;width:1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" strokecolor="#4472c4 [3204]" strokeweight=".5pt">
                <v:stroke endarrow="block" joinstyle="miter"/>
              </v:shape>
            </w:pict>
          </mc:Fallback>
        </mc:AlternateContent>
      </w:r>
      <w:r w:rsidRPr="00F831AC">
        <w:rPr>
          <w:rFonts w:ascii="Times New Roman" w:hAnsi="Times New Roman" w:cs="Times New Roman"/>
          <w:b/>
          <w:sz w:val="24"/>
          <w:szCs w:val="28"/>
        </w:rPr>
        <w:t xml:space="preserve">WEEK 6 </w:t>
      </w:r>
      <w:r w:rsidRPr="00F831AC">
        <w:rPr>
          <w:rFonts w:ascii="Times New Roman" w:hAnsi="Times New Roman" w:cs="Times New Roman"/>
          <w:b/>
          <w:sz w:val="24"/>
          <w:szCs w:val="28"/>
        </w:rPr>
        <w:tab/>
        <w:t>WEEK 8 TRANSITION</w:t>
      </w:r>
    </w:p>
    <w:tbl>
      <w:tblPr>
        <w:tblStyle w:val="TableGrid"/>
        <w:tblW w:w="10435" w:type="dxa"/>
        <w:jc w:val="center"/>
        <w:tblLook w:val="04A0" w:firstRow="1" w:lastRow="0" w:firstColumn="1" w:lastColumn="0" w:noHBand="0" w:noVBand="1"/>
      </w:tblPr>
      <w:tblGrid>
        <w:gridCol w:w="4652"/>
        <w:gridCol w:w="5783"/>
      </w:tblGrid>
      <w:tr w:rsidR="00CA575C" w:rsidRPr="00F831AC" w14:paraId="54FFD236" w14:textId="77777777" w:rsidTr="00F831AC">
        <w:trPr>
          <w:jc w:val="center"/>
        </w:trPr>
        <w:tc>
          <w:tcPr>
            <w:tcW w:w="4652" w:type="dxa"/>
            <w:shd w:val="clear" w:color="auto" w:fill="auto"/>
            <w:vAlign w:val="center"/>
          </w:tcPr>
          <w:p w14:paraId="16B6CE44"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Requirement</w:t>
            </w:r>
          </w:p>
        </w:tc>
        <w:tc>
          <w:tcPr>
            <w:tcW w:w="5783" w:type="dxa"/>
            <w:shd w:val="clear" w:color="auto" w:fill="auto"/>
            <w:vAlign w:val="center"/>
          </w:tcPr>
          <w:p w14:paraId="7E13B47B"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Response</w:t>
            </w:r>
          </w:p>
        </w:tc>
      </w:tr>
      <w:tr w:rsidR="00CA575C" w:rsidRPr="00F831AC" w14:paraId="0FE4B425" w14:textId="77777777" w:rsidTr="00F831AC">
        <w:trPr>
          <w:jc w:val="center"/>
        </w:trPr>
        <w:tc>
          <w:tcPr>
            <w:tcW w:w="4652" w:type="dxa"/>
            <w:shd w:val="clear" w:color="auto" w:fill="auto"/>
            <w:vAlign w:val="center"/>
          </w:tcPr>
          <w:p w14:paraId="75304173"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Main Week 7 output</w:t>
            </w:r>
          </w:p>
        </w:tc>
        <w:tc>
          <w:tcPr>
            <w:tcW w:w="5783" w:type="dxa"/>
            <w:shd w:val="clear" w:color="auto" w:fill="auto"/>
            <w:vAlign w:val="center"/>
          </w:tcPr>
          <w:p w14:paraId="574BBED4"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Updated Power BI decision-support dashboard, validated core KPIs, deeper analysis of previous no-show history and booking lead time, and cross-track analytical input to Data Science.</w:t>
            </w:r>
          </w:p>
        </w:tc>
      </w:tr>
      <w:tr w:rsidR="00CA575C" w:rsidRPr="00F831AC" w14:paraId="0BC0753F" w14:textId="77777777" w:rsidTr="00F831AC">
        <w:trPr>
          <w:jc w:val="center"/>
        </w:trPr>
        <w:tc>
          <w:tcPr>
            <w:tcW w:w="4652" w:type="dxa"/>
            <w:shd w:val="clear" w:color="auto" w:fill="auto"/>
            <w:vAlign w:val="center"/>
          </w:tcPr>
          <w:p w14:paraId="53DF9CD9"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Most important testing result</w:t>
            </w:r>
          </w:p>
        </w:tc>
        <w:tc>
          <w:tcPr>
            <w:tcW w:w="5783" w:type="dxa"/>
            <w:shd w:val="clear" w:color="auto" w:fill="auto"/>
            <w:vAlign w:val="center"/>
          </w:tcPr>
          <w:p w14:paraId="44910D85"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Power BI and Excel produced consistent core KPI results: 48.46% no-show, 46.28% attendance and 5.26% cancellation. SQL produced different values but similar patterns, requiring reconciliation.</w:t>
            </w:r>
          </w:p>
        </w:tc>
      </w:tr>
      <w:tr w:rsidR="00CA575C" w:rsidRPr="00F831AC" w14:paraId="3D69314B" w14:textId="77777777" w:rsidTr="00F831AC">
        <w:trPr>
          <w:jc w:val="center"/>
        </w:trPr>
        <w:tc>
          <w:tcPr>
            <w:tcW w:w="4652" w:type="dxa"/>
            <w:shd w:val="clear" w:color="auto" w:fill="auto"/>
            <w:vAlign w:val="center"/>
          </w:tcPr>
          <w:p w14:paraId="715EA1C3"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Major issue discovered</w:t>
            </w:r>
          </w:p>
        </w:tc>
        <w:tc>
          <w:tcPr>
            <w:tcW w:w="5783" w:type="dxa"/>
            <w:shd w:val="clear" w:color="auto" w:fill="auto"/>
            <w:vAlign w:val="center"/>
          </w:tcPr>
          <w:p w14:paraId="5670B8AA"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The SQL KPI calculations did not fully match Power BI/Excel. The calculation logic and denominator/filter treatment require reconciliation before the SQL figures are treated as final.</w:t>
            </w:r>
          </w:p>
        </w:tc>
      </w:tr>
      <w:tr w:rsidR="00CA575C" w:rsidRPr="00F831AC" w14:paraId="490D6D00" w14:textId="77777777" w:rsidTr="00F831AC">
        <w:trPr>
          <w:jc w:val="center"/>
        </w:trPr>
        <w:tc>
          <w:tcPr>
            <w:tcW w:w="4652" w:type="dxa"/>
            <w:shd w:val="clear" w:color="auto" w:fill="auto"/>
            <w:vAlign w:val="center"/>
          </w:tcPr>
          <w:p w14:paraId="0794D46E"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What was refined</w:t>
            </w:r>
          </w:p>
        </w:tc>
        <w:tc>
          <w:tcPr>
            <w:tcW w:w="5783" w:type="dxa"/>
            <w:shd w:val="clear" w:color="auto" w:fill="auto"/>
            <w:vAlign w:val="center"/>
          </w:tcPr>
          <w:p w14:paraId="73A62CB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The dashboard was refined to focus on booking lead time, previous no-show history, reminders, appointment type and other high-value patterns.</w:t>
            </w:r>
          </w:p>
        </w:tc>
      </w:tr>
      <w:tr w:rsidR="00CA575C" w:rsidRPr="00F831AC" w14:paraId="3B2AA5ED" w14:textId="77777777" w:rsidTr="00F831AC">
        <w:trPr>
          <w:jc w:val="center"/>
        </w:trPr>
        <w:tc>
          <w:tcPr>
            <w:tcW w:w="4652" w:type="dxa"/>
            <w:shd w:val="clear" w:color="auto" w:fill="auto"/>
            <w:vAlign w:val="center"/>
          </w:tcPr>
          <w:p w14:paraId="231B65A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Component now considered ready</w:t>
            </w:r>
          </w:p>
        </w:tc>
        <w:tc>
          <w:tcPr>
            <w:tcW w:w="5783" w:type="dxa"/>
            <w:shd w:val="clear" w:color="auto" w:fill="auto"/>
            <w:vAlign w:val="center"/>
          </w:tcPr>
          <w:p w14:paraId="6D178A89"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The core KPI set and analytical dashboard are ready for final presentation, subject to documenting the SQL reconciliation issue.</w:t>
            </w:r>
          </w:p>
        </w:tc>
      </w:tr>
      <w:tr w:rsidR="00CA575C" w:rsidRPr="00F831AC" w14:paraId="53359467" w14:textId="77777777" w:rsidTr="00F831AC">
        <w:trPr>
          <w:jc w:val="center"/>
        </w:trPr>
        <w:tc>
          <w:tcPr>
            <w:tcW w:w="4652" w:type="dxa"/>
            <w:shd w:val="clear" w:color="auto" w:fill="auto"/>
            <w:vAlign w:val="center"/>
          </w:tcPr>
          <w:p w14:paraId="6E2C4E2F"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What still needs integration</w:t>
            </w:r>
          </w:p>
        </w:tc>
        <w:tc>
          <w:tcPr>
            <w:tcW w:w="5783" w:type="dxa"/>
            <w:shd w:val="clear" w:color="auto" w:fill="auto"/>
            <w:vAlign w:val="center"/>
          </w:tcPr>
          <w:p w14:paraId="34C0602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Relevant validated Data Analytics findings need to be carried into the final HealthConnect solution and presented alongside the final Data Science findings.</w:t>
            </w:r>
          </w:p>
        </w:tc>
      </w:tr>
      <w:tr w:rsidR="00CA575C" w:rsidRPr="00F831AC" w14:paraId="297AAC21" w14:textId="77777777" w:rsidTr="00F831AC">
        <w:trPr>
          <w:jc w:val="center"/>
        </w:trPr>
        <w:tc>
          <w:tcPr>
            <w:tcW w:w="4652" w:type="dxa"/>
            <w:shd w:val="clear" w:color="auto" w:fill="auto"/>
            <w:vAlign w:val="center"/>
          </w:tcPr>
          <w:p w14:paraId="498B2442"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lastRenderedPageBreak/>
              <w:t>Tracks involved</w:t>
            </w:r>
          </w:p>
        </w:tc>
        <w:tc>
          <w:tcPr>
            <w:tcW w:w="5783" w:type="dxa"/>
            <w:shd w:val="clear" w:color="auto" w:fill="auto"/>
            <w:vAlign w:val="center"/>
          </w:tcPr>
          <w:p w14:paraId="79FAE6F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Science is the main cross-track dependency; Project Management is relevant to final integration and presentation coordination.</w:t>
            </w:r>
          </w:p>
        </w:tc>
      </w:tr>
      <w:tr w:rsidR="00CA575C" w:rsidRPr="00F831AC" w14:paraId="2851EF63" w14:textId="77777777" w:rsidTr="00F831AC">
        <w:trPr>
          <w:jc w:val="center"/>
        </w:trPr>
        <w:tc>
          <w:tcPr>
            <w:tcW w:w="4652" w:type="dxa"/>
            <w:shd w:val="clear" w:color="auto" w:fill="auto"/>
            <w:vAlign w:val="center"/>
          </w:tcPr>
          <w:p w14:paraId="622A3C23"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Final presentation focus</w:t>
            </w:r>
          </w:p>
        </w:tc>
        <w:tc>
          <w:tcPr>
            <w:tcW w:w="5783" w:type="dxa"/>
            <w:shd w:val="clear" w:color="auto" w:fill="auto"/>
            <w:vAlign w:val="center"/>
          </w:tcPr>
          <w:p w14:paraId="0951F5DE"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Demonstrate the dashboard, validated KPIs, key attendance/no-show patterns, business implications, limitations and the connection between Data Analytics and predictive modelling.</w:t>
            </w:r>
          </w:p>
        </w:tc>
      </w:tr>
    </w:tbl>
    <w:p w14:paraId="51E853AD" w14:textId="00ABD91C" w:rsidR="002939C8" w:rsidRPr="00F831AC" w:rsidRDefault="002939C8">
      <w:pPr>
        <w:rPr>
          <w:rFonts w:ascii="Times New Roman" w:hAnsi="Times New Roman" w:cs="Times New Roman"/>
          <w:b/>
          <w:bCs/>
          <w:sz w:val="24"/>
          <w:szCs w:val="28"/>
        </w:rPr>
      </w:pPr>
    </w:p>
    <w:p w14:paraId="253C29E7" w14:textId="242C064E" w:rsidR="00CA575C" w:rsidRPr="00F831AC" w:rsidRDefault="00CA575C" w:rsidP="00CA575C">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FINAL DATA ANALYSIS COMPONENT</w:t>
      </w:r>
    </w:p>
    <w:p w14:paraId="3F4F6524" w14:textId="554723FB"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sz w:val="24"/>
          <w:szCs w:val="28"/>
        </w:rPr>
        <w:t>My final component is the HealthConnect appointment attendance and no-show decision-support analysis, delivered through the Power BI dashboard and supporting analytical documentation.</w:t>
      </w:r>
    </w:p>
    <w:p w14:paraId="63E7F9A8" w14:textId="4914EA38"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sz w:val="24"/>
          <w:szCs w:val="28"/>
        </w:rPr>
        <w:t>It addresses the question: What factors are associated with patients attending, cancelling or missing their scheduled appointments?</w:t>
      </w:r>
    </w:p>
    <w:p w14:paraId="426A3B3D" w14:textId="13CCF560" w:rsidR="00CA575C" w:rsidRPr="00F831AC" w:rsidRDefault="00CA575C" w:rsidP="00CA575C">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CURRENT STATUS</w:t>
      </w:r>
    </w:p>
    <w:p w14:paraId="730B8045" w14:textId="4427E1F9"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The core KPIs have been validated in Power BI/Excel and retained.</w:t>
      </w:r>
    </w:p>
    <w:p w14:paraId="1B44C61D"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The Power BI dashboard has been refined from the earlier exploratory version.</w:t>
      </w:r>
    </w:p>
    <w:p w14:paraId="38710181"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Important attendance/no-show patterns have been investigated and communicated.</w:t>
      </w:r>
    </w:p>
    <w:p w14:paraId="625389D4"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Booking lead-time findings were supplied to Data Science for cross-track validation.</w:t>
      </w:r>
    </w:p>
    <w:p w14:paraId="39DB6D4C"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Data Science model findings have been incorporated into the interpretation of the analytical results.</w:t>
      </w:r>
    </w:p>
    <w:p w14:paraId="31FCC9F0" w14:textId="0D653774"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A SQL/Power BI/Excel KPI discrepancy remains an issue to reconcile and document.</w:t>
      </w:r>
    </w:p>
    <w:p w14:paraId="7F0D1509" w14:textId="77777777" w:rsidR="00CA575C" w:rsidRPr="00F831AC" w:rsidRDefault="00CA575C" w:rsidP="00CA575C">
      <w:pPr>
        <w:pStyle w:val="ListBullet"/>
        <w:numPr>
          <w:ilvl w:val="0"/>
          <w:numId w:val="0"/>
        </w:numPr>
        <w:ind w:left="360" w:hanging="360"/>
        <w:rPr>
          <w:rFonts w:ascii="Times New Roman" w:hAnsi="Times New Roman" w:cs="Times New Roman"/>
          <w:sz w:val="24"/>
          <w:szCs w:val="28"/>
        </w:rPr>
      </w:pPr>
    </w:p>
    <w:p w14:paraId="153EA06B" w14:textId="52A4DCD0" w:rsidR="00CA575C" w:rsidRPr="00F831AC" w:rsidRDefault="00CA575C" w:rsidP="00CA575C">
      <w:pPr>
        <w:pStyle w:val="ListBullet"/>
        <w:numPr>
          <w:ilvl w:val="0"/>
          <w:numId w:val="1"/>
        </w:numPr>
        <w:rPr>
          <w:rFonts w:ascii="Times New Roman" w:hAnsi="Times New Roman" w:cs="Times New Roman"/>
          <w:sz w:val="24"/>
          <w:szCs w:val="28"/>
        </w:rPr>
      </w:pPr>
      <w:r w:rsidRPr="00F831AC">
        <w:rPr>
          <w:rFonts w:ascii="Times New Roman" w:hAnsi="Times New Roman" w:cs="Times New Roman"/>
          <w:sz w:val="24"/>
          <w:szCs w:val="28"/>
        </w:rPr>
        <w:t>FINAL KPI</w:t>
      </w:r>
    </w:p>
    <w:tbl>
      <w:tblPr>
        <w:tblStyle w:val="TableGrid"/>
        <w:tblW w:w="9625" w:type="dxa"/>
        <w:tblLook w:val="04A0" w:firstRow="1" w:lastRow="0" w:firstColumn="1" w:lastColumn="0" w:noHBand="0" w:noVBand="1"/>
      </w:tblPr>
      <w:tblGrid>
        <w:gridCol w:w="3120"/>
        <w:gridCol w:w="3078"/>
        <w:gridCol w:w="3427"/>
      </w:tblGrid>
      <w:tr w:rsidR="00CA575C" w:rsidRPr="00F831AC" w14:paraId="77DFF5C4" w14:textId="77777777" w:rsidTr="00F831AC">
        <w:tc>
          <w:tcPr>
            <w:tcW w:w="3120" w:type="dxa"/>
            <w:shd w:val="clear" w:color="auto" w:fill="auto"/>
            <w:vAlign w:val="center"/>
          </w:tcPr>
          <w:p w14:paraId="159852D8"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KPI</w:t>
            </w:r>
          </w:p>
        </w:tc>
        <w:tc>
          <w:tcPr>
            <w:tcW w:w="3078" w:type="dxa"/>
            <w:shd w:val="clear" w:color="auto" w:fill="auto"/>
            <w:vAlign w:val="center"/>
          </w:tcPr>
          <w:p w14:paraId="0FAEF353"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Power BI/Excel Result</w:t>
            </w:r>
          </w:p>
        </w:tc>
        <w:tc>
          <w:tcPr>
            <w:tcW w:w="3427" w:type="dxa"/>
            <w:shd w:val="clear" w:color="auto" w:fill="auto"/>
            <w:vAlign w:val="center"/>
          </w:tcPr>
          <w:p w14:paraId="45B97C3C"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Interpretation</w:t>
            </w:r>
          </w:p>
        </w:tc>
      </w:tr>
      <w:tr w:rsidR="00CA575C" w:rsidRPr="00F831AC" w14:paraId="649F5311" w14:textId="77777777" w:rsidTr="00F831AC">
        <w:tc>
          <w:tcPr>
            <w:tcW w:w="3120" w:type="dxa"/>
            <w:shd w:val="clear" w:color="auto" w:fill="auto"/>
            <w:vAlign w:val="center"/>
          </w:tcPr>
          <w:p w14:paraId="65E45696"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No-Show Rate</w:t>
            </w:r>
          </w:p>
        </w:tc>
        <w:tc>
          <w:tcPr>
            <w:tcW w:w="3078" w:type="dxa"/>
            <w:shd w:val="clear" w:color="auto" w:fill="auto"/>
            <w:vAlign w:val="center"/>
          </w:tcPr>
          <w:p w14:paraId="03DAB866"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48.46%</w:t>
            </w:r>
          </w:p>
        </w:tc>
        <w:tc>
          <w:tcPr>
            <w:tcW w:w="3427" w:type="dxa"/>
            <w:shd w:val="clear" w:color="auto" w:fill="auto"/>
            <w:vAlign w:val="center"/>
          </w:tcPr>
          <w:p w14:paraId="78E0D6DA"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Largest appointment outcome.</w:t>
            </w:r>
          </w:p>
        </w:tc>
      </w:tr>
      <w:tr w:rsidR="00CA575C" w:rsidRPr="00F831AC" w14:paraId="25B30137" w14:textId="77777777" w:rsidTr="00F831AC">
        <w:tc>
          <w:tcPr>
            <w:tcW w:w="3120" w:type="dxa"/>
            <w:shd w:val="clear" w:color="auto" w:fill="auto"/>
            <w:vAlign w:val="center"/>
          </w:tcPr>
          <w:p w14:paraId="4F42A65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Attendance Rate</w:t>
            </w:r>
          </w:p>
        </w:tc>
        <w:tc>
          <w:tcPr>
            <w:tcW w:w="3078" w:type="dxa"/>
            <w:shd w:val="clear" w:color="auto" w:fill="auto"/>
            <w:vAlign w:val="center"/>
          </w:tcPr>
          <w:p w14:paraId="4AF4386A"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46.28%</w:t>
            </w:r>
          </w:p>
        </w:tc>
        <w:tc>
          <w:tcPr>
            <w:tcW w:w="3427" w:type="dxa"/>
            <w:shd w:val="clear" w:color="auto" w:fill="auto"/>
            <w:vAlign w:val="center"/>
          </w:tcPr>
          <w:p w14:paraId="16250810"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Fewer than half of scheduled appointments were attended.</w:t>
            </w:r>
          </w:p>
        </w:tc>
      </w:tr>
      <w:tr w:rsidR="00CA575C" w:rsidRPr="00F831AC" w14:paraId="249C4ABF" w14:textId="77777777" w:rsidTr="00F831AC">
        <w:tc>
          <w:tcPr>
            <w:tcW w:w="3120" w:type="dxa"/>
            <w:shd w:val="clear" w:color="auto" w:fill="auto"/>
            <w:vAlign w:val="center"/>
          </w:tcPr>
          <w:p w14:paraId="5F4265AF"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Cancellation Rate</w:t>
            </w:r>
          </w:p>
        </w:tc>
        <w:tc>
          <w:tcPr>
            <w:tcW w:w="3078" w:type="dxa"/>
            <w:shd w:val="clear" w:color="auto" w:fill="auto"/>
            <w:vAlign w:val="center"/>
          </w:tcPr>
          <w:p w14:paraId="1143C81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5.26%</w:t>
            </w:r>
          </w:p>
        </w:tc>
        <w:tc>
          <w:tcPr>
            <w:tcW w:w="3427" w:type="dxa"/>
            <w:shd w:val="clear" w:color="auto" w:fill="auto"/>
            <w:vAlign w:val="center"/>
          </w:tcPr>
          <w:p w14:paraId="705FC1D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Smaller proportion of appointments were cancelled.</w:t>
            </w:r>
          </w:p>
        </w:tc>
      </w:tr>
    </w:tbl>
    <w:p w14:paraId="5BB4B9F9" w14:textId="19B808A2" w:rsidR="00CA575C" w:rsidRPr="00F831AC" w:rsidRDefault="00CA575C">
      <w:pPr>
        <w:rPr>
          <w:rFonts w:ascii="Times New Roman" w:hAnsi="Times New Roman" w:cs="Times New Roman"/>
          <w:b/>
          <w:bCs/>
          <w:sz w:val="24"/>
          <w:szCs w:val="28"/>
        </w:rPr>
      </w:pPr>
    </w:p>
    <w:p w14:paraId="73FA5C4B" w14:textId="14F84444" w:rsidR="00CA575C" w:rsidRPr="00F831AC" w:rsidRDefault="00CA575C" w:rsidP="00CA575C">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KEY ANALYTICAL FINDINGS</w:t>
      </w:r>
    </w:p>
    <w:p w14:paraId="004F52ED"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b/>
          <w:sz w:val="24"/>
          <w:szCs w:val="28"/>
        </w:rPr>
        <w:t xml:space="preserve">Previous no-show history: </w:t>
      </w:r>
      <w:r w:rsidRPr="00F831AC">
        <w:rPr>
          <w:rFonts w:ascii="Times New Roman" w:hAnsi="Times New Roman" w:cs="Times New Roman"/>
          <w:sz w:val="24"/>
          <w:szCs w:val="28"/>
        </w:rPr>
        <w:t>No-show rates increased as previous no-show history increased.</w:t>
      </w:r>
    </w:p>
    <w:p w14:paraId="7E2CEF96"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b/>
          <w:sz w:val="24"/>
          <w:szCs w:val="28"/>
        </w:rPr>
        <w:lastRenderedPageBreak/>
        <w:t xml:space="preserve">Booking lead time: </w:t>
      </w:r>
      <w:r w:rsidRPr="00F831AC">
        <w:rPr>
          <w:rFonts w:ascii="Times New Roman" w:hAnsi="Times New Roman" w:cs="Times New Roman"/>
          <w:sz w:val="24"/>
          <w:szCs w:val="28"/>
        </w:rPr>
        <w:t>Appointments booked &gt;30 days ahead had a higher observed no-show rate than appointments booked ≤30 days: 60.31% versus 36.59%.</w:t>
      </w:r>
    </w:p>
    <w:p w14:paraId="1CF0551E"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b/>
          <w:sz w:val="24"/>
          <w:szCs w:val="28"/>
        </w:rPr>
        <w:t xml:space="preserve">Reminder status/channel: </w:t>
      </w:r>
      <w:r w:rsidRPr="00F831AC">
        <w:rPr>
          <w:rFonts w:ascii="Times New Roman" w:hAnsi="Times New Roman" w:cs="Times New Roman"/>
          <w:sz w:val="24"/>
          <w:szCs w:val="28"/>
        </w:rPr>
        <w:t>Reminder status and channel showed differences in attendance/no-show patterns. Earlier analysis found higher attendance among appointments receiving reminders, with WhatsApp showing the highest attendance pattern among channels examined.</w:t>
      </w:r>
    </w:p>
    <w:p w14:paraId="4AFE18EB"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b/>
          <w:sz w:val="24"/>
          <w:szCs w:val="28"/>
        </w:rPr>
        <w:t xml:space="preserve">Appointment type: </w:t>
      </w:r>
      <w:r w:rsidRPr="00F831AC">
        <w:rPr>
          <w:rFonts w:ascii="Times New Roman" w:hAnsi="Times New Roman" w:cs="Times New Roman"/>
          <w:sz w:val="24"/>
          <w:szCs w:val="28"/>
        </w:rPr>
        <w:t>Attendance/no-show patterns differed across appointment types. Follow-up appointments showed a higher attendance pattern than general consultation in the earlier analysis.</w:t>
      </w:r>
    </w:p>
    <w:p w14:paraId="110ED1FB"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b/>
          <w:sz w:val="24"/>
          <w:szCs w:val="28"/>
        </w:rPr>
        <w:t xml:space="preserve">Age and day of week: </w:t>
      </w:r>
      <w:r w:rsidRPr="00F831AC">
        <w:rPr>
          <w:rFonts w:ascii="Times New Roman" w:hAnsi="Times New Roman" w:cs="Times New Roman"/>
          <w:sz w:val="24"/>
          <w:szCs w:val="28"/>
        </w:rPr>
        <w:t>Age did not appear to materially differentiate attendance/no-show outcomes, and day of week did not show a meaningful difference.</w:t>
      </w:r>
    </w:p>
    <w:p w14:paraId="009A3F29" w14:textId="77777777" w:rsidR="00CA575C" w:rsidRPr="00F831AC" w:rsidRDefault="00CA575C" w:rsidP="00CA575C">
      <w:pPr>
        <w:rPr>
          <w:rFonts w:ascii="Times New Roman" w:hAnsi="Times New Roman" w:cs="Times New Roman"/>
          <w:sz w:val="24"/>
          <w:szCs w:val="28"/>
        </w:rPr>
      </w:pPr>
      <w:r w:rsidRPr="00F831AC">
        <w:rPr>
          <w:rFonts w:ascii="Times New Roman" w:hAnsi="Times New Roman" w:cs="Times New Roman"/>
          <w:sz w:val="24"/>
          <w:szCs w:val="28"/>
        </w:rPr>
        <w:t>Analytical principle: these are observed patterns and associations in the dataset and should not be interpreted as proof of causation.</w:t>
      </w:r>
    </w:p>
    <w:p w14:paraId="1E1F18DF" w14:textId="01E19156" w:rsidR="00CA575C" w:rsidRPr="00F831AC" w:rsidRDefault="00CA575C" w:rsidP="00CA575C">
      <w:pPr>
        <w:pStyle w:val="ListParagraph"/>
        <w:numPr>
          <w:ilvl w:val="0"/>
          <w:numId w:val="1"/>
        </w:numPr>
        <w:rPr>
          <w:rFonts w:ascii="Times New Roman" w:hAnsi="Times New Roman" w:cs="Times New Roman"/>
          <w:sz w:val="24"/>
          <w:szCs w:val="28"/>
        </w:rPr>
      </w:pPr>
      <w:r w:rsidRPr="00F831AC">
        <w:rPr>
          <w:rFonts w:ascii="Times New Roman" w:hAnsi="Times New Roman" w:cs="Times New Roman"/>
          <w:sz w:val="24"/>
          <w:szCs w:val="28"/>
        </w:rPr>
        <w:t>CROSS-TRACK INTEGRATION</w:t>
      </w:r>
    </w:p>
    <w:tbl>
      <w:tblPr>
        <w:tblStyle w:val="TableGrid"/>
        <w:tblW w:w="10345" w:type="dxa"/>
        <w:jc w:val="center"/>
        <w:tblLook w:val="04A0" w:firstRow="1" w:lastRow="0" w:firstColumn="1" w:lastColumn="0" w:noHBand="0" w:noVBand="1"/>
      </w:tblPr>
      <w:tblGrid>
        <w:gridCol w:w="4704"/>
        <w:gridCol w:w="5641"/>
      </w:tblGrid>
      <w:tr w:rsidR="00CA575C" w:rsidRPr="00F831AC" w14:paraId="2527762E" w14:textId="77777777" w:rsidTr="00F831AC">
        <w:trPr>
          <w:jc w:val="center"/>
        </w:trPr>
        <w:tc>
          <w:tcPr>
            <w:tcW w:w="4704" w:type="dxa"/>
            <w:shd w:val="clear" w:color="auto" w:fill="auto"/>
            <w:vAlign w:val="center"/>
          </w:tcPr>
          <w:p w14:paraId="64DB2F36"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Requirement</w:t>
            </w:r>
          </w:p>
        </w:tc>
        <w:tc>
          <w:tcPr>
            <w:tcW w:w="5641" w:type="dxa"/>
            <w:shd w:val="clear" w:color="auto" w:fill="auto"/>
            <w:vAlign w:val="center"/>
          </w:tcPr>
          <w:p w14:paraId="47AF24E6"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Response</w:t>
            </w:r>
          </w:p>
        </w:tc>
      </w:tr>
      <w:tr w:rsidR="00CA575C" w:rsidRPr="00F831AC" w14:paraId="082E4C12" w14:textId="77777777" w:rsidTr="00F831AC">
        <w:trPr>
          <w:jc w:val="center"/>
        </w:trPr>
        <w:tc>
          <w:tcPr>
            <w:tcW w:w="4704" w:type="dxa"/>
            <w:shd w:val="clear" w:color="auto" w:fill="auto"/>
            <w:vAlign w:val="center"/>
          </w:tcPr>
          <w:p w14:paraId="75ED8864"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Track collaborated with</w:t>
            </w:r>
          </w:p>
        </w:tc>
        <w:tc>
          <w:tcPr>
            <w:tcW w:w="5641" w:type="dxa"/>
            <w:shd w:val="clear" w:color="auto" w:fill="auto"/>
            <w:vAlign w:val="center"/>
          </w:tcPr>
          <w:p w14:paraId="349661AF"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Science</w:t>
            </w:r>
          </w:p>
        </w:tc>
      </w:tr>
      <w:tr w:rsidR="00CA575C" w:rsidRPr="00F831AC" w14:paraId="2DFB71FD" w14:textId="77777777" w:rsidTr="00F831AC">
        <w:trPr>
          <w:jc w:val="center"/>
        </w:trPr>
        <w:tc>
          <w:tcPr>
            <w:tcW w:w="4704" w:type="dxa"/>
            <w:shd w:val="clear" w:color="auto" w:fill="auto"/>
            <w:vAlign w:val="center"/>
          </w:tcPr>
          <w:p w14:paraId="73290BAE"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Project dependency</w:t>
            </w:r>
          </w:p>
        </w:tc>
        <w:tc>
          <w:tcPr>
            <w:tcW w:w="5641" w:type="dxa"/>
            <w:shd w:val="clear" w:color="auto" w:fill="auto"/>
            <w:vAlign w:val="center"/>
          </w:tcPr>
          <w:p w14:paraId="08B1F472"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Science required validated analytical findings to assess whether important attendance/no-show patterns were also useful in predictive modelling.</w:t>
            </w:r>
          </w:p>
        </w:tc>
      </w:tr>
      <w:tr w:rsidR="00CA575C" w:rsidRPr="00F831AC" w14:paraId="7959C9D7" w14:textId="77777777" w:rsidTr="00F831AC">
        <w:trPr>
          <w:jc w:val="center"/>
        </w:trPr>
        <w:tc>
          <w:tcPr>
            <w:tcW w:w="4704" w:type="dxa"/>
            <w:shd w:val="clear" w:color="auto" w:fill="auto"/>
            <w:vAlign w:val="center"/>
          </w:tcPr>
          <w:p w14:paraId="2250AFB5"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Information/output received</w:t>
            </w:r>
          </w:p>
        </w:tc>
        <w:tc>
          <w:tcPr>
            <w:tcW w:w="5641" w:type="dxa"/>
            <w:shd w:val="clear" w:color="auto" w:fill="auto"/>
            <w:vAlign w:val="center"/>
          </w:tcPr>
          <w:p w14:paraId="0C718075"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Science reported that previous no-show history and booking lead time were important model signals. The tuned Gradient Boosting model achieved approximately 0.72 ROC-AUC, 67% recall and 67% F1.</w:t>
            </w:r>
          </w:p>
        </w:tc>
      </w:tr>
      <w:tr w:rsidR="00CA575C" w:rsidRPr="00F831AC" w14:paraId="65D3D4E2" w14:textId="77777777" w:rsidTr="00F831AC">
        <w:trPr>
          <w:jc w:val="center"/>
        </w:trPr>
        <w:tc>
          <w:tcPr>
            <w:tcW w:w="4704" w:type="dxa"/>
            <w:shd w:val="clear" w:color="auto" w:fill="auto"/>
            <w:vAlign w:val="center"/>
          </w:tcPr>
          <w:p w14:paraId="04A125EF"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Information/output provided</w:t>
            </w:r>
          </w:p>
        </w:tc>
        <w:tc>
          <w:tcPr>
            <w:tcW w:w="5641" w:type="dxa"/>
            <w:shd w:val="clear" w:color="auto" w:fill="auto"/>
            <w:vAlign w:val="center"/>
          </w:tcPr>
          <w:p w14:paraId="3538F9CC"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Analytics provided booking lead-time no-show rates, previous no-show findings, reminder patterns and other relevant appointment attendance findings.</w:t>
            </w:r>
          </w:p>
        </w:tc>
      </w:tr>
      <w:tr w:rsidR="00CA575C" w:rsidRPr="00F831AC" w14:paraId="145907B4" w14:textId="77777777" w:rsidTr="00F831AC">
        <w:trPr>
          <w:jc w:val="center"/>
        </w:trPr>
        <w:tc>
          <w:tcPr>
            <w:tcW w:w="4704" w:type="dxa"/>
            <w:shd w:val="clear" w:color="auto" w:fill="auto"/>
            <w:vAlign w:val="center"/>
          </w:tcPr>
          <w:p w14:paraId="0A9AD0C6"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Integration activity completed</w:t>
            </w:r>
          </w:p>
        </w:tc>
        <w:tc>
          <w:tcPr>
            <w:tcW w:w="5641" w:type="dxa"/>
            <w:shd w:val="clear" w:color="auto" w:fill="auto"/>
            <w:vAlign w:val="center"/>
          </w:tcPr>
          <w:p w14:paraId="7047FA44"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Data Analytics calculated and provided the underlying no-show rates for booking lead time ≤30 days and &gt;30 days: 36.59% and 60.31%, respectively, for cross-track validation.</w:t>
            </w:r>
          </w:p>
        </w:tc>
      </w:tr>
      <w:tr w:rsidR="00CA575C" w:rsidRPr="00F831AC" w14:paraId="4CC20100" w14:textId="77777777" w:rsidTr="00F831AC">
        <w:trPr>
          <w:jc w:val="center"/>
        </w:trPr>
        <w:tc>
          <w:tcPr>
            <w:tcW w:w="4704" w:type="dxa"/>
            <w:shd w:val="clear" w:color="auto" w:fill="auto"/>
            <w:vAlign w:val="center"/>
          </w:tcPr>
          <w:p w14:paraId="368947C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What changed</w:t>
            </w:r>
          </w:p>
        </w:tc>
        <w:tc>
          <w:tcPr>
            <w:tcW w:w="5641" w:type="dxa"/>
            <w:shd w:val="clear" w:color="auto" w:fill="auto"/>
            <w:vAlign w:val="center"/>
          </w:tcPr>
          <w:p w14:paraId="4B9275E7"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Descriptive findings were connected to predictive modelling. Booking lead time and previous no-show history were strengthened as priority variables for continued decision-support and predictive investigation.</w:t>
            </w:r>
          </w:p>
        </w:tc>
      </w:tr>
      <w:tr w:rsidR="00CA575C" w:rsidRPr="00F831AC" w14:paraId="6AFF1DB1" w14:textId="77777777" w:rsidTr="00F831AC">
        <w:trPr>
          <w:jc w:val="center"/>
        </w:trPr>
        <w:tc>
          <w:tcPr>
            <w:tcW w:w="4704" w:type="dxa"/>
            <w:vAlign w:val="center"/>
          </w:tcPr>
          <w:p w14:paraId="49AD2DEC"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lastRenderedPageBreak/>
              <w:t>Evidence</w:t>
            </w:r>
          </w:p>
        </w:tc>
        <w:tc>
          <w:tcPr>
            <w:tcW w:w="5641" w:type="dxa"/>
            <w:vAlign w:val="center"/>
          </w:tcPr>
          <w:p w14:paraId="13C7972C"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Updated Power BI dashboard, analytical results, booking lead-time comparison and documented Data Science model outputs.</w:t>
            </w:r>
          </w:p>
        </w:tc>
      </w:tr>
    </w:tbl>
    <w:p w14:paraId="71816198" w14:textId="5AF821DC" w:rsidR="00CA575C" w:rsidRPr="00F831AC" w:rsidRDefault="00CA575C" w:rsidP="00CA575C">
      <w:pPr>
        <w:rPr>
          <w:rFonts w:ascii="Times New Roman" w:hAnsi="Times New Roman" w:cs="Times New Roman"/>
          <w:sz w:val="24"/>
          <w:szCs w:val="28"/>
        </w:rPr>
      </w:pPr>
    </w:p>
    <w:p w14:paraId="7C37D80C" w14:textId="260C8785" w:rsidR="00CA575C" w:rsidRPr="00F831AC" w:rsidRDefault="00CA575C" w:rsidP="00CA575C">
      <w:pPr>
        <w:pStyle w:val="ListParagraph"/>
        <w:numPr>
          <w:ilvl w:val="0"/>
          <w:numId w:val="1"/>
        </w:numPr>
        <w:rPr>
          <w:rFonts w:ascii="Times New Roman" w:hAnsi="Times New Roman" w:cs="Times New Roman"/>
          <w:sz w:val="24"/>
          <w:szCs w:val="28"/>
        </w:rPr>
      </w:pPr>
      <w:r w:rsidRPr="00F831AC">
        <w:rPr>
          <w:rFonts w:ascii="Times New Roman" w:hAnsi="Times New Roman" w:cs="Times New Roman"/>
          <w:sz w:val="24"/>
          <w:szCs w:val="28"/>
        </w:rPr>
        <w:t>DATA ANALYSIS VS DATA SCIENCE</w:t>
      </w:r>
    </w:p>
    <w:tbl>
      <w:tblPr>
        <w:tblStyle w:val="TableGrid"/>
        <w:tblW w:w="10440" w:type="dxa"/>
        <w:tblInd w:w="-545" w:type="dxa"/>
        <w:tblLook w:val="04A0" w:firstRow="1" w:lastRow="0" w:firstColumn="1" w:lastColumn="0" w:noHBand="0" w:noVBand="1"/>
      </w:tblPr>
      <w:tblGrid>
        <w:gridCol w:w="5211"/>
        <w:gridCol w:w="5229"/>
      </w:tblGrid>
      <w:tr w:rsidR="00CA575C" w:rsidRPr="00F831AC" w14:paraId="4D9676ED" w14:textId="77777777" w:rsidTr="00F831AC">
        <w:tc>
          <w:tcPr>
            <w:tcW w:w="5211" w:type="dxa"/>
            <w:shd w:val="clear" w:color="auto" w:fill="auto"/>
            <w:vAlign w:val="center"/>
          </w:tcPr>
          <w:p w14:paraId="10205C50"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Data Analytics</w:t>
            </w:r>
          </w:p>
        </w:tc>
        <w:tc>
          <w:tcPr>
            <w:tcW w:w="5229" w:type="dxa"/>
            <w:shd w:val="clear" w:color="auto" w:fill="auto"/>
            <w:vAlign w:val="center"/>
          </w:tcPr>
          <w:p w14:paraId="44821618"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b/>
                <w:sz w:val="22"/>
                <w:szCs w:val="28"/>
              </w:rPr>
              <w:t>Data Science</w:t>
            </w:r>
          </w:p>
        </w:tc>
      </w:tr>
      <w:tr w:rsidR="00CA575C" w:rsidRPr="00F831AC" w14:paraId="7440C7A0" w14:textId="77777777" w:rsidTr="00F831AC">
        <w:tc>
          <w:tcPr>
            <w:tcW w:w="5211" w:type="dxa"/>
            <w:shd w:val="clear" w:color="auto" w:fill="auto"/>
            <w:vAlign w:val="center"/>
          </w:tcPr>
          <w:p w14:paraId="205D44A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Identifies descriptive patterns</w:t>
            </w:r>
          </w:p>
        </w:tc>
        <w:tc>
          <w:tcPr>
            <w:tcW w:w="5229" w:type="dxa"/>
            <w:shd w:val="clear" w:color="auto" w:fill="auto"/>
            <w:vAlign w:val="center"/>
          </w:tcPr>
          <w:p w14:paraId="351EA8DC"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Tests whether patterns can support prediction</w:t>
            </w:r>
          </w:p>
        </w:tc>
      </w:tr>
      <w:tr w:rsidR="00CA575C" w:rsidRPr="00F831AC" w14:paraId="4727036A" w14:textId="77777777" w:rsidTr="00F831AC">
        <w:tc>
          <w:tcPr>
            <w:tcW w:w="5211" w:type="dxa"/>
            <w:shd w:val="clear" w:color="auto" w:fill="auto"/>
            <w:vAlign w:val="center"/>
          </w:tcPr>
          <w:p w14:paraId="74373ECE"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Calculates no-show and attendance rates</w:t>
            </w:r>
          </w:p>
        </w:tc>
        <w:tc>
          <w:tcPr>
            <w:tcW w:w="5229" w:type="dxa"/>
            <w:shd w:val="clear" w:color="auto" w:fill="auto"/>
            <w:vAlign w:val="center"/>
          </w:tcPr>
          <w:p w14:paraId="0671647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Evaluates predictive model performance</w:t>
            </w:r>
          </w:p>
        </w:tc>
      </w:tr>
      <w:tr w:rsidR="00CA575C" w:rsidRPr="00F831AC" w14:paraId="6714671C" w14:textId="77777777" w:rsidTr="00F831AC">
        <w:tc>
          <w:tcPr>
            <w:tcW w:w="5211" w:type="dxa"/>
            <w:shd w:val="clear" w:color="auto" w:fill="auto"/>
            <w:vAlign w:val="center"/>
          </w:tcPr>
          <w:p w14:paraId="3EBAD479"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Validates underlying booking lead-time rates</w:t>
            </w:r>
          </w:p>
        </w:tc>
        <w:tc>
          <w:tcPr>
            <w:tcW w:w="5229" w:type="dxa"/>
            <w:shd w:val="clear" w:color="auto" w:fill="auto"/>
            <w:vAlign w:val="center"/>
          </w:tcPr>
          <w:p w14:paraId="2075ED11"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Evaluates model recall across lead-time groups</w:t>
            </w:r>
          </w:p>
        </w:tc>
      </w:tr>
      <w:tr w:rsidR="00CA575C" w:rsidRPr="00F831AC" w14:paraId="2102E5FF" w14:textId="77777777" w:rsidTr="00F831AC">
        <w:tc>
          <w:tcPr>
            <w:tcW w:w="5211" w:type="dxa"/>
            <w:shd w:val="clear" w:color="auto" w:fill="auto"/>
            <w:vAlign w:val="center"/>
          </w:tcPr>
          <w:p w14:paraId="14C49762"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Examines previous no-show history</w:t>
            </w:r>
          </w:p>
        </w:tc>
        <w:tc>
          <w:tcPr>
            <w:tcW w:w="5229" w:type="dxa"/>
            <w:shd w:val="clear" w:color="auto" w:fill="auto"/>
            <w:vAlign w:val="center"/>
          </w:tcPr>
          <w:p w14:paraId="54F047E4"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Tests model performance among patients with/without history</w:t>
            </w:r>
          </w:p>
        </w:tc>
      </w:tr>
      <w:tr w:rsidR="00CA575C" w:rsidRPr="00F831AC" w14:paraId="323F3E5E" w14:textId="77777777" w:rsidTr="00F831AC">
        <w:tc>
          <w:tcPr>
            <w:tcW w:w="5211" w:type="dxa"/>
            <w:vAlign w:val="center"/>
          </w:tcPr>
          <w:p w14:paraId="073E3E42"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Provides business-facing dashboard insights</w:t>
            </w:r>
          </w:p>
        </w:tc>
        <w:tc>
          <w:tcPr>
            <w:tcW w:w="5229" w:type="dxa"/>
            <w:vAlign w:val="center"/>
          </w:tcPr>
          <w:p w14:paraId="79E71C8D" w14:textId="77777777" w:rsidR="00CA575C" w:rsidRPr="00F831AC" w:rsidRDefault="00CA575C" w:rsidP="0064749A">
            <w:pPr>
              <w:rPr>
                <w:rFonts w:ascii="Times New Roman" w:hAnsi="Times New Roman" w:cs="Times New Roman"/>
                <w:sz w:val="24"/>
                <w:szCs w:val="28"/>
              </w:rPr>
            </w:pPr>
            <w:r w:rsidRPr="00F831AC">
              <w:rPr>
                <w:rFonts w:ascii="Times New Roman" w:hAnsi="Times New Roman" w:cs="Times New Roman"/>
                <w:sz w:val="22"/>
                <w:szCs w:val="28"/>
              </w:rPr>
              <w:t>Provides predictive modelling evidence and limitations</w:t>
            </w:r>
          </w:p>
        </w:tc>
      </w:tr>
    </w:tbl>
    <w:p w14:paraId="1F8A1A51" w14:textId="49CF65AB" w:rsidR="00CA575C" w:rsidRPr="00F831AC" w:rsidRDefault="00CA575C" w:rsidP="00CA575C">
      <w:pPr>
        <w:rPr>
          <w:rFonts w:ascii="Times New Roman" w:hAnsi="Times New Roman" w:cs="Times New Roman"/>
          <w:b/>
          <w:bCs/>
          <w:sz w:val="24"/>
          <w:szCs w:val="28"/>
        </w:rPr>
      </w:pPr>
    </w:p>
    <w:p w14:paraId="347C245E" w14:textId="7D869D66" w:rsidR="00CA575C" w:rsidRPr="00F831AC" w:rsidRDefault="00CA575C" w:rsidP="00CA575C">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FINAL DASHBOARD OR DECISION SUPPORT</w:t>
      </w:r>
    </w:p>
    <w:p w14:paraId="3C668C0D"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Page 1 — Executive Overview: total appointments, attendance, no-show and cancellation KPIs, appointment outcomes and high-level patterns.</w:t>
      </w:r>
    </w:p>
    <w:p w14:paraId="4517A1E5" w14:textId="77777777"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Page 2 — No-Show Drivers &amp; Patient Behaviour: previous no-show history, booking lead time, reminder status/channel and appointment type.</w:t>
      </w:r>
    </w:p>
    <w:p w14:paraId="36AA997F" w14:textId="3B11E6F3" w:rsidR="00CA575C" w:rsidRPr="00F831AC" w:rsidRDefault="00CA575C" w:rsidP="00CA575C">
      <w:pPr>
        <w:pStyle w:val="ListBullet"/>
        <w:rPr>
          <w:rFonts w:ascii="Times New Roman" w:hAnsi="Times New Roman" w:cs="Times New Roman"/>
          <w:sz w:val="24"/>
          <w:szCs w:val="28"/>
        </w:rPr>
      </w:pPr>
      <w:r w:rsidRPr="00F831AC">
        <w:rPr>
          <w:rFonts w:ascii="Times New Roman" w:hAnsi="Times New Roman" w:cs="Times New Roman"/>
          <w:sz w:val="24"/>
          <w:szCs w:val="28"/>
        </w:rPr>
        <w:t>Page 3 — Predictive Analytics, Validation &amp; Recommendations: Data Science model metrics, segment-level predictive findings, KPI validation status and business implications.</w:t>
      </w:r>
    </w:p>
    <w:p w14:paraId="38D5C814" w14:textId="7A7D4E6A" w:rsidR="0051462F" w:rsidRPr="00F831AC" w:rsidRDefault="0051462F" w:rsidP="0051462F">
      <w:pPr>
        <w:pStyle w:val="ListBullet"/>
        <w:numPr>
          <w:ilvl w:val="0"/>
          <w:numId w:val="1"/>
        </w:numPr>
        <w:rPr>
          <w:rFonts w:ascii="Times New Roman" w:hAnsi="Times New Roman" w:cs="Times New Roman"/>
          <w:sz w:val="24"/>
          <w:szCs w:val="28"/>
        </w:rPr>
      </w:pPr>
      <w:r w:rsidRPr="00F831AC">
        <w:rPr>
          <w:rFonts w:ascii="Times New Roman" w:hAnsi="Times New Roman" w:cs="Times New Roman"/>
          <w:sz w:val="24"/>
          <w:szCs w:val="28"/>
        </w:rPr>
        <w:t>BUSINESS INSIGHTS AND RECOMMENDATION</w:t>
      </w:r>
    </w:p>
    <w:p w14:paraId="0A90D86B"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b/>
          <w:sz w:val="24"/>
          <w:szCs w:val="28"/>
        </w:rPr>
        <w:t xml:space="preserve">Prioritise no-show monitoring: </w:t>
      </w:r>
      <w:r w:rsidRPr="00F831AC">
        <w:rPr>
          <w:rFonts w:ascii="Times New Roman" w:hAnsi="Times New Roman" w:cs="Times New Roman"/>
          <w:sz w:val="24"/>
          <w:szCs w:val="28"/>
        </w:rPr>
        <w:t>No-shows represent the largest appointment outcome, so attendance and no-show KPIs should remain under regular review.</w:t>
      </w:r>
    </w:p>
    <w:p w14:paraId="71CB41C2"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b/>
          <w:sz w:val="24"/>
          <w:szCs w:val="28"/>
        </w:rPr>
        <w:t xml:space="preserve">Investigate booking lead-time patterns: </w:t>
      </w:r>
      <w:r w:rsidRPr="00F831AC">
        <w:rPr>
          <w:rFonts w:ascii="Times New Roman" w:hAnsi="Times New Roman" w:cs="Times New Roman"/>
          <w:sz w:val="24"/>
          <w:szCs w:val="28"/>
        </w:rPr>
        <w:t>The observed difference between ≤30-day and &gt;30-day bookings warrants further operational investigation.</w:t>
      </w:r>
    </w:p>
    <w:p w14:paraId="1DA694DB"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b/>
          <w:sz w:val="24"/>
          <w:szCs w:val="28"/>
        </w:rPr>
        <w:t xml:space="preserve">Monitor repeated no-show patterns: </w:t>
      </w:r>
      <w:r w:rsidRPr="00F831AC">
        <w:rPr>
          <w:rFonts w:ascii="Times New Roman" w:hAnsi="Times New Roman" w:cs="Times New Roman"/>
          <w:sz w:val="24"/>
          <w:szCs w:val="28"/>
        </w:rPr>
        <w:t>Previous no-show history can be used as an analytical segmentation variable for further investigation and patient-support planning.</w:t>
      </w:r>
    </w:p>
    <w:p w14:paraId="1AA96642"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b/>
          <w:sz w:val="24"/>
          <w:szCs w:val="28"/>
        </w:rPr>
        <w:t xml:space="preserve">Review reminder coverage and channels: </w:t>
      </w:r>
      <w:r w:rsidRPr="00F831AC">
        <w:rPr>
          <w:rFonts w:ascii="Times New Roman" w:hAnsi="Times New Roman" w:cs="Times New Roman"/>
          <w:sz w:val="24"/>
          <w:szCs w:val="28"/>
        </w:rPr>
        <w:t>Reminder patterns should be monitored without making causal claims from the observational dataset.</w:t>
      </w:r>
    </w:p>
    <w:p w14:paraId="6FC4BD80" w14:textId="34363890"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b/>
          <w:sz w:val="24"/>
          <w:szCs w:val="28"/>
        </w:rPr>
        <w:t xml:space="preserve">Improve data completeness: </w:t>
      </w:r>
      <w:r w:rsidRPr="00F831AC">
        <w:rPr>
          <w:rFonts w:ascii="Times New Roman" w:hAnsi="Times New Roman" w:cs="Times New Roman"/>
          <w:sz w:val="24"/>
          <w:szCs w:val="28"/>
        </w:rPr>
        <w:t>Distance and waiting-time data require continued attention because missing observations can affect analysis.</w:t>
      </w:r>
    </w:p>
    <w:p w14:paraId="1F24B020" w14:textId="38EB35E9" w:rsidR="0051462F" w:rsidRPr="00F831AC" w:rsidRDefault="0051462F" w:rsidP="0051462F">
      <w:pPr>
        <w:pStyle w:val="ListBullet"/>
        <w:numPr>
          <w:ilvl w:val="0"/>
          <w:numId w:val="0"/>
        </w:numPr>
        <w:ind w:left="360" w:hanging="360"/>
        <w:rPr>
          <w:rFonts w:ascii="Times New Roman" w:hAnsi="Times New Roman" w:cs="Times New Roman"/>
          <w:sz w:val="24"/>
          <w:szCs w:val="28"/>
        </w:rPr>
      </w:pPr>
    </w:p>
    <w:p w14:paraId="327FFA52" w14:textId="3223BA33" w:rsidR="0051462F" w:rsidRPr="00F831AC" w:rsidRDefault="0051462F" w:rsidP="0051462F">
      <w:pPr>
        <w:pStyle w:val="ListBullet"/>
        <w:numPr>
          <w:ilvl w:val="0"/>
          <w:numId w:val="1"/>
        </w:numPr>
        <w:rPr>
          <w:rFonts w:ascii="Times New Roman" w:hAnsi="Times New Roman" w:cs="Times New Roman"/>
          <w:sz w:val="24"/>
          <w:szCs w:val="28"/>
        </w:rPr>
      </w:pPr>
      <w:r w:rsidRPr="00F831AC">
        <w:rPr>
          <w:rFonts w:ascii="Times New Roman" w:hAnsi="Times New Roman" w:cs="Times New Roman"/>
          <w:sz w:val="24"/>
          <w:szCs w:val="28"/>
        </w:rPr>
        <w:t>REMAINING LIMITATION AND RISK</w:t>
      </w:r>
    </w:p>
    <w:p w14:paraId="6BC39577"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The dataset is fictional and may not represent real-world patient behaviour.</w:t>
      </w:r>
    </w:p>
    <w:p w14:paraId="4949D5FD"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lastRenderedPageBreak/>
        <w:t>Distance to clinic and waiting time contain missing values.</w:t>
      </w:r>
    </w:p>
    <w:p w14:paraId="30A32A25"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The dataset does not capture every factor that may influence appointment attendance.</w:t>
      </w:r>
    </w:p>
    <w:p w14:paraId="7E94A21B"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Reasons for missed appointments are not fully captured.</w:t>
      </w:r>
    </w:p>
    <w:p w14:paraId="271BEFC1"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Some analytical relationships require further validation.</w:t>
      </w:r>
    </w:p>
    <w:p w14:paraId="75C98205"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SQL and Power BI/Excel KPI results require reconciliation.</w:t>
      </w:r>
    </w:p>
    <w:p w14:paraId="4E8E01E3" w14:textId="77777777" w:rsidR="0051462F" w:rsidRPr="00F831AC" w:rsidRDefault="0051462F" w:rsidP="0051462F">
      <w:pPr>
        <w:pStyle w:val="ListBullet"/>
        <w:rPr>
          <w:rFonts w:ascii="Times New Roman" w:hAnsi="Times New Roman" w:cs="Times New Roman"/>
          <w:sz w:val="24"/>
          <w:szCs w:val="28"/>
        </w:rPr>
      </w:pPr>
      <w:r w:rsidRPr="00F831AC">
        <w:rPr>
          <w:rFonts w:ascii="Times New Roman" w:hAnsi="Times New Roman" w:cs="Times New Roman"/>
          <w:sz w:val="24"/>
          <w:szCs w:val="28"/>
        </w:rPr>
        <w:t>Observed associations do not establish causation.</w:t>
      </w:r>
    </w:p>
    <w:p w14:paraId="19479FA1" w14:textId="39AC4D72" w:rsidR="0051462F" w:rsidRPr="00F831AC" w:rsidRDefault="0051462F" w:rsidP="0051462F">
      <w:pPr>
        <w:pStyle w:val="ListBullet"/>
        <w:numPr>
          <w:ilvl w:val="0"/>
          <w:numId w:val="0"/>
        </w:numPr>
        <w:ind w:left="360" w:hanging="360"/>
        <w:rPr>
          <w:rFonts w:ascii="Times New Roman" w:hAnsi="Times New Roman" w:cs="Times New Roman"/>
          <w:b/>
          <w:bCs/>
          <w:sz w:val="24"/>
          <w:szCs w:val="28"/>
        </w:rPr>
      </w:pPr>
    </w:p>
    <w:p w14:paraId="472D5449" w14:textId="594E01F6" w:rsidR="0051462F" w:rsidRPr="00F831AC" w:rsidRDefault="0051462F" w:rsidP="0051462F">
      <w:pPr>
        <w:pStyle w:val="ListBullet"/>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FINAL INTEGRATION READINESS</w:t>
      </w:r>
    </w:p>
    <w:tbl>
      <w:tblPr>
        <w:tblStyle w:val="TableGrid"/>
        <w:tblW w:w="10255" w:type="dxa"/>
        <w:tblLook w:val="04A0" w:firstRow="1" w:lastRow="0" w:firstColumn="1" w:lastColumn="0" w:noHBand="0" w:noVBand="1"/>
      </w:tblPr>
      <w:tblGrid>
        <w:gridCol w:w="3090"/>
        <w:gridCol w:w="3102"/>
        <w:gridCol w:w="4063"/>
      </w:tblGrid>
      <w:tr w:rsidR="0051462F" w:rsidRPr="00F831AC" w14:paraId="044A8AA1" w14:textId="77777777" w:rsidTr="00F831AC">
        <w:tc>
          <w:tcPr>
            <w:tcW w:w="3090" w:type="dxa"/>
            <w:shd w:val="clear" w:color="auto" w:fill="auto"/>
            <w:vAlign w:val="center"/>
          </w:tcPr>
          <w:p w14:paraId="741C8957"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b/>
                <w:sz w:val="22"/>
                <w:szCs w:val="28"/>
              </w:rPr>
              <w:t>Readiness Area</w:t>
            </w:r>
          </w:p>
        </w:tc>
        <w:tc>
          <w:tcPr>
            <w:tcW w:w="3102" w:type="dxa"/>
            <w:shd w:val="clear" w:color="auto" w:fill="auto"/>
            <w:vAlign w:val="center"/>
          </w:tcPr>
          <w:p w14:paraId="05CDCBBD"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b/>
                <w:sz w:val="22"/>
                <w:szCs w:val="28"/>
              </w:rPr>
              <w:t>Status</w:t>
            </w:r>
          </w:p>
        </w:tc>
        <w:tc>
          <w:tcPr>
            <w:tcW w:w="4063" w:type="dxa"/>
            <w:shd w:val="clear" w:color="auto" w:fill="auto"/>
            <w:vAlign w:val="center"/>
          </w:tcPr>
          <w:p w14:paraId="430DD253"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b/>
                <w:sz w:val="22"/>
                <w:szCs w:val="28"/>
              </w:rPr>
              <w:t>Evidence / Action</w:t>
            </w:r>
          </w:p>
        </w:tc>
      </w:tr>
      <w:tr w:rsidR="0051462F" w:rsidRPr="00F831AC" w14:paraId="34F929F1" w14:textId="77777777" w:rsidTr="00F831AC">
        <w:tc>
          <w:tcPr>
            <w:tcW w:w="3090" w:type="dxa"/>
            <w:shd w:val="clear" w:color="auto" w:fill="auto"/>
            <w:vAlign w:val="center"/>
          </w:tcPr>
          <w:p w14:paraId="3AB4F91D"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Final dashboard</w:t>
            </w:r>
          </w:p>
        </w:tc>
        <w:tc>
          <w:tcPr>
            <w:tcW w:w="3102" w:type="dxa"/>
            <w:shd w:val="clear" w:color="auto" w:fill="auto"/>
            <w:vAlign w:val="center"/>
          </w:tcPr>
          <w:p w14:paraId="4BC590F8"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Ready for final presentation</w:t>
            </w:r>
          </w:p>
        </w:tc>
        <w:tc>
          <w:tcPr>
            <w:tcW w:w="4063" w:type="dxa"/>
            <w:shd w:val="clear" w:color="auto" w:fill="auto"/>
            <w:vAlign w:val="center"/>
          </w:tcPr>
          <w:p w14:paraId="75576636"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Three-page Power BI decision-support structure.</w:t>
            </w:r>
          </w:p>
        </w:tc>
      </w:tr>
      <w:tr w:rsidR="0051462F" w:rsidRPr="00F831AC" w14:paraId="645A92D7" w14:textId="77777777" w:rsidTr="00F831AC">
        <w:tc>
          <w:tcPr>
            <w:tcW w:w="3090" w:type="dxa"/>
            <w:shd w:val="clear" w:color="auto" w:fill="auto"/>
            <w:vAlign w:val="center"/>
          </w:tcPr>
          <w:p w14:paraId="55CAD3FF"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Core KPIs</w:t>
            </w:r>
          </w:p>
        </w:tc>
        <w:tc>
          <w:tcPr>
            <w:tcW w:w="3102" w:type="dxa"/>
            <w:shd w:val="clear" w:color="auto" w:fill="auto"/>
            <w:vAlign w:val="center"/>
          </w:tcPr>
          <w:p w14:paraId="6133C87C"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Validated in Power BI/Excel</w:t>
            </w:r>
          </w:p>
        </w:tc>
        <w:tc>
          <w:tcPr>
            <w:tcW w:w="4063" w:type="dxa"/>
            <w:shd w:val="clear" w:color="auto" w:fill="auto"/>
            <w:vAlign w:val="center"/>
          </w:tcPr>
          <w:p w14:paraId="1A9F17A3"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48.46% no-show; 46.28% attendance; 5.26% cancellation.</w:t>
            </w:r>
          </w:p>
        </w:tc>
      </w:tr>
      <w:tr w:rsidR="0051462F" w:rsidRPr="00F831AC" w14:paraId="5CBB8D39" w14:textId="77777777" w:rsidTr="00F831AC">
        <w:tc>
          <w:tcPr>
            <w:tcW w:w="3090" w:type="dxa"/>
            <w:shd w:val="clear" w:color="auto" w:fill="auto"/>
            <w:vAlign w:val="center"/>
          </w:tcPr>
          <w:p w14:paraId="01C03F04"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Key findings</w:t>
            </w:r>
          </w:p>
        </w:tc>
        <w:tc>
          <w:tcPr>
            <w:tcW w:w="3102" w:type="dxa"/>
            <w:shd w:val="clear" w:color="auto" w:fill="auto"/>
            <w:vAlign w:val="center"/>
          </w:tcPr>
          <w:p w14:paraId="473E2810"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Ready with limitations</w:t>
            </w:r>
          </w:p>
        </w:tc>
        <w:tc>
          <w:tcPr>
            <w:tcW w:w="4063" w:type="dxa"/>
            <w:shd w:val="clear" w:color="auto" w:fill="auto"/>
            <w:vAlign w:val="center"/>
          </w:tcPr>
          <w:p w14:paraId="3693BCB7"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Previous no-shows, booking lead time, reminders and appointment type.</w:t>
            </w:r>
          </w:p>
        </w:tc>
      </w:tr>
      <w:tr w:rsidR="0051462F" w:rsidRPr="00F831AC" w14:paraId="2DDC8C8E" w14:textId="77777777" w:rsidTr="00F831AC">
        <w:tc>
          <w:tcPr>
            <w:tcW w:w="3090" w:type="dxa"/>
            <w:shd w:val="clear" w:color="auto" w:fill="auto"/>
            <w:vAlign w:val="center"/>
          </w:tcPr>
          <w:p w14:paraId="2225AE42"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Data Science integration</w:t>
            </w:r>
          </w:p>
        </w:tc>
        <w:tc>
          <w:tcPr>
            <w:tcW w:w="3102" w:type="dxa"/>
            <w:shd w:val="clear" w:color="auto" w:fill="auto"/>
            <w:vAlign w:val="center"/>
          </w:tcPr>
          <w:p w14:paraId="1A9AD8B2"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Integrated</w:t>
            </w:r>
          </w:p>
        </w:tc>
        <w:tc>
          <w:tcPr>
            <w:tcW w:w="4063" w:type="dxa"/>
            <w:shd w:val="clear" w:color="auto" w:fill="auto"/>
            <w:vAlign w:val="center"/>
          </w:tcPr>
          <w:p w14:paraId="4177D96A"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Booking lead-time validation and model findings incorporated.</w:t>
            </w:r>
          </w:p>
        </w:tc>
      </w:tr>
      <w:tr w:rsidR="0051462F" w:rsidRPr="00F831AC" w14:paraId="574BFB35" w14:textId="77777777" w:rsidTr="00F831AC">
        <w:tc>
          <w:tcPr>
            <w:tcW w:w="3090" w:type="dxa"/>
            <w:shd w:val="clear" w:color="auto" w:fill="auto"/>
            <w:vAlign w:val="center"/>
          </w:tcPr>
          <w:p w14:paraId="0108DD49"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SQL KPI validation</w:t>
            </w:r>
          </w:p>
        </w:tc>
        <w:tc>
          <w:tcPr>
            <w:tcW w:w="3102" w:type="dxa"/>
            <w:shd w:val="clear" w:color="auto" w:fill="auto"/>
            <w:vAlign w:val="center"/>
          </w:tcPr>
          <w:p w14:paraId="4C1DE7C0"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Requires reconciliation</w:t>
            </w:r>
          </w:p>
        </w:tc>
        <w:tc>
          <w:tcPr>
            <w:tcW w:w="4063" w:type="dxa"/>
            <w:shd w:val="clear" w:color="auto" w:fill="auto"/>
            <w:vAlign w:val="center"/>
          </w:tcPr>
          <w:p w14:paraId="32508D5D"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Different SQL values with similar patterns; logic/denominator to be reviewed.</w:t>
            </w:r>
          </w:p>
        </w:tc>
      </w:tr>
      <w:tr w:rsidR="0051462F" w:rsidRPr="00F831AC" w14:paraId="0E3D89DF" w14:textId="77777777" w:rsidTr="00F831AC">
        <w:tc>
          <w:tcPr>
            <w:tcW w:w="3090" w:type="dxa"/>
            <w:vAlign w:val="center"/>
          </w:tcPr>
          <w:p w14:paraId="18F0F29A"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Final presentation</w:t>
            </w:r>
          </w:p>
        </w:tc>
        <w:tc>
          <w:tcPr>
            <w:tcW w:w="3102" w:type="dxa"/>
            <w:vAlign w:val="center"/>
          </w:tcPr>
          <w:p w14:paraId="6E97C952"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Ready to prepare</w:t>
            </w:r>
          </w:p>
        </w:tc>
        <w:tc>
          <w:tcPr>
            <w:tcW w:w="4063" w:type="dxa"/>
            <w:vAlign w:val="center"/>
          </w:tcPr>
          <w:p w14:paraId="501344A7" w14:textId="77777777" w:rsidR="0051462F" w:rsidRPr="00F831AC" w:rsidRDefault="0051462F" w:rsidP="0064749A">
            <w:pPr>
              <w:rPr>
                <w:rFonts w:ascii="Times New Roman" w:hAnsi="Times New Roman" w:cs="Times New Roman"/>
                <w:sz w:val="24"/>
                <w:szCs w:val="28"/>
              </w:rPr>
            </w:pPr>
            <w:r w:rsidRPr="00F831AC">
              <w:rPr>
                <w:rFonts w:ascii="Times New Roman" w:hAnsi="Times New Roman" w:cs="Times New Roman"/>
                <w:sz w:val="22"/>
                <w:szCs w:val="28"/>
              </w:rPr>
              <w:t>Dashboard, business insights, cross-track contribution and limitations available.</w:t>
            </w:r>
          </w:p>
        </w:tc>
      </w:tr>
    </w:tbl>
    <w:p w14:paraId="2C15783D" w14:textId="168EAE7D" w:rsidR="00CA575C" w:rsidRPr="00F831AC" w:rsidRDefault="0051462F" w:rsidP="0051462F">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EXECUTIVE SUMMARY</w:t>
      </w:r>
    </w:p>
    <w:p w14:paraId="514A06ED" w14:textId="58B9FD26" w:rsidR="0051462F" w:rsidRPr="00F831AC" w:rsidRDefault="0051462F" w:rsidP="0051462F">
      <w:pPr>
        <w:rPr>
          <w:rFonts w:ascii="Times New Roman" w:hAnsi="Times New Roman" w:cs="Times New Roman"/>
          <w:sz w:val="24"/>
          <w:szCs w:val="28"/>
        </w:rPr>
      </w:pPr>
      <w:r w:rsidRPr="00F831AC">
        <w:rPr>
          <w:rFonts w:ascii="Times New Roman" w:hAnsi="Times New Roman" w:cs="Times New Roman"/>
          <w:sz w:val="24"/>
          <w:szCs w:val="28"/>
        </w:rPr>
        <w:t>The Data Analytics contribution has progressed from exploratory analysis to a final decision-support output. The validated core KPIs show a 48.46% no-show rate, 46.28% attendance rate and 5.26% cancellation rate. Deeper analysis identified previous no-show history and booking lead time as important observed patterns, while reminder and appointment-type patterns provide additional areas for investigation. Cross-track collaboration with Data Science connected these descriptive findings with predictive modelling, including a tuned Gradient Boosting result of approximately 0.72 ROC-AUC, 67% recall and 67% F1. The final dashboard is ready for presentation, while the main remaining analytical issue is reconciliation of SQL KPI calculations with Power BI/Excel results.</w:t>
      </w:r>
    </w:p>
    <w:p w14:paraId="72317949" w14:textId="62832CBF" w:rsidR="0051462F" w:rsidRPr="00F831AC" w:rsidRDefault="0051462F" w:rsidP="0051462F">
      <w:pPr>
        <w:pStyle w:val="ListParagraph"/>
        <w:numPr>
          <w:ilvl w:val="0"/>
          <w:numId w:val="1"/>
        </w:numPr>
        <w:rPr>
          <w:rFonts w:ascii="Times New Roman" w:hAnsi="Times New Roman" w:cs="Times New Roman"/>
          <w:b/>
          <w:bCs/>
          <w:sz w:val="24"/>
          <w:szCs w:val="28"/>
        </w:rPr>
      </w:pPr>
      <w:r w:rsidRPr="00F831AC">
        <w:rPr>
          <w:rFonts w:ascii="Times New Roman" w:hAnsi="Times New Roman" w:cs="Times New Roman"/>
          <w:b/>
          <w:bCs/>
          <w:sz w:val="24"/>
          <w:szCs w:val="28"/>
        </w:rPr>
        <w:t>FINAL PROJECT PRESENTATION</w:t>
      </w:r>
    </w:p>
    <w:p w14:paraId="7D76FC4C" w14:textId="77777777" w:rsidR="0051462F" w:rsidRPr="00F831AC" w:rsidRDefault="0051462F" w:rsidP="0051462F">
      <w:pPr>
        <w:rPr>
          <w:rFonts w:ascii="Times New Roman" w:hAnsi="Times New Roman" w:cs="Times New Roman"/>
          <w:sz w:val="24"/>
          <w:szCs w:val="28"/>
        </w:rPr>
      </w:pPr>
      <w:r w:rsidRPr="00F831AC">
        <w:rPr>
          <w:rFonts w:ascii="Times New Roman" w:hAnsi="Times New Roman" w:cs="Times New Roman"/>
          <w:sz w:val="24"/>
          <w:szCs w:val="28"/>
        </w:rPr>
        <w:t xml:space="preserve">The Data Analytics contribution demonstrates how HealthConnect can move from understanding appointment outcomes to validating patterns, communicating business insights and connecting </w:t>
      </w:r>
      <w:r w:rsidRPr="00F831AC">
        <w:rPr>
          <w:rFonts w:ascii="Times New Roman" w:hAnsi="Times New Roman" w:cs="Times New Roman"/>
          <w:sz w:val="24"/>
          <w:szCs w:val="28"/>
        </w:rPr>
        <w:lastRenderedPageBreak/>
        <w:t>descriptive analytics with predictive modelling. The final presentation will focus on what the data shows, how findings were validated, how they connect with Data Science, and what HealthConnect should investigate next.</w:t>
      </w:r>
    </w:p>
    <w:p w14:paraId="369B7667" w14:textId="77777777" w:rsidR="00CA575C" w:rsidRPr="00F831AC" w:rsidRDefault="00CA575C" w:rsidP="0051462F">
      <w:pPr>
        <w:rPr>
          <w:rFonts w:ascii="Times New Roman" w:hAnsi="Times New Roman" w:cs="Times New Roman"/>
          <w:sz w:val="24"/>
          <w:szCs w:val="28"/>
        </w:rPr>
      </w:pPr>
    </w:p>
    <w:sectPr w:rsidR="00CA575C" w:rsidRPr="00F83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E4292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C97BA0"/>
    <w:multiLevelType w:val="hybridMultilevel"/>
    <w:tmpl w:val="E702B6D6"/>
    <w:lvl w:ilvl="0" w:tplc="38DCE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5C"/>
    <w:rsid w:val="002939C8"/>
    <w:rsid w:val="0051462F"/>
    <w:rsid w:val="00CA575C"/>
    <w:rsid w:val="00F8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50DF"/>
  <w15:chartTrackingRefBased/>
  <w15:docId w15:val="{D007DB01-6722-42AB-BB1E-37584A12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75C"/>
    <w:pPr>
      <w:spacing w:after="200" w:line="276" w:lineRule="auto"/>
    </w:pPr>
    <w:rPr>
      <w:rFonts w:ascii="Aptos" w:eastAsiaTheme="minorEastAsia" w:hAnsi="Aptos"/>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57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575C"/>
    <w:pPr>
      <w:ind w:left="720"/>
      <w:contextualSpacing/>
    </w:pPr>
  </w:style>
  <w:style w:type="paragraph" w:styleId="ListBullet">
    <w:name w:val="List Bullet"/>
    <w:basedOn w:val="Normal"/>
    <w:uiPriority w:val="99"/>
    <w:unhideWhenUsed/>
    <w:rsid w:val="00CA575C"/>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2026-09-25T06:48:00Z</dcterms:created>
  <dcterms:modified xsi:type="dcterms:W3CDTF">2026-09-27T18:10:00Z</dcterms:modified>
</cp:coreProperties>
</file>