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alpha_076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076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39.37%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-1.17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3.29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3.88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3.57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3.46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1.73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1.78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3.11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2.17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4.25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4.47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5.06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3.46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3.56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2.85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2.19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2.73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2.58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3.48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3.28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6.34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5.9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6.74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6.61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6.49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7.32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5.72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4.77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6.92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6.19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5.28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5.96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7.19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7.04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7.96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6.25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6.15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7.33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3.89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3.42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3.61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