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34E17E">
      <w:pPr>
        <w:pStyle w:val="6"/>
        <w:keepNext w:val="0"/>
        <w:keepLines w:val="0"/>
        <w:widowControl/>
        <w:suppressLineNumbers w:val="0"/>
        <w:spacing w:before="0" w:beforeAutospacing="1" w:after="0" w:afterAutospacing="1"/>
        <w:ind w:left="1440" w:leftChars="0" w:right="0" w:firstLine="720" w:firstLineChars="0"/>
        <w:rPr>
          <w:rStyle w:val="7"/>
          <w:rFonts w:hint="default"/>
          <w:sz w:val="32"/>
          <w:szCs w:val="32"/>
          <w:lang w:val="en-GB"/>
        </w:rPr>
      </w:pPr>
      <w:r>
        <w:rPr>
          <w:rStyle w:val="7"/>
          <w:rFonts w:hint="default"/>
          <w:sz w:val="32"/>
          <w:szCs w:val="32"/>
          <w:lang w:val="en-GB"/>
        </w:rPr>
        <w:t>FINDINGS</w:t>
      </w:r>
    </w:p>
    <w:p w14:paraId="5870A1B5">
      <w:pPr>
        <w:pStyle w:val="6"/>
        <w:keepNext w:val="0"/>
        <w:keepLines w:val="0"/>
        <w:widowControl/>
        <w:suppressLineNumbers w:val="0"/>
        <w:spacing w:before="0" w:beforeAutospacing="1" w:after="0" w:afterAutospacing="1"/>
        <w:ind w:left="0" w:right="0"/>
        <w:rPr>
          <w:sz w:val="32"/>
          <w:szCs w:val="32"/>
        </w:rPr>
      </w:pPr>
      <w:r>
        <w:rPr>
          <w:rStyle w:val="7"/>
          <w:sz w:val="32"/>
          <w:szCs w:val="32"/>
        </w:rPr>
        <w:t>CUSTOMERS OVERVIEW</w:t>
      </w:r>
    </w:p>
    <w:p w14:paraId="1725626B">
      <w:pPr>
        <w:keepNext w:val="0"/>
        <w:keepLines w:val="0"/>
        <w:widowControl/>
        <w:numPr>
          <w:ilvl w:val="0"/>
          <w:numId w:val="1"/>
        </w:numPr>
        <w:suppressLineNumbers w:val="0"/>
        <w:spacing w:before="0" w:beforeAutospacing="1" w:after="0" w:afterAutospacing="1"/>
        <w:ind w:left="720" w:hanging="360"/>
        <w:rPr>
          <w:sz w:val="32"/>
          <w:szCs w:val="32"/>
        </w:rPr>
      </w:pPr>
      <w:r>
        <w:rPr>
          <w:rStyle w:val="7"/>
          <w:sz w:val="32"/>
          <w:szCs w:val="32"/>
        </w:rPr>
        <w:t>Total Customers:</w:t>
      </w:r>
      <w:r>
        <w:rPr>
          <w:sz w:val="32"/>
          <w:szCs w:val="32"/>
        </w:rPr>
        <w:t xml:space="preserve"> The company has a total of </w:t>
      </w:r>
      <w:r>
        <w:rPr>
          <w:rStyle w:val="7"/>
          <w:sz w:val="32"/>
          <w:szCs w:val="32"/>
        </w:rPr>
        <w:t>7,043 customers</w:t>
      </w:r>
      <w:r>
        <w:rPr>
          <w:sz w:val="32"/>
          <w:szCs w:val="32"/>
        </w:rPr>
        <w:t xml:space="preserve">. </w:t>
      </w:r>
    </w:p>
    <w:p w14:paraId="69680CFC">
      <w:pPr>
        <w:keepNext w:val="0"/>
        <w:keepLines w:val="0"/>
        <w:widowControl/>
        <w:numPr>
          <w:ilvl w:val="0"/>
          <w:numId w:val="1"/>
        </w:numPr>
        <w:suppressLineNumbers w:val="0"/>
        <w:spacing w:before="0" w:beforeAutospacing="1" w:after="0" w:afterAutospacing="1"/>
        <w:ind w:left="720" w:hanging="360"/>
        <w:rPr>
          <w:sz w:val="32"/>
          <w:szCs w:val="32"/>
        </w:rPr>
      </w:pPr>
      <w:r>
        <w:rPr>
          <w:rStyle w:val="7"/>
          <w:sz w:val="32"/>
          <w:szCs w:val="32"/>
        </w:rPr>
        <w:t>Overall Churn Rate:</w:t>
      </w:r>
      <w:r>
        <w:rPr>
          <w:sz w:val="32"/>
          <w:szCs w:val="32"/>
        </w:rPr>
        <w:t xml:space="preserve"> The overall churn rate is </w:t>
      </w:r>
      <w:r>
        <w:rPr>
          <w:rStyle w:val="7"/>
          <w:sz w:val="32"/>
          <w:szCs w:val="32"/>
        </w:rPr>
        <w:t>26.54%</w:t>
      </w:r>
      <w:r>
        <w:rPr>
          <w:sz w:val="32"/>
          <w:szCs w:val="32"/>
        </w:rPr>
        <w:t xml:space="preserve">, representing </w:t>
      </w:r>
      <w:r>
        <w:rPr>
          <w:rStyle w:val="7"/>
          <w:sz w:val="32"/>
          <w:szCs w:val="32"/>
        </w:rPr>
        <w:t>1,869 customers who have left the company</w:t>
      </w:r>
      <w:r>
        <w:rPr>
          <w:sz w:val="32"/>
          <w:szCs w:val="32"/>
        </w:rPr>
        <w:t xml:space="preserve">. </w:t>
      </w:r>
    </w:p>
    <w:p w14:paraId="71601BBF">
      <w:pPr>
        <w:keepNext w:val="0"/>
        <w:keepLines w:val="0"/>
        <w:widowControl/>
        <w:numPr>
          <w:ilvl w:val="0"/>
          <w:numId w:val="1"/>
        </w:numPr>
        <w:suppressLineNumbers w:val="0"/>
        <w:spacing w:before="0" w:beforeAutospacing="1" w:after="0" w:afterAutospacing="1"/>
        <w:ind w:left="720" w:hanging="360"/>
        <w:rPr>
          <w:sz w:val="32"/>
          <w:szCs w:val="32"/>
        </w:rPr>
      </w:pPr>
      <w:r>
        <w:rPr>
          <w:rStyle w:val="7"/>
          <w:sz w:val="32"/>
          <w:szCs w:val="32"/>
        </w:rPr>
        <w:t>Customer Retention:</w:t>
      </w:r>
      <w:r>
        <w:rPr>
          <w:sz w:val="32"/>
          <w:szCs w:val="32"/>
        </w:rPr>
        <w:t xml:space="preserve"> </w:t>
      </w:r>
      <w:r>
        <w:rPr>
          <w:rStyle w:val="7"/>
          <w:sz w:val="32"/>
          <w:szCs w:val="32"/>
        </w:rPr>
        <w:t>73.46% of customers remain with the company</w:t>
      </w:r>
      <w:r>
        <w:rPr>
          <w:sz w:val="32"/>
          <w:szCs w:val="32"/>
        </w:rPr>
        <w:t xml:space="preserve">, representing </w:t>
      </w:r>
      <w:r>
        <w:rPr>
          <w:rStyle w:val="7"/>
          <w:sz w:val="32"/>
          <w:szCs w:val="32"/>
        </w:rPr>
        <w:t>5,174 retained customers</w:t>
      </w:r>
      <w:r>
        <w:rPr>
          <w:sz w:val="32"/>
          <w:szCs w:val="32"/>
        </w:rPr>
        <w:t>.</w:t>
      </w:r>
    </w:p>
    <w:p w14:paraId="3A6EF194">
      <w:pPr>
        <w:rPr>
          <w:rFonts w:hint="default"/>
          <w:b/>
          <w:bCs/>
          <w:sz w:val="32"/>
          <w:szCs w:val="32"/>
          <w:lang w:val="en-GB"/>
        </w:rPr>
      </w:pPr>
      <w:r>
        <w:rPr>
          <w:rFonts w:hint="default"/>
          <w:b/>
          <w:bCs/>
          <w:sz w:val="32"/>
          <w:szCs w:val="32"/>
          <w:lang w:val="en-GB"/>
        </w:rPr>
        <w:t>CHURN OVERALL ANALSIS</w:t>
      </w:r>
    </w:p>
    <w:p w14:paraId="20F64DEB">
      <w:pPr>
        <w:numPr>
          <w:ilvl w:val="0"/>
          <w:numId w:val="2"/>
        </w:numPr>
        <w:rPr>
          <w:rFonts w:hint="default"/>
          <w:b/>
          <w:bCs/>
          <w:sz w:val="32"/>
          <w:szCs w:val="32"/>
          <w:lang w:val="en-GB"/>
        </w:rPr>
      </w:pPr>
      <w:r>
        <w:rPr>
          <w:rFonts w:hint="default"/>
          <w:b/>
          <w:bCs/>
          <w:sz w:val="32"/>
          <w:szCs w:val="32"/>
          <w:lang w:val="en-GB"/>
        </w:rPr>
        <w:t xml:space="preserve"> Partner Analysis:</w:t>
      </w:r>
    </w:p>
    <w:p w14:paraId="6C06EAC7">
      <w:pPr>
        <w:rPr>
          <w:rFonts w:hint="default"/>
          <w:b w:val="0"/>
          <w:bCs w:val="0"/>
          <w:sz w:val="32"/>
          <w:szCs w:val="32"/>
          <w:lang w:val="en-GB"/>
        </w:rPr>
      </w:pPr>
      <w:r>
        <w:rPr>
          <w:rFonts w:hint="default"/>
          <w:b w:val="0"/>
          <w:bCs w:val="0"/>
          <w:sz w:val="32"/>
          <w:szCs w:val="32"/>
          <w:lang w:val="en-GB"/>
        </w:rPr>
        <w:t>Single customers have a higher churn rate and have the lowest number of customers who remained with the company.</w:t>
      </w:r>
    </w:p>
    <w:p w14:paraId="4C6D2A3E">
      <w:pPr>
        <w:numPr>
          <w:ilvl w:val="0"/>
          <w:numId w:val="2"/>
        </w:numPr>
        <w:ind w:left="0" w:leftChars="0" w:firstLine="0" w:firstLineChars="0"/>
        <w:rPr>
          <w:rFonts w:hint="default"/>
          <w:b w:val="0"/>
          <w:bCs w:val="0"/>
          <w:sz w:val="32"/>
          <w:szCs w:val="32"/>
          <w:lang w:val="en-GB"/>
        </w:rPr>
      </w:pPr>
      <w:r>
        <w:rPr>
          <w:rFonts w:hint="default"/>
          <w:b w:val="0"/>
          <w:bCs w:val="0"/>
          <w:sz w:val="32"/>
          <w:szCs w:val="32"/>
          <w:lang w:val="en-GB"/>
        </w:rPr>
        <w:t xml:space="preserve"> </w:t>
      </w:r>
      <w:r>
        <w:rPr>
          <w:rFonts w:hint="default"/>
          <w:b/>
          <w:bCs/>
          <w:sz w:val="32"/>
          <w:szCs w:val="32"/>
          <w:lang w:val="en-GB"/>
        </w:rPr>
        <w:t>Tenure analysis</w:t>
      </w:r>
    </w:p>
    <w:p w14:paraId="25BAE8F3">
      <w:pPr>
        <w:rPr>
          <w:rFonts w:hint="default"/>
          <w:b w:val="0"/>
          <w:bCs w:val="0"/>
          <w:sz w:val="32"/>
          <w:szCs w:val="32"/>
          <w:lang w:val="en-GB"/>
        </w:rPr>
      </w:pPr>
      <w:r>
        <w:rPr>
          <w:rFonts w:hint="default"/>
          <w:b w:val="0"/>
          <w:bCs w:val="0"/>
          <w:sz w:val="32"/>
          <w:szCs w:val="32"/>
          <w:lang w:val="en-GB"/>
        </w:rPr>
        <w:t xml:space="preserve"> Customers with 0–9 months of tenure had the highest churn rate (49.8%), with 923 customers churning compared to 931 customers retained, indicating that relatively newer customers are more likely to leave the company.</w:t>
      </w:r>
    </w:p>
    <w:p w14:paraId="3EA2856D">
      <w:pPr>
        <w:numPr>
          <w:ilvl w:val="0"/>
          <w:numId w:val="2"/>
        </w:numPr>
        <w:ind w:left="0" w:leftChars="0" w:firstLine="0" w:firstLineChars="0"/>
        <w:rPr>
          <w:rFonts w:hint="default"/>
          <w:b/>
          <w:bCs/>
          <w:sz w:val="32"/>
          <w:szCs w:val="32"/>
          <w:lang w:val="en-GB"/>
        </w:rPr>
      </w:pPr>
      <w:r>
        <w:rPr>
          <w:rFonts w:hint="default"/>
          <w:b/>
          <w:bCs/>
          <w:sz w:val="32"/>
          <w:szCs w:val="32"/>
          <w:lang w:val="en-GB"/>
        </w:rPr>
        <w:t>Internet service analysis</w:t>
      </w:r>
    </w:p>
    <w:p w14:paraId="1748157D">
      <w:pPr>
        <w:numPr>
          <w:numId w:val="0"/>
        </w:numPr>
        <w:ind w:leftChars="0"/>
        <w:rPr>
          <w:rFonts w:hint="default"/>
          <w:b w:val="0"/>
          <w:bCs w:val="0"/>
          <w:sz w:val="32"/>
          <w:szCs w:val="32"/>
          <w:lang w:val="en-GB"/>
        </w:rPr>
      </w:pPr>
      <w:r>
        <w:rPr>
          <w:rFonts w:hint="default"/>
          <w:b w:val="0"/>
          <w:bCs w:val="0"/>
          <w:sz w:val="32"/>
          <w:szCs w:val="32"/>
          <w:lang w:val="en-GB"/>
        </w:rPr>
        <w:t xml:space="preserve"> Fiber Optic internet users had the highest churn rate (41.9%), with 1,297 customers churning compared to 1,799 retained customers, indicating that Fiber Optic customers are a key segment contributing to overall customer churn.</w:t>
      </w:r>
    </w:p>
    <w:p w14:paraId="5A8EF249">
      <w:pPr>
        <w:numPr>
          <w:ilvl w:val="0"/>
          <w:numId w:val="2"/>
        </w:numPr>
        <w:ind w:left="0" w:leftChars="0" w:firstLine="0" w:firstLineChars="0"/>
        <w:rPr>
          <w:rFonts w:hint="default"/>
          <w:b/>
          <w:bCs/>
          <w:sz w:val="32"/>
          <w:szCs w:val="32"/>
          <w:lang w:val="en-GB"/>
        </w:rPr>
      </w:pPr>
      <w:r>
        <w:rPr>
          <w:rFonts w:hint="default"/>
          <w:b/>
          <w:bCs/>
          <w:sz w:val="32"/>
          <w:szCs w:val="32"/>
          <w:lang w:val="en-GB"/>
        </w:rPr>
        <w:t>Online security analysis</w:t>
      </w:r>
    </w:p>
    <w:p w14:paraId="207BD5B8">
      <w:pPr>
        <w:numPr>
          <w:numId w:val="0"/>
        </w:numPr>
        <w:ind w:leftChars="0"/>
        <w:rPr>
          <w:rFonts w:hint="default"/>
          <w:b w:val="0"/>
          <w:bCs w:val="0"/>
          <w:sz w:val="32"/>
          <w:szCs w:val="32"/>
          <w:lang w:val="en-GB"/>
        </w:rPr>
      </w:pPr>
      <w:r>
        <w:rPr>
          <w:rFonts w:hint="default"/>
          <w:b w:val="0"/>
          <w:bCs w:val="0"/>
          <w:sz w:val="32"/>
          <w:szCs w:val="32"/>
          <w:lang w:val="en-GB"/>
        </w:rPr>
        <w:t>Customers without online security recorded a high churn rate of 42.0%, with 1,476 customers leaving compared to 2,037 who remained. This suggests that the absence of online security may be associated with higher customer churn.</w:t>
      </w:r>
    </w:p>
    <w:p w14:paraId="2A6D881B">
      <w:pPr>
        <w:numPr>
          <w:ilvl w:val="0"/>
          <w:numId w:val="2"/>
        </w:numPr>
        <w:ind w:left="0" w:leftChars="0" w:firstLine="0" w:firstLineChars="0"/>
        <w:rPr>
          <w:rFonts w:hint="default"/>
          <w:b/>
          <w:bCs/>
          <w:sz w:val="32"/>
          <w:szCs w:val="32"/>
          <w:lang w:val="en-GB"/>
        </w:rPr>
      </w:pPr>
      <w:r>
        <w:rPr>
          <w:rFonts w:hint="default"/>
          <w:b/>
          <w:bCs/>
          <w:sz w:val="32"/>
          <w:szCs w:val="32"/>
          <w:lang w:val="en-GB"/>
        </w:rPr>
        <w:t>Online backup analysis</w:t>
      </w:r>
    </w:p>
    <w:p w14:paraId="4FAFCD62">
      <w:pPr>
        <w:numPr>
          <w:numId w:val="0"/>
        </w:numPr>
        <w:ind w:leftChars="0"/>
        <w:rPr>
          <w:rFonts w:hint="default"/>
          <w:b w:val="0"/>
          <w:bCs w:val="0"/>
          <w:sz w:val="32"/>
          <w:szCs w:val="32"/>
          <w:lang w:val="en-GB"/>
        </w:rPr>
      </w:pPr>
      <w:r>
        <w:rPr>
          <w:rFonts w:hint="default"/>
          <w:b w:val="0"/>
          <w:bCs w:val="0"/>
          <w:sz w:val="32"/>
          <w:szCs w:val="32"/>
          <w:lang w:val="en-GB"/>
        </w:rPr>
        <w:t xml:space="preserve"> Customers without online backup recorded a high churn rate of 39.9%, with 1,233 customers leaving compared to 1,855 customers who remained. This indicates that customers without online backup are also a significant contributor to overall customer churn.</w:t>
      </w:r>
    </w:p>
    <w:p w14:paraId="61EB4DC5">
      <w:pPr>
        <w:numPr>
          <w:ilvl w:val="0"/>
          <w:numId w:val="2"/>
        </w:numPr>
        <w:ind w:left="0" w:leftChars="0" w:firstLine="0" w:firstLineChars="0"/>
        <w:rPr>
          <w:rFonts w:hint="default"/>
          <w:b/>
          <w:bCs/>
          <w:sz w:val="32"/>
          <w:szCs w:val="32"/>
          <w:lang w:val="en-GB"/>
        </w:rPr>
      </w:pPr>
      <w:r>
        <w:rPr>
          <w:rFonts w:hint="default"/>
          <w:b/>
          <w:bCs/>
          <w:sz w:val="32"/>
          <w:szCs w:val="32"/>
          <w:lang w:val="en-GB"/>
        </w:rPr>
        <w:t>Device protection analysis</w:t>
      </w:r>
    </w:p>
    <w:p w14:paraId="545E6FE0">
      <w:pPr>
        <w:numPr>
          <w:numId w:val="0"/>
        </w:numPr>
        <w:ind w:leftChars="0"/>
        <w:rPr>
          <w:rFonts w:hint="default"/>
          <w:b w:val="0"/>
          <w:bCs w:val="0"/>
          <w:sz w:val="32"/>
          <w:szCs w:val="32"/>
          <w:lang w:val="en-GB"/>
        </w:rPr>
      </w:pPr>
      <w:r>
        <w:rPr>
          <w:rFonts w:hint="default"/>
          <w:b w:val="0"/>
          <w:bCs w:val="0"/>
          <w:sz w:val="32"/>
          <w:szCs w:val="32"/>
          <w:lang w:val="en-GB"/>
        </w:rPr>
        <w:t xml:space="preserve">  Customers without device protection recorded a high churn rate of 39.1%, with 1,211 customers leaving compared to 1,884 customers who remained. This indicates that customers without device protection are also a significant contributor to overall customer churn.</w:t>
      </w:r>
    </w:p>
    <w:p w14:paraId="270FD3B6">
      <w:pPr>
        <w:numPr>
          <w:ilvl w:val="0"/>
          <w:numId w:val="2"/>
        </w:numPr>
        <w:ind w:left="0" w:leftChars="0" w:firstLine="0" w:firstLineChars="0"/>
        <w:rPr>
          <w:rFonts w:hint="default"/>
          <w:b/>
          <w:bCs/>
          <w:sz w:val="32"/>
          <w:szCs w:val="32"/>
          <w:lang w:val="en-GB"/>
        </w:rPr>
      </w:pPr>
      <w:r>
        <w:rPr>
          <w:rFonts w:hint="default"/>
          <w:b/>
          <w:bCs/>
          <w:sz w:val="32"/>
          <w:szCs w:val="32"/>
          <w:lang w:val="en-GB"/>
        </w:rPr>
        <w:t>Contract analysis</w:t>
      </w:r>
    </w:p>
    <w:p w14:paraId="18DF4937">
      <w:pPr>
        <w:numPr>
          <w:numId w:val="0"/>
        </w:numPr>
        <w:ind w:leftChars="0"/>
        <w:rPr>
          <w:rFonts w:hint="default"/>
          <w:b w:val="0"/>
          <w:bCs w:val="0"/>
          <w:sz w:val="32"/>
          <w:szCs w:val="32"/>
          <w:lang w:val="en-GB"/>
        </w:rPr>
      </w:pPr>
      <w:r>
        <w:rPr>
          <w:rFonts w:hint="default"/>
          <w:b w:val="0"/>
          <w:bCs w:val="0"/>
          <w:sz w:val="32"/>
          <w:szCs w:val="32"/>
          <w:lang w:val="en-GB"/>
        </w:rPr>
        <w:t xml:space="preserve"> Customers on month-to-month contracts recorded a high churn rate of 42.7%, with 1,655 customers leaving compared to 2,220 customers who remained. This indicates that customers on month-to-month contracts are a significant contributor to overall customer churn.</w:t>
      </w:r>
    </w:p>
    <w:p w14:paraId="0EC043CC">
      <w:pPr>
        <w:numPr>
          <w:ilvl w:val="0"/>
          <w:numId w:val="2"/>
        </w:numPr>
        <w:ind w:left="0" w:leftChars="0" w:firstLine="0" w:firstLineChars="0"/>
        <w:rPr>
          <w:rFonts w:hint="default"/>
          <w:b/>
          <w:bCs/>
          <w:sz w:val="32"/>
          <w:szCs w:val="32"/>
          <w:lang w:val="en-GB"/>
        </w:rPr>
      </w:pPr>
      <w:r>
        <w:rPr>
          <w:rFonts w:hint="default"/>
          <w:b/>
          <w:bCs/>
          <w:sz w:val="32"/>
          <w:szCs w:val="32"/>
          <w:lang w:val="en-GB"/>
        </w:rPr>
        <w:t>Payment method analysis</w:t>
      </w:r>
    </w:p>
    <w:p w14:paraId="063E4BB9">
      <w:pPr>
        <w:numPr>
          <w:numId w:val="0"/>
        </w:numPr>
        <w:ind w:leftChars="0"/>
        <w:rPr>
          <w:rFonts w:hint="default"/>
          <w:b w:val="0"/>
          <w:bCs w:val="0"/>
          <w:sz w:val="32"/>
          <w:szCs w:val="32"/>
          <w:lang w:val="en-GB"/>
        </w:rPr>
      </w:pPr>
      <w:r>
        <w:rPr>
          <w:rFonts w:hint="default"/>
          <w:b w:val="0"/>
          <w:bCs w:val="0"/>
          <w:sz w:val="32"/>
          <w:szCs w:val="32"/>
          <w:lang w:val="en-GB"/>
        </w:rPr>
        <w:t>Customers using electronic checks recorded a high churn rate of 45.3%, with 1,071 customers leaving compared to 1,294 customers who remained. This indicates that customers using electronic checks are a significant contributor to overall customer churn.</w:t>
      </w:r>
    </w:p>
    <w:p w14:paraId="77B248A1">
      <w:pPr>
        <w:numPr>
          <w:numId w:val="0"/>
        </w:numPr>
        <w:ind w:leftChars="0"/>
        <w:rPr>
          <w:rFonts w:hint="default"/>
          <w:b w:val="0"/>
          <w:bCs w:val="0"/>
          <w:sz w:val="32"/>
          <w:szCs w:val="32"/>
          <w:lang w:val="en-GB"/>
        </w:rPr>
      </w:pPr>
    </w:p>
    <w:p w14:paraId="4A78A6B5">
      <w:pPr>
        <w:numPr>
          <w:numId w:val="0"/>
        </w:numPr>
        <w:ind w:leftChars="0"/>
        <w:rPr>
          <w:rFonts w:hint="default"/>
          <w:b w:val="0"/>
          <w:bCs w:val="0"/>
          <w:sz w:val="32"/>
          <w:szCs w:val="32"/>
          <w:lang w:val="en-GB"/>
        </w:rPr>
      </w:pPr>
    </w:p>
    <w:p w14:paraId="2EF13FD5">
      <w:pPr>
        <w:numPr>
          <w:numId w:val="0"/>
        </w:numPr>
        <w:ind w:leftChars="0"/>
        <w:rPr>
          <w:rFonts w:hint="default"/>
          <w:b w:val="0"/>
          <w:bCs w:val="0"/>
          <w:sz w:val="32"/>
          <w:szCs w:val="32"/>
          <w:lang w:val="en-GB"/>
        </w:rPr>
      </w:pPr>
    </w:p>
    <w:p w14:paraId="16F41123">
      <w:pPr>
        <w:numPr>
          <w:numId w:val="0"/>
        </w:numPr>
        <w:ind w:leftChars="0"/>
        <w:rPr>
          <w:rFonts w:hint="default"/>
          <w:b w:val="0"/>
          <w:bCs w:val="0"/>
          <w:sz w:val="32"/>
          <w:szCs w:val="32"/>
          <w:lang w:val="en-GB"/>
        </w:rPr>
      </w:pPr>
    </w:p>
    <w:p w14:paraId="6B41560B">
      <w:pPr>
        <w:numPr>
          <w:numId w:val="0"/>
        </w:numPr>
        <w:ind w:leftChars="0"/>
        <w:rPr>
          <w:rFonts w:hint="default"/>
          <w:b w:val="0"/>
          <w:bCs w:val="0"/>
          <w:sz w:val="32"/>
          <w:szCs w:val="32"/>
          <w:lang w:val="en-GB"/>
        </w:rPr>
      </w:pPr>
    </w:p>
    <w:p w14:paraId="19119AE0">
      <w:pPr>
        <w:numPr>
          <w:numId w:val="0"/>
        </w:numPr>
        <w:ind w:leftChars="0"/>
        <w:rPr>
          <w:rFonts w:hint="default"/>
          <w:b w:val="0"/>
          <w:bCs w:val="0"/>
          <w:sz w:val="32"/>
          <w:szCs w:val="32"/>
          <w:lang w:val="en-GB"/>
        </w:rPr>
      </w:pPr>
    </w:p>
    <w:p w14:paraId="2F84B794">
      <w:pPr>
        <w:numPr>
          <w:numId w:val="0"/>
        </w:numPr>
        <w:ind w:leftChars="0"/>
        <w:rPr>
          <w:rFonts w:hint="default"/>
          <w:b w:val="0"/>
          <w:bCs w:val="0"/>
          <w:sz w:val="32"/>
          <w:szCs w:val="32"/>
          <w:lang w:val="en-GB"/>
        </w:rPr>
      </w:pPr>
    </w:p>
    <w:p w14:paraId="6C0C6742">
      <w:pPr>
        <w:numPr>
          <w:numId w:val="0"/>
        </w:numPr>
        <w:ind w:leftChars="0"/>
        <w:rPr>
          <w:rFonts w:hint="default"/>
          <w:b w:val="0"/>
          <w:bCs w:val="0"/>
          <w:sz w:val="32"/>
          <w:szCs w:val="32"/>
          <w:lang w:val="en-GB"/>
        </w:rPr>
      </w:pPr>
    </w:p>
    <w:p w14:paraId="7E7C3B45">
      <w:pPr>
        <w:numPr>
          <w:numId w:val="0"/>
        </w:numPr>
        <w:ind w:leftChars="0"/>
        <w:rPr>
          <w:rFonts w:hint="default"/>
          <w:b w:val="0"/>
          <w:bCs w:val="0"/>
          <w:sz w:val="32"/>
          <w:szCs w:val="32"/>
          <w:lang w:val="en-GB"/>
        </w:rPr>
      </w:pPr>
    </w:p>
    <w:p w14:paraId="2BC03152">
      <w:pPr>
        <w:numPr>
          <w:numId w:val="0"/>
        </w:numPr>
        <w:ind w:leftChars="0"/>
        <w:rPr>
          <w:rFonts w:hint="default"/>
          <w:b w:val="0"/>
          <w:bCs w:val="0"/>
          <w:sz w:val="32"/>
          <w:szCs w:val="32"/>
          <w:lang w:val="en-GB"/>
        </w:rPr>
      </w:pPr>
    </w:p>
    <w:p w14:paraId="67A871BD">
      <w:pPr>
        <w:numPr>
          <w:numId w:val="0"/>
        </w:numPr>
        <w:ind w:leftChars="0"/>
        <w:rPr>
          <w:rFonts w:hint="default"/>
          <w:b w:val="0"/>
          <w:bCs w:val="0"/>
          <w:sz w:val="32"/>
          <w:szCs w:val="32"/>
          <w:lang w:val="en-GB"/>
        </w:rPr>
      </w:pPr>
    </w:p>
    <w:p w14:paraId="52832F95">
      <w:pPr>
        <w:numPr>
          <w:numId w:val="0"/>
        </w:numPr>
        <w:ind w:leftChars="0"/>
        <w:rPr>
          <w:rFonts w:hint="default"/>
          <w:b w:val="0"/>
          <w:bCs w:val="0"/>
          <w:sz w:val="32"/>
          <w:szCs w:val="32"/>
          <w:lang w:val="en-GB"/>
        </w:rPr>
      </w:pPr>
    </w:p>
    <w:p w14:paraId="373648B5">
      <w:pPr>
        <w:numPr>
          <w:numId w:val="0"/>
        </w:numPr>
        <w:ind w:leftChars="0"/>
        <w:rPr>
          <w:rFonts w:hint="default"/>
          <w:b w:val="0"/>
          <w:bCs w:val="0"/>
          <w:sz w:val="32"/>
          <w:szCs w:val="32"/>
          <w:lang w:val="en-GB"/>
        </w:rPr>
      </w:pPr>
    </w:p>
    <w:p w14:paraId="445D0EDC">
      <w:pPr>
        <w:numPr>
          <w:numId w:val="0"/>
        </w:numPr>
        <w:ind w:leftChars="0"/>
        <w:rPr>
          <w:rFonts w:hint="default"/>
          <w:b w:val="0"/>
          <w:bCs w:val="0"/>
          <w:sz w:val="32"/>
          <w:szCs w:val="32"/>
          <w:lang w:val="en-GB"/>
        </w:rPr>
      </w:pPr>
    </w:p>
    <w:p w14:paraId="46807745">
      <w:pPr>
        <w:numPr>
          <w:numId w:val="0"/>
        </w:numPr>
        <w:ind w:leftChars="0"/>
        <w:rPr>
          <w:rFonts w:hint="default"/>
          <w:b w:val="0"/>
          <w:bCs w:val="0"/>
          <w:sz w:val="32"/>
          <w:szCs w:val="32"/>
          <w:lang w:val="en-GB"/>
        </w:rPr>
      </w:pPr>
    </w:p>
    <w:p w14:paraId="6F4D8F0A">
      <w:pPr>
        <w:numPr>
          <w:numId w:val="0"/>
        </w:numPr>
        <w:ind w:left="720" w:leftChars="0" w:firstLine="720" w:firstLineChars="0"/>
        <w:rPr>
          <w:rFonts w:hint="default"/>
          <w:b/>
          <w:bCs/>
          <w:sz w:val="32"/>
          <w:szCs w:val="32"/>
          <w:lang w:val="en-GB"/>
        </w:rPr>
      </w:pPr>
      <w:r>
        <w:rPr>
          <w:rFonts w:hint="default"/>
          <w:b/>
          <w:bCs/>
          <w:sz w:val="32"/>
          <w:szCs w:val="32"/>
          <w:lang w:val="en-GB"/>
        </w:rPr>
        <w:t>RECOMMENDATIONS</w:t>
      </w:r>
    </w:p>
    <w:p w14:paraId="706DB54A">
      <w:pPr>
        <w:numPr>
          <w:numId w:val="0"/>
        </w:numPr>
        <w:ind w:leftChars="0"/>
        <w:rPr>
          <w:rFonts w:hint="default"/>
          <w:b w:val="0"/>
          <w:bCs w:val="0"/>
          <w:sz w:val="32"/>
          <w:szCs w:val="32"/>
          <w:lang w:val="en-GB"/>
        </w:rPr>
      </w:pPr>
      <w:r>
        <w:rPr>
          <w:rFonts w:hint="default"/>
          <w:b w:val="0"/>
          <w:bCs w:val="0"/>
          <w:sz w:val="32"/>
          <w:szCs w:val="32"/>
          <w:lang w:val="en-GB"/>
        </w:rPr>
        <w:t>Based on the findings from the customer churn analysis, the following recommendations are proposed to help reduce customer churn and improve customer retention:</w:t>
      </w:r>
    </w:p>
    <w:p w14:paraId="245BDEDA">
      <w:pPr>
        <w:numPr>
          <w:numId w:val="0"/>
        </w:numPr>
        <w:ind w:leftChars="0"/>
        <w:rPr>
          <w:rFonts w:hint="default"/>
          <w:b/>
          <w:bCs/>
          <w:sz w:val="32"/>
          <w:szCs w:val="32"/>
          <w:lang w:val="en-GB"/>
        </w:rPr>
      </w:pPr>
      <w:r>
        <w:rPr>
          <w:rFonts w:hint="default"/>
          <w:b w:val="0"/>
          <w:bCs w:val="0"/>
          <w:sz w:val="32"/>
          <w:szCs w:val="32"/>
          <w:lang w:val="en-GB"/>
        </w:rPr>
        <w:t>1.</w:t>
      </w:r>
      <w:r>
        <w:rPr>
          <w:rFonts w:hint="default"/>
          <w:b/>
          <w:bCs/>
          <w:sz w:val="32"/>
          <w:szCs w:val="32"/>
          <w:lang w:val="en-GB"/>
        </w:rPr>
        <w:t xml:space="preserve"> Develop Retention Strategies for Single Customers</w:t>
      </w:r>
    </w:p>
    <w:p w14:paraId="2102A587">
      <w:pPr>
        <w:numPr>
          <w:numId w:val="0"/>
        </w:numPr>
        <w:ind w:leftChars="0"/>
        <w:rPr>
          <w:rFonts w:hint="default"/>
          <w:b w:val="0"/>
          <w:bCs w:val="0"/>
          <w:sz w:val="32"/>
          <w:szCs w:val="32"/>
          <w:lang w:val="en-GB"/>
        </w:rPr>
      </w:pPr>
      <w:r>
        <w:rPr>
          <w:rFonts w:hint="default"/>
          <w:b w:val="0"/>
          <w:bCs w:val="0"/>
          <w:sz w:val="32"/>
          <w:szCs w:val="32"/>
          <w:lang w:val="en-GB"/>
        </w:rPr>
        <w:t>The analysis shows that single customers have a higher churn rate and the lowest number of retained customers among the partner-status groups. The company should develop targeted retention strategies for this customer segment, such as personalized offers, loyalty rewards, and improved customer engagement, to encourage them to remain with the company.</w:t>
      </w:r>
    </w:p>
    <w:p w14:paraId="328F7616">
      <w:pPr>
        <w:numPr>
          <w:numId w:val="0"/>
        </w:numPr>
        <w:ind w:leftChars="0"/>
        <w:rPr>
          <w:rFonts w:hint="default"/>
          <w:b w:val="0"/>
          <w:bCs w:val="0"/>
          <w:sz w:val="32"/>
          <w:szCs w:val="32"/>
          <w:lang w:val="en-GB"/>
        </w:rPr>
      </w:pPr>
      <w:r>
        <w:rPr>
          <w:rFonts w:hint="default"/>
          <w:b w:val="0"/>
          <w:bCs w:val="0"/>
          <w:sz w:val="32"/>
          <w:szCs w:val="32"/>
          <w:lang w:val="en-GB"/>
        </w:rPr>
        <w:t xml:space="preserve">2. </w:t>
      </w:r>
      <w:r>
        <w:rPr>
          <w:rFonts w:hint="default"/>
          <w:b/>
          <w:bCs/>
          <w:sz w:val="32"/>
          <w:szCs w:val="32"/>
          <w:lang w:val="en-GB"/>
        </w:rPr>
        <w:t>Improve Retention of Newer Customers</w:t>
      </w:r>
    </w:p>
    <w:p w14:paraId="038056A9">
      <w:pPr>
        <w:numPr>
          <w:numId w:val="0"/>
        </w:numPr>
        <w:ind w:leftChars="0"/>
        <w:rPr>
          <w:rFonts w:hint="default"/>
          <w:b w:val="0"/>
          <w:bCs w:val="0"/>
          <w:sz w:val="32"/>
          <w:szCs w:val="32"/>
          <w:lang w:val="en-GB"/>
        </w:rPr>
      </w:pPr>
      <w:r>
        <w:rPr>
          <w:rFonts w:hint="default"/>
          <w:b w:val="0"/>
          <w:bCs w:val="0"/>
          <w:sz w:val="32"/>
          <w:szCs w:val="32"/>
          <w:lang w:val="en-GB"/>
        </w:rPr>
        <w:t>Customers with 0–9 months of tenure recorded the highest churn rate of 49.8%. The company should focus on improving the on-boarding and early customer experience by providing better support, regular follow-ups, and incentives for newer customers. This can help build customer loyalty and reduce early-stage churn.</w:t>
      </w:r>
    </w:p>
    <w:p w14:paraId="1D6A48D4">
      <w:pPr>
        <w:numPr>
          <w:numId w:val="0"/>
        </w:numPr>
        <w:ind w:leftChars="0"/>
        <w:rPr>
          <w:rFonts w:hint="default"/>
          <w:b w:val="0"/>
          <w:bCs w:val="0"/>
          <w:sz w:val="32"/>
          <w:szCs w:val="32"/>
          <w:lang w:val="en-GB"/>
        </w:rPr>
      </w:pPr>
      <w:r>
        <w:rPr>
          <w:rFonts w:hint="default"/>
          <w:b w:val="0"/>
          <w:bCs w:val="0"/>
          <w:sz w:val="32"/>
          <w:szCs w:val="32"/>
          <w:lang w:val="en-GB"/>
        </w:rPr>
        <w:t>3.</w:t>
      </w:r>
      <w:r>
        <w:rPr>
          <w:rFonts w:hint="default"/>
          <w:b/>
          <w:bCs/>
          <w:sz w:val="32"/>
          <w:szCs w:val="32"/>
          <w:lang w:val="en-GB"/>
        </w:rPr>
        <w:t xml:space="preserve"> Investigate Issues with Fiber Optic Internet Service</w:t>
      </w:r>
    </w:p>
    <w:p w14:paraId="288A682F">
      <w:pPr>
        <w:numPr>
          <w:numId w:val="0"/>
        </w:numPr>
        <w:ind w:leftChars="0"/>
        <w:rPr>
          <w:rFonts w:hint="default"/>
          <w:b w:val="0"/>
          <w:bCs w:val="0"/>
          <w:sz w:val="32"/>
          <w:szCs w:val="32"/>
          <w:lang w:val="en-GB"/>
        </w:rPr>
      </w:pPr>
      <w:r>
        <w:rPr>
          <w:rFonts w:hint="default"/>
          <w:b w:val="0"/>
          <w:bCs w:val="0"/>
          <w:sz w:val="32"/>
          <w:szCs w:val="32"/>
          <w:lang w:val="en-GB"/>
        </w:rPr>
        <w:t>Fiber Optic customers recorded a high churn rate of 41.9%. The company should investigate possible reasons for dissatisfaction among Fiber Optic users, such as service quality, connection reliability, pricing, or customer support. Improving the overall Fiber Optic experience could help reduce churn within this segment.</w:t>
      </w:r>
    </w:p>
    <w:p w14:paraId="3A8E42DD">
      <w:pPr>
        <w:numPr>
          <w:numId w:val="0"/>
        </w:numPr>
        <w:ind w:leftChars="0"/>
        <w:rPr>
          <w:rFonts w:hint="default"/>
          <w:b/>
          <w:bCs/>
          <w:sz w:val="32"/>
          <w:szCs w:val="32"/>
          <w:lang w:val="en-GB"/>
        </w:rPr>
      </w:pPr>
      <w:r>
        <w:rPr>
          <w:rFonts w:hint="default"/>
          <w:b w:val="0"/>
          <w:bCs w:val="0"/>
          <w:sz w:val="32"/>
          <w:szCs w:val="32"/>
          <w:lang w:val="en-GB"/>
        </w:rPr>
        <w:t xml:space="preserve">4. </w:t>
      </w:r>
      <w:r>
        <w:rPr>
          <w:rFonts w:hint="default"/>
          <w:b/>
          <w:bCs/>
          <w:sz w:val="32"/>
          <w:szCs w:val="32"/>
          <w:lang w:val="en-GB"/>
        </w:rPr>
        <w:t>Encourage Customers to Adopt Online Security Services</w:t>
      </w:r>
    </w:p>
    <w:p w14:paraId="6D8272D3">
      <w:pPr>
        <w:numPr>
          <w:numId w:val="0"/>
        </w:numPr>
        <w:ind w:leftChars="0"/>
        <w:rPr>
          <w:rFonts w:hint="default"/>
          <w:b w:val="0"/>
          <w:bCs w:val="0"/>
          <w:sz w:val="32"/>
          <w:szCs w:val="32"/>
          <w:lang w:val="en-GB"/>
        </w:rPr>
      </w:pPr>
      <w:r>
        <w:rPr>
          <w:rFonts w:hint="default"/>
          <w:b w:val="0"/>
          <w:bCs w:val="0"/>
          <w:sz w:val="32"/>
          <w:szCs w:val="32"/>
          <w:lang w:val="en-GB"/>
        </w:rPr>
        <w:t>Customers without online security recorded a churn rate of 42.0%. The company should promote online security services through affordable packages, free trials, or bundled offers. Increasing adoption of this service may help strengthen customer engagement and provide additional value to customers.</w:t>
      </w:r>
    </w:p>
    <w:p w14:paraId="2253BDD1">
      <w:pPr>
        <w:numPr>
          <w:numId w:val="0"/>
        </w:numPr>
        <w:ind w:leftChars="0"/>
        <w:rPr>
          <w:rFonts w:hint="default"/>
          <w:b w:val="0"/>
          <w:bCs w:val="0"/>
          <w:sz w:val="32"/>
          <w:szCs w:val="32"/>
          <w:lang w:val="en-GB"/>
        </w:rPr>
      </w:pPr>
      <w:r>
        <w:rPr>
          <w:rFonts w:hint="default"/>
          <w:b w:val="0"/>
          <w:bCs w:val="0"/>
          <w:sz w:val="32"/>
          <w:szCs w:val="32"/>
          <w:lang w:val="en-GB"/>
        </w:rPr>
        <w:t xml:space="preserve">5. </w:t>
      </w:r>
      <w:r>
        <w:rPr>
          <w:rFonts w:hint="default"/>
          <w:b/>
          <w:bCs/>
          <w:sz w:val="32"/>
          <w:szCs w:val="32"/>
          <w:lang w:val="en-GB"/>
        </w:rPr>
        <w:t>Promote Online Backup Services</w:t>
      </w:r>
    </w:p>
    <w:p w14:paraId="3A8DBE67">
      <w:pPr>
        <w:numPr>
          <w:numId w:val="0"/>
        </w:numPr>
        <w:ind w:leftChars="0"/>
        <w:rPr>
          <w:rFonts w:hint="default"/>
          <w:b w:val="0"/>
          <w:bCs w:val="0"/>
          <w:sz w:val="32"/>
          <w:szCs w:val="32"/>
          <w:lang w:val="en-GB"/>
        </w:rPr>
      </w:pPr>
      <w:r>
        <w:rPr>
          <w:rFonts w:hint="default"/>
          <w:b w:val="0"/>
          <w:bCs w:val="0"/>
          <w:sz w:val="32"/>
          <w:szCs w:val="32"/>
          <w:lang w:val="en-GB"/>
        </w:rPr>
        <w:t>Customers without online backup recorded a high churn rate of 39.9%. The company should encourage customers to subscribe to online backup services by offering discounts, bundled packages, or educating customers about the benefits of the service. This could increase customer engagement and potentially improve retention.</w:t>
      </w:r>
    </w:p>
    <w:p w14:paraId="720CCD02">
      <w:pPr>
        <w:numPr>
          <w:numId w:val="0"/>
        </w:numPr>
        <w:ind w:leftChars="0"/>
        <w:rPr>
          <w:rFonts w:hint="default"/>
          <w:b w:val="0"/>
          <w:bCs w:val="0"/>
          <w:sz w:val="32"/>
          <w:szCs w:val="32"/>
          <w:lang w:val="en-GB"/>
        </w:rPr>
      </w:pPr>
      <w:r>
        <w:rPr>
          <w:rFonts w:hint="default"/>
          <w:b w:val="0"/>
          <w:bCs w:val="0"/>
          <w:sz w:val="32"/>
          <w:szCs w:val="32"/>
          <w:lang w:val="en-GB"/>
        </w:rPr>
        <w:t xml:space="preserve">6. </w:t>
      </w:r>
      <w:r>
        <w:rPr>
          <w:rFonts w:hint="default"/>
          <w:b/>
          <w:bCs/>
          <w:sz w:val="32"/>
          <w:szCs w:val="32"/>
          <w:lang w:val="en-GB"/>
        </w:rPr>
        <w:t>Increase Adoption of Device Protection</w:t>
      </w:r>
    </w:p>
    <w:p w14:paraId="2DFDC5A1">
      <w:pPr>
        <w:numPr>
          <w:numId w:val="0"/>
        </w:numPr>
        <w:ind w:leftChars="0"/>
        <w:rPr>
          <w:rFonts w:hint="default"/>
          <w:b w:val="0"/>
          <w:bCs w:val="0"/>
          <w:sz w:val="32"/>
          <w:szCs w:val="32"/>
          <w:lang w:val="en-GB"/>
        </w:rPr>
      </w:pPr>
      <w:r>
        <w:rPr>
          <w:rFonts w:hint="default"/>
          <w:b w:val="0"/>
          <w:bCs w:val="0"/>
          <w:sz w:val="32"/>
          <w:szCs w:val="32"/>
          <w:lang w:val="en-GB"/>
        </w:rPr>
        <w:t>Customers without device protection recorded a churn rate of 39.1%. The company should consider offering affordable device protection plans and bundling them with internet or other services. This can provide customers with additional value while encouraging them to remain subscribed to the company's services.</w:t>
      </w:r>
    </w:p>
    <w:p w14:paraId="535AFE56">
      <w:pPr>
        <w:numPr>
          <w:numId w:val="0"/>
        </w:numPr>
        <w:ind w:leftChars="0"/>
        <w:rPr>
          <w:rFonts w:hint="default"/>
          <w:b w:val="0"/>
          <w:bCs w:val="0"/>
          <w:sz w:val="32"/>
          <w:szCs w:val="32"/>
          <w:lang w:val="en-GB"/>
        </w:rPr>
      </w:pPr>
      <w:r>
        <w:rPr>
          <w:rFonts w:hint="default"/>
          <w:b w:val="0"/>
          <w:bCs w:val="0"/>
          <w:sz w:val="32"/>
          <w:szCs w:val="32"/>
          <w:lang w:val="en-GB"/>
        </w:rPr>
        <w:t xml:space="preserve">7. </w:t>
      </w:r>
      <w:r>
        <w:rPr>
          <w:rFonts w:hint="default"/>
          <w:b/>
          <w:bCs/>
          <w:sz w:val="32"/>
          <w:szCs w:val="32"/>
          <w:lang w:val="en-GB"/>
        </w:rPr>
        <w:t>Encourage Customers to Move from Month-to-Month Contracts</w:t>
      </w:r>
    </w:p>
    <w:p w14:paraId="58CB3C91">
      <w:pPr>
        <w:numPr>
          <w:numId w:val="0"/>
        </w:numPr>
        <w:ind w:leftChars="0"/>
        <w:rPr>
          <w:rFonts w:hint="default"/>
          <w:b w:val="0"/>
          <w:bCs w:val="0"/>
          <w:sz w:val="32"/>
          <w:szCs w:val="32"/>
          <w:lang w:val="en-GB"/>
        </w:rPr>
      </w:pPr>
      <w:r>
        <w:rPr>
          <w:rFonts w:hint="default"/>
          <w:b w:val="0"/>
          <w:bCs w:val="0"/>
          <w:sz w:val="32"/>
          <w:szCs w:val="32"/>
          <w:lang w:val="en-GB"/>
        </w:rPr>
        <w:t>Month-to-month customers recorded a high churn rate of 42.7%. The company should encourage these customers to switch to longer-term contracts by offering incentives such as discounts, lower monthly rates, loyalty rewards, or additional services. Longer-term contracts can help improve customer commitment and reduce churn.</w:t>
      </w:r>
    </w:p>
    <w:p w14:paraId="191E779A">
      <w:pPr>
        <w:numPr>
          <w:numId w:val="0"/>
        </w:numPr>
        <w:ind w:leftChars="0"/>
        <w:rPr>
          <w:rFonts w:hint="default"/>
          <w:b/>
          <w:bCs/>
          <w:sz w:val="32"/>
          <w:szCs w:val="32"/>
          <w:lang w:val="en-GB"/>
        </w:rPr>
      </w:pPr>
      <w:r>
        <w:rPr>
          <w:rFonts w:hint="default"/>
          <w:b w:val="0"/>
          <w:bCs w:val="0"/>
          <w:sz w:val="32"/>
          <w:szCs w:val="32"/>
          <w:lang w:val="en-GB"/>
        </w:rPr>
        <w:t xml:space="preserve">8. </w:t>
      </w:r>
      <w:r>
        <w:rPr>
          <w:rFonts w:hint="default"/>
          <w:b/>
          <w:bCs/>
          <w:sz w:val="32"/>
          <w:szCs w:val="32"/>
          <w:lang w:val="en-GB"/>
        </w:rPr>
        <w:t>Review the Electronic Check Payment Method</w:t>
      </w:r>
    </w:p>
    <w:p w14:paraId="6AB55487">
      <w:pPr>
        <w:numPr>
          <w:numId w:val="0"/>
        </w:numPr>
        <w:ind w:leftChars="0"/>
        <w:rPr>
          <w:rFonts w:hint="default"/>
          <w:b w:val="0"/>
          <w:bCs w:val="0"/>
          <w:sz w:val="32"/>
          <w:szCs w:val="32"/>
          <w:lang w:val="en-GB"/>
        </w:rPr>
      </w:pPr>
      <w:r>
        <w:rPr>
          <w:rFonts w:hint="default"/>
          <w:b w:val="0"/>
          <w:bCs w:val="0"/>
          <w:sz w:val="32"/>
          <w:szCs w:val="32"/>
          <w:lang w:val="en-GB"/>
        </w:rPr>
        <w:t>Customers using electronic checks recorded the highest churn rate among the payment methods analyzed, at 45.3%. The company should investigate whether customers using electronic checks experience payment difficulties or other issues. Customers could also be encouraged to use alternative payment methods through incentives, discounts, or a simplified payment process.</w:t>
      </w:r>
    </w:p>
    <w:p w14:paraId="3C9E3045">
      <w:pPr>
        <w:numPr>
          <w:numId w:val="0"/>
        </w:numPr>
        <w:ind w:leftChars="0"/>
        <w:rPr>
          <w:rFonts w:hint="default"/>
          <w:b/>
          <w:bCs/>
          <w:sz w:val="32"/>
          <w:szCs w:val="32"/>
          <w:lang w:val="en-GB"/>
        </w:rPr>
      </w:pPr>
      <w:r>
        <w:rPr>
          <w:rFonts w:hint="default"/>
          <w:b w:val="0"/>
          <w:bCs w:val="0"/>
          <w:sz w:val="32"/>
          <w:szCs w:val="32"/>
          <w:lang w:val="en-GB"/>
        </w:rPr>
        <w:t xml:space="preserve">9. </w:t>
      </w:r>
      <w:r>
        <w:rPr>
          <w:rFonts w:hint="default"/>
          <w:b/>
          <w:bCs/>
          <w:sz w:val="32"/>
          <w:szCs w:val="32"/>
          <w:lang w:val="en-GB"/>
        </w:rPr>
        <w:t>Implement Targeted Churn-Prevention Strategies</w:t>
      </w:r>
    </w:p>
    <w:p w14:paraId="4F3D44BA">
      <w:pPr>
        <w:numPr>
          <w:numId w:val="0"/>
        </w:numPr>
        <w:ind w:leftChars="0"/>
        <w:rPr>
          <w:rFonts w:hint="default"/>
          <w:b w:val="0"/>
          <w:bCs w:val="0"/>
          <w:sz w:val="32"/>
          <w:szCs w:val="32"/>
          <w:lang w:val="en-GB"/>
        </w:rPr>
      </w:pPr>
      <w:r>
        <w:rPr>
          <w:rFonts w:hint="default"/>
          <w:b w:val="0"/>
          <w:bCs w:val="0"/>
          <w:sz w:val="32"/>
          <w:szCs w:val="32"/>
          <w:lang w:val="en-GB"/>
        </w:rPr>
        <w:t>Rather than applying the same retention strategy to every customer, the company should use the identified churn patterns to target customers who are more likely to leave. Customers with multiple risk factors, such as being on a month-to-month contract, using electronic checks, lacking online security, and having shorter tenure, should receive priority for retention campaigns.</w:t>
      </w:r>
    </w:p>
    <w:p w14:paraId="6D0F4654">
      <w:pPr>
        <w:numPr>
          <w:numId w:val="0"/>
        </w:numPr>
        <w:ind w:leftChars="0"/>
        <w:rPr>
          <w:rFonts w:hint="default"/>
          <w:b w:val="0"/>
          <w:bCs w:val="0"/>
          <w:sz w:val="32"/>
          <w:szCs w:val="32"/>
          <w:lang w:val="en-GB"/>
        </w:rPr>
      </w:pPr>
      <w:r>
        <w:rPr>
          <w:rFonts w:hint="default"/>
          <w:b w:val="0"/>
          <w:bCs w:val="0"/>
          <w:sz w:val="32"/>
          <w:szCs w:val="32"/>
          <w:lang w:val="en-GB"/>
        </w:rPr>
        <w:t xml:space="preserve">10. </w:t>
      </w:r>
      <w:r>
        <w:rPr>
          <w:rFonts w:hint="default"/>
          <w:b/>
          <w:bCs/>
          <w:sz w:val="32"/>
          <w:szCs w:val="32"/>
          <w:lang w:val="en-GB"/>
        </w:rPr>
        <w:t>Monitor Churn Regularly</w:t>
      </w:r>
    </w:p>
    <w:p w14:paraId="3062E629">
      <w:pPr>
        <w:numPr>
          <w:numId w:val="0"/>
        </w:numPr>
        <w:ind w:leftChars="0"/>
        <w:rPr>
          <w:rFonts w:hint="default"/>
          <w:b w:val="0"/>
          <w:bCs w:val="0"/>
          <w:sz w:val="32"/>
          <w:szCs w:val="32"/>
          <w:lang w:val="en-GB"/>
        </w:rPr>
      </w:pPr>
      <w:r>
        <w:rPr>
          <w:rFonts w:hint="default"/>
          <w:b w:val="0"/>
          <w:bCs w:val="0"/>
          <w:sz w:val="32"/>
          <w:szCs w:val="32"/>
          <w:lang w:val="en-GB"/>
        </w:rPr>
        <w:t>The company should continuously monitor customer churn across important customer segments, services, contract types, and payment methods. Regular analysis will help the company identify emerging churn patterns early and take corrective action before more customers leave.</w:t>
      </w:r>
    </w:p>
    <w:p w14:paraId="2EBA1B81">
      <w:pPr>
        <w:numPr>
          <w:numId w:val="0"/>
        </w:numPr>
        <w:ind w:leftChars="0"/>
        <w:rPr>
          <w:rFonts w:hint="default"/>
          <w:b w:val="0"/>
          <w:bCs w:val="0"/>
          <w:sz w:val="32"/>
          <w:szCs w:val="32"/>
          <w:lang w:val="en-GB"/>
        </w:rPr>
      </w:pPr>
    </w:p>
    <w:p w14:paraId="08C2CEAF">
      <w:pPr>
        <w:numPr>
          <w:numId w:val="0"/>
        </w:numPr>
        <w:ind w:leftChars="0"/>
        <w:rPr>
          <w:rFonts w:hint="default"/>
          <w:b w:val="0"/>
          <w:bCs w:val="0"/>
          <w:sz w:val="32"/>
          <w:szCs w:val="32"/>
          <w:lang w:val="en-GB"/>
        </w:rPr>
      </w:pPr>
    </w:p>
    <w:p w14:paraId="70CE4D65">
      <w:pPr>
        <w:numPr>
          <w:numId w:val="0"/>
        </w:numPr>
        <w:ind w:leftChars="0"/>
        <w:rPr>
          <w:rFonts w:hint="default"/>
          <w:b w:val="0"/>
          <w:bCs w:val="0"/>
          <w:sz w:val="32"/>
          <w:szCs w:val="32"/>
          <w:lang w:val="en-GB"/>
        </w:rPr>
      </w:pPr>
    </w:p>
    <w:p w14:paraId="3EC7A276">
      <w:pPr>
        <w:numPr>
          <w:numId w:val="0"/>
        </w:numPr>
        <w:ind w:leftChars="0"/>
        <w:rPr>
          <w:rFonts w:hint="default"/>
          <w:b w:val="0"/>
          <w:bCs w:val="0"/>
          <w:sz w:val="32"/>
          <w:szCs w:val="32"/>
          <w:lang w:val="en-GB"/>
        </w:rPr>
      </w:pPr>
    </w:p>
    <w:p w14:paraId="09C96E6B">
      <w:pPr>
        <w:numPr>
          <w:numId w:val="0"/>
        </w:numPr>
        <w:ind w:leftChars="0"/>
        <w:rPr>
          <w:rFonts w:hint="default"/>
          <w:b w:val="0"/>
          <w:bCs w:val="0"/>
          <w:sz w:val="32"/>
          <w:szCs w:val="32"/>
          <w:lang w:val="en-GB"/>
        </w:rPr>
      </w:pPr>
    </w:p>
    <w:p w14:paraId="50CDEA6A">
      <w:pPr>
        <w:numPr>
          <w:numId w:val="0"/>
        </w:numPr>
        <w:ind w:leftChars="0"/>
        <w:rPr>
          <w:rFonts w:hint="default"/>
          <w:b w:val="0"/>
          <w:bCs w:val="0"/>
          <w:sz w:val="32"/>
          <w:szCs w:val="32"/>
          <w:lang w:val="en-GB"/>
        </w:rPr>
      </w:pPr>
    </w:p>
    <w:p w14:paraId="0AE5E6D9">
      <w:pPr>
        <w:numPr>
          <w:numId w:val="0"/>
        </w:numPr>
        <w:ind w:leftChars="0"/>
        <w:rPr>
          <w:rFonts w:hint="default"/>
          <w:b w:val="0"/>
          <w:bCs w:val="0"/>
          <w:sz w:val="32"/>
          <w:szCs w:val="32"/>
          <w:lang w:val="en-GB"/>
        </w:rPr>
      </w:pPr>
    </w:p>
    <w:p w14:paraId="2503917A">
      <w:pPr>
        <w:numPr>
          <w:numId w:val="0"/>
        </w:numPr>
        <w:ind w:leftChars="0"/>
        <w:rPr>
          <w:rFonts w:hint="default"/>
          <w:b w:val="0"/>
          <w:bCs w:val="0"/>
          <w:sz w:val="32"/>
          <w:szCs w:val="32"/>
          <w:lang w:val="en-GB"/>
        </w:rPr>
      </w:pPr>
    </w:p>
    <w:p w14:paraId="71401205">
      <w:pPr>
        <w:numPr>
          <w:numId w:val="0"/>
        </w:numPr>
        <w:ind w:leftChars="0"/>
        <w:rPr>
          <w:rFonts w:hint="default"/>
          <w:b w:val="0"/>
          <w:bCs w:val="0"/>
          <w:sz w:val="32"/>
          <w:szCs w:val="32"/>
          <w:lang w:val="en-GB"/>
        </w:rPr>
      </w:pPr>
    </w:p>
    <w:p w14:paraId="0D354E76">
      <w:pPr>
        <w:numPr>
          <w:numId w:val="0"/>
        </w:numPr>
        <w:ind w:leftChars="0"/>
        <w:rPr>
          <w:rFonts w:hint="default"/>
          <w:b w:val="0"/>
          <w:bCs w:val="0"/>
          <w:sz w:val="32"/>
          <w:szCs w:val="32"/>
          <w:lang w:val="en-GB"/>
        </w:rPr>
      </w:pPr>
    </w:p>
    <w:p w14:paraId="2804E37E">
      <w:pPr>
        <w:numPr>
          <w:numId w:val="0"/>
        </w:numPr>
        <w:ind w:leftChars="0"/>
        <w:rPr>
          <w:rFonts w:hint="default"/>
          <w:b w:val="0"/>
          <w:bCs w:val="0"/>
          <w:sz w:val="32"/>
          <w:szCs w:val="32"/>
          <w:lang w:val="en-GB"/>
        </w:rPr>
      </w:pPr>
    </w:p>
    <w:p w14:paraId="0188218B">
      <w:pPr>
        <w:numPr>
          <w:numId w:val="0"/>
        </w:numPr>
        <w:ind w:leftChars="0"/>
        <w:rPr>
          <w:rFonts w:hint="default"/>
          <w:b w:val="0"/>
          <w:bCs w:val="0"/>
          <w:sz w:val="32"/>
          <w:szCs w:val="32"/>
          <w:lang w:val="en-GB"/>
        </w:rPr>
      </w:pPr>
    </w:p>
    <w:p w14:paraId="2192D3AC">
      <w:pPr>
        <w:numPr>
          <w:numId w:val="0"/>
        </w:numPr>
        <w:ind w:leftChars="0"/>
        <w:rPr>
          <w:rFonts w:hint="default"/>
          <w:b w:val="0"/>
          <w:bCs w:val="0"/>
          <w:sz w:val="32"/>
          <w:szCs w:val="32"/>
          <w:lang w:val="en-GB"/>
        </w:rPr>
      </w:pPr>
    </w:p>
    <w:p w14:paraId="575ED0CA">
      <w:pPr>
        <w:numPr>
          <w:numId w:val="0"/>
        </w:numPr>
        <w:ind w:leftChars="0"/>
        <w:rPr>
          <w:rFonts w:hint="default"/>
          <w:b w:val="0"/>
          <w:bCs w:val="0"/>
          <w:sz w:val="32"/>
          <w:szCs w:val="32"/>
          <w:lang w:val="en-GB"/>
        </w:rPr>
      </w:pPr>
    </w:p>
    <w:p w14:paraId="12F9B419">
      <w:pPr>
        <w:numPr>
          <w:numId w:val="0"/>
        </w:numPr>
        <w:ind w:leftChars="0"/>
        <w:rPr>
          <w:rFonts w:hint="default"/>
          <w:b w:val="0"/>
          <w:bCs w:val="0"/>
          <w:sz w:val="32"/>
          <w:szCs w:val="32"/>
          <w:lang w:val="en-GB"/>
        </w:rPr>
      </w:pPr>
    </w:p>
    <w:p w14:paraId="09D3B6A0">
      <w:pPr>
        <w:numPr>
          <w:numId w:val="0"/>
        </w:numPr>
        <w:ind w:leftChars="0"/>
        <w:rPr>
          <w:rFonts w:hint="default"/>
          <w:b w:val="0"/>
          <w:bCs w:val="0"/>
          <w:sz w:val="32"/>
          <w:szCs w:val="32"/>
          <w:lang w:val="en-GB"/>
        </w:rPr>
      </w:pPr>
    </w:p>
    <w:p w14:paraId="6D910529">
      <w:pPr>
        <w:numPr>
          <w:numId w:val="0"/>
        </w:numPr>
        <w:ind w:leftChars="0"/>
        <w:rPr>
          <w:rFonts w:hint="default"/>
          <w:b w:val="0"/>
          <w:bCs w:val="0"/>
          <w:sz w:val="32"/>
          <w:szCs w:val="32"/>
          <w:lang w:val="en-GB"/>
        </w:rPr>
      </w:pPr>
    </w:p>
    <w:p w14:paraId="04960B3E">
      <w:pPr>
        <w:numPr>
          <w:numId w:val="0"/>
        </w:numPr>
        <w:ind w:leftChars="0"/>
        <w:rPr>
          <w:rFonts w:hint="default"/>
          <w:b w:val="0"/>
          <w:bCs w:val="0"/>
          <w:sz w:val="32"/>
          <w:szCs w:val="32"/>
          <w:lang w:val="en-GB"/>
        </w:rPr>
      </w:pPr>
    </w:p>
    <w:p w14:paraId="090B1188">
      <w:pPr>
        <w:numPr>
          <w:numId w:val="0"/>
        </w:numPr>
        <w:ind w:leftChars="0"/>
        <w:rPr>
          <w:rFonts w:hint="default"/>
          <w:b w:val="0"/>
          <w:bCs w:val="0"/>
          <w:sz w:val="32"/>
          <w:szCs w:val="32"/>
          <w:lang w:val="en-GB"/>
        </w:rPr>
      </w:pPr>
    </w:p>
    <w:p w14:paraId="1AE25188">
      <w:pPr>
        <w:numPr>
          <w:numId w:val="0"/>
        </w:numPr>
        <w:ind w:leftChars="0"/>
        <w:rPr>
          <w:rFonts w:hint="default"/>
          <w:b w:val="0"/>
          <w:bCs w:val="0"/>
          <w:sz w:val="32"/>
          <w:szCs w:val="32"/>
          <w:lang w:val="en-GB"/>
        </w:rPr>
      </w:pPr>
    </w:p>
    <w:p w14:paraId="323B5727">
      <w:pPr>
        <w:numPr>
          <w:numId w:val="0"/>
        </w:numPr>
        <w:ind w:leftChars="0"/>
        <w:rPr>
          <w:rFonts w:hint="default"/>
          <w:b w:val="0"/>
          <w:bCs w:val="0"/>
          <w:sz w:val="32"/>
          <w:szCs w:val="32"/>
          <w:lang w:val="en-GB"/>
        </w:rPr>
      </w:pPr>
    </w:p>
    <w:p w14:paraId="15F26DD8">
      <w:pPr>
        <w:numPr>
          <w:numId w:val="0"/>
        </w:numPr>
        <w:ind w:leftChars="0"/>
        <w:rPr>
          <w:rFonts w:hint="default"/>
          <w:b w:val="0"/>
          <w:bCs w:val="0"/>
          <w:sz w:val="32"/>
          <w:szCs w:val="32"/>
          <w:lang w:val="en-GB"/>
        </w:rPr>
      </w:pPr>
    </w:p>
    <w:p w14:paraId="63190C4E">
      <w:pPr>
        <w:numPr>
          <w:numId w:val="0"/>
        </w:numPr>
        <w:ind w:leftChars="0"/>
        <w:rPr>
          <w:rFonts w:hint="default"/>
          <w:b w:val="0"/>
          <w:bCs w:val="0"/>
          <w:sz w:val="32"/>
          <w:szCs w:val="32"/>
          <w:lang w:val="en-GB"/>
        </w:rPr>
      </w:pPr>
    </w:p>
    <w:p w14:paraId="0956DEAA">
      <w:pPr>
        <w:numPr>
          <w:numId w:val="0"/>
        </w:numPr>
        <w:ind w:leftChars="0"/>
        <w:rPr>
          <w:rFonts w:hint="default"/>
          <w:b w:val="0"/>
          <w:bCs w:val="0"/>
          <w:sz w:val="32"/>
          <w:szCs w:val="32"/>
          <w:lang w:val="en-GB"/>
        </w:rPr>
      </w:pPr>
    </w:p>
    <w:p w14:paraId="2B51EB7D">
      <w:pPr>
        <w:numPr>
          <w:numId w:val="0"/>
        </w:numPr>
        <w:ind w:leftChars="0"/>
        <w:rPr>
          <w:rFonts w:hint="default"/>
          <w:b w:val="0"/>
          <w:bCs w:val="0"/>
          <w:sz w:val="32"/>
          <w:szCs w:val="32"/>
          <w:lang w:val="en-GB"/>
        </w:rPr>
      </w:pPr>
    </w:p>
    <w:p w14:paraId="43FF55C7">
      <w:pPr>
        <w:numPr>
          <w:numId w:val="0"/>
        </w:numPr>
        <w:ind w:leftChars="0"/>
        <w:rPr>
          <w:rFonts w:hint="default"/>
          <w:b w:val="0"/>
          <w:bCs w:val="0"/>
          <w:sz w:val="32"/>
          <w:szCs w:val="32"/>
          <w:lang w:val="en-GB"/>
        </w:rPr>
      </w:pPr>
    </w:p>
    <w:p w14:paraId="482AF008">
      <w:pPr>
        <w:numPr>
          <w:numId w:val="0"/>
        </w:numPr>
        <w:ind w:leftChars="0"/>
        <w:rPr>
          <w:rFonts w:hint="default"/>
          <w:b w:val="0"/>
          <w:bCs w:val="0"/>
          <w:sz w:val="32"/>
          <w:szCs w:val="32"/>
          <w:lang w:val="en-GB"/>
        </w:rPr>
      </w:pPr>
    </w:p>
    <w:p w14:paraId="3911B820">
      <w:pPr>
        <w:numPr>
          <w:numId w:val="0"/>
        </w:numPr>
        <w:ind w:leftChars="0"/>
        <w:rPr>
          <w:rFonts w:hint="default"/>
          <w:b w:val="0"/>
          <w:bCs w:val="0"/>
          <w:sz w:val="32"/>
          <w:szCs w:val="32"/>
          <w:lang w:val="en-GB"/>
        </w:rPr>
      </w:pPr>
    </w:p>
    <w:p w14:paraId="2E6D5998">
      <w:pPr>
        <w:numPr>
          <w:numId w:val="0"/>
        </w:numPr>
        <w:ind w:leftChars="0"/>
        <w:rPr>
          <w:rFonts w:hint="default"/>
          <w:b w:val="0"/>
          <w:bCs w:val="0"/>
          <w:sz w:val="32"/>
          <w:szCs w:val="32"/>
          <w:lang w:val="en-GB"/>
        </w:rPr>
      </w:pPr>
      <w:bookmarkStart w:id="0" w:name="_GoBack"/>
      <w:bookmarkEnd w:id="0"/>
    </w:p>
    <w:p w14:paraId="647EB440">
      <w:pPr>
        <w:numPr>
          <w:numId w:val="0"/>
        </w:numPr>
        <w:ind w:left="720" w:leftChars="0" w:firstLine="720" w:firstLineChars="0"/>
        <w:rPr>
          <w:rFonts w:hint="default"/>
          <w:b/>
          <w:bCs/>
          <w:sz w:val="32"/>
          <w:szCs w:val="32"/>
          <w:lang w:val="en-GB"/>
        </w:rPr>
      </w:pPr>
      <w:r>
        <w:rPr>
          <w:rFonts w:hint="default"/>
          <w:b/>
          <w:bCs/>
          <w:sz w:val="32"/>
          <w:szCs w:val="32"/>
          <w:lang w:val="en-GB"/>
        </w:rPr>
        <w:t>EXECUTIVE SUMMARY</w:t>
      </w:r>
    </w:p>
    <w:p w14:paraId="7E930A2D">
      <w:pPr>
        <w:numPr>
          <w:numId w:val="0"/>
        </w:numPr>
        <w:ind w:leftChars="0"/>
        <w:rPr>
          <w:rFonts w:hint="default"/>
          <w:b w:val="0"/>
          <w:bCs w:val="0"/>
          <w:sz w:val="28"/>
          <w:szCs w:val="28"/>
          <w:lang w:val="en-GB"/>
        </w:rPr>
      </w:pPr>
      <w:r>
        <w:rPr>
          <w:rFonts w:hint="default"/>
          <w:b w:val="0"/>
          <w:bCs w:val="0"/>
          <w:sz w:val="28"/>
          <w:szCs w:val="28"/>
          <w:lang w:val="en-GB"/>
        </w:rPr>
        <w:t>This analysis examines customer churn to identify the rate at which customers leave the company and the key factors associated with customer attrition. The analysis was conducted on a total of 7,043 customers, of which 1,869 customers (26.54%) have churned, while 5,174 customers (73.46%) remain with the company.</w:t>
      </w:r>
    </w:p>
    <w:p w14:paraId="694EA524">
      <w:pPr>
        <w:numPr>
          <w:numId w:val="0"/>
        </w:numPr>
        <w:ind w:leftChars="0"/>
        <w:rPr>
          <w:rFonts w:hint="default"/>
          <w:b w:val="0"/>
          <w:bCs w:val="0"/>
          <w:sz w:val="28"/>
          <w:szCs w:val="28"/>
          <w:lang w:val="en-GB"/>
        </w:rPr>
      </w:pPr>
      <w:r>
        <w:rPr>
          <w:rFonts w:hint="default"/>
          <w:b w:val="0"/>
          <w:bCs w:val="0"/>
          <w:sz w:val="28"/>
          <w:szCs w:val="28"/>
          <w:lang w:val="en-GB"/>
        </w:rPr>
        <w:t>The findings reveal several customer and service characteristics associated with higher churn. Single customers recorded a higher churn rate and the lowest number of retained customers among the partner-status groups. Customers with 0–9 years of tenure recorded the highest churn rate at 49.8%, with 923 customers leaving compared to 931 who remained.</w:t>
      </w:r>
    </w:p>
    <w:p w14:paraId="65129ED6">
      <w:pPr>
        <w:numPr>
          <w:numId w:val="0"/>
        </w:numPr>
        <w:ind w:leftChars="0"/>
        <w:rPr>
          <w:rFonts w:hint="default"/>
          <w:b w:val="0"/>
          <w:bCs w:val="0"/>
          <w:sz w:val="28"/>
          <w:szCs w:val="28"/>
          <w:lang w:val="en-GB"/>
        </w:rPr>
      </w:pPr>
      <w:r>
        <w:rPr>
          <w:rFonts w:hint="default"/>
          <w:b w:val="0"/>
          <w:bCs w:val="0"/>
          <w:sz w:val="28"/>
          <w:szCs w:val="28"/>
          <w:lang w:val="en-GB"/>
        </w:rPr>
        <w:t>Service-related factors also showed significant churn patterns. Fiber Optic internet users recorded a churn rate of 41.9%, while customers without online security, online backup, and device protection recorded churn rates of 42.0%, 39.9%, and 39.1%, respectively. These findings highlight customer segments that may require additional attention from the company.</w:t>
      </w:r>
    </w:p>
    <w:p w14:paraId="00C48E1B">
      <w:pPr>
        <w:numPr>
          <w:numId w:val="0"/>
        </w:numPr>
        <w:ind w:leftChars="0"/>
        <w:rPr>
          <w:rFonts w:hint="default"/>
          <w:b w:val="0"/>
          <w:bCs w:val="0"/>
          <w:sz w:val="28"/>
          <w:szCs w:val="28"/>
          <w:lang w:val="en-GB"/>
        </w:rPr>
      </w:pPr>
      <w:r>
        <w:rPr>
          <w:rFonts w:hint="default"/>
          <w:b w:val="0"/>
          <w:bCs w:val="0"/>
          <w:sz w:val="28"/>
          <w:szCs w:val="28"/>
          <w:lang w:val="en-GB"/>
        </w:rPr>
        <w:t>Contract and payment methods also showed notable differences in churn. Customers on month-to-month contracts recorded a churn rate of 42.7%, while customers using electronic checks recorded the highest churn rate among the payment methods analyzed at 45.3%.</w:t>
      </w:r>
    </w:p>
    <w:p w14:paraId="7A99311D">
      <w:pPr>
        <w:numPr>
          <w:numId w:val="0"/>
        </w:numPr>
        <w:ind w:leftChars="0"/>
        <w:rPr>
          <w:rFonts w:hint="default"/>
          <w:b w:val="0"/>
          <w:bCs w:val="0"/>
          <w:sz w:val="28"/>
          <w:szCs w:val="28"/>
          <w:lang w:val="en-GB"/>
        </w:rPr>
      </w:pPr>
      <w:r>
        <w:rPr>
          <w:rFonts w:hint="default"/>
          <w:b w:val="0"/>
          <w:bCs w:val="0"/>
          <w:sz w:val="28"/>
          <w:szCs w:val="28"/>
          <w:lang w:val="en-GB"/>
        </w:rPr>
        <w:t>Based on these findings, the company should prioritize targeted retention strategies for high-risk customer segments. These include improving the onboarding and customer experience for newer customers, encouraging the adoption of additional services, providing incentives for customers to move to longer-term contracts, reviewing the electronic check payment process, and continuously monitoring churn patterns.</w:t>
      </w:r>
    </w:p>
    <w:p w14:paraId="1747F26A">
      <w:pPr>
        <w:numPr>
          <w:numId w:val="0"/>
        </w:numPr>
        <w:ind w:leftChars="0"/>
        <w:rPr>
          <w:rFonts w:hint="default"/>
          <w:b w:val="0"/>
          <w:bCs w:val="0"/>
          <w:sz w:val="28"/>
          <w:szCs w:val="28"/>
          <w:lang w:val="en-GB"/>
        </w:rPr>
      </w:pPr>
      <w:r>
        <w:rPr>
          <w:rFonts w:hint="default"/>
          <w:b w:val="0"/>
          <w:bCs w:val="0"/>
          <w:sz w:val="28"/>
          <w:szCs w:val="28"/>
          <w:lang w:val="en-GB"/>
        </w:rPr>
        <w:t>Overall, while the majority of customers remain with the company, the 26.54% churn rate represents a significant retention challenge. Addressing the identified high-risk segments can help reduce customer churn, improve customer loyalty, and strengthen long-term customer retention.</w:t>
      </w:r>
    </w:p>
    <w:p w14:paraId="273C0C40">
      <w:pPr>
        <w:numPr>
          <w:numId w:val="0"/>
        </w:numPr>
        <w:ind w:leftChars="0"/>
        <w:rPr>
          <w:rFonts w:hint="default"/>
          <w:b w:val="0"/>
          <w:bCs w:val="0"/>
          <w:sz w:val="28"/>
          <w:szCs w:val="28"/>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DFC66D"/>
    <w:multiLevelType w:val="singleLevel"/>
    <w:tmpl w:val="ADDFC66D"/>
    <w:lvl w:ilvl="0" w:tentative="0">
      <w:start w:val="1"/>
      <w:numFmt w:val="decimal"/>
      <w:suff w:val="space"/>
      <w:lvlText w:val="%1."/>
      <w:lvlJc w:val="left"/>
      <w:rPr>
        <w:rFonts w:hint="default"/>
        <w:b w:val="0"/>
        <w:bCs w:val="0"/>
      </w:rPr>
    </w:lvl>
  </w:abstractNum>
  <w:abstractNum w:abstractNumId="1">
    <w:nsid w:val="4389F7ED"/>
    <w:multiLevelType w:val="multilevel"/>
    <w:tmpl w:val="4389F7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0F36D3"/>
    <w:rsid w:val="13E649C9"/>
    <w:rsid w:val="19EC4FBE"/>
    <w:rsid w:val="1D5368AC"/>
    <w:rsid w:val="26855060"/>
    <w:rsid w:val="2BC12DD8"/>
    <w:rsid w:val="30D96334"/>
    <w:rsid w:val="34303DD0"/>
    <w:rsid w:val="3B9236C9"/>
    <w:rsid w:val="42DE6BC4"/>
    <w:rsid w:val="4B8A54FE"/>
    <w:rsid w:val="4CEE5D2B"/>
    <w:rsid w:val="4FEF6B48"/>
    <w:rsid w:val="51B4181B"/>
    <w:rsid w:val="52BB6B4A"/>
    <w:rsid w:val="552D6BF5"/>
    <w:rsid w:val="62D35631"/>
    <w:rsid w:val="67364560"/>
    <w:rsid w:val="695348DB"/>
    <w:rsid w:val="698655A4"/>
    <w:rsid w:val="720860A3"/>
    <w:rsid w:val="76026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162</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2026-08-20T19:29:23Z</dcterms:created>
  <dc:creator>USER</dc:creator>
  <cp:lastModifiedBy>WPS_1774608600</cp:lastModifiedBy>
  <dcterms:modified xsi:type="dcterms:W3CDTF">2026-08-20T22:49:18Z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eyJoZGlkIjoiZDM3MDY4MGRlMDFhZGUxOGQwM2E4YTg3ZmUyZmFkN2EiLCJ1c2VySWQiOiIyNzY2Njk3MTIzOTQ0In0=</vt:lpwstr>
  </property>
  <property fmtid="{D5CDD505-2E9C-101B-9397-08002B2CF9AE}" pid="4" name="ICV">
    <vt:lpwstr>BAC24D62914F40A4A9943A98BA06EC8C_12</vt:lpwstr>
  </property>
</Properties>
</file>