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E458" w14:textId="77777777" w:rsidR="00675FDC" w:rsidRDefault="009E7E81">
      <w:pPr>
        <w:rPr>
          <w:rFonts w:ascii="Times New Roman" w:hAnsi="Times New Roman" w:cs="Times New Roman"/>
          <w:sz w:val="28"/>
          <w:szCs w:val="28"/>
        </w:rPr>
      </w:pPr>
      <w:commentRangeStart w:id="0"/>
      <w:r>
        <w:rPr>
          <w:rFonts w:ascii="Times New Roman" w:hAnsi="Times New Roman" w:cs="Times New Roman"/>
          <w:sz w:val="28"/>
          <w:szCs w:val="28"/>
        </w:rPr>
        <w:t>Comparison of the Four Representative Strains of Influenza A Virus</w:t>
      </w:r>
      <w:commentRangeEnd w:id="0"/>
      <w:r w:rsidR="006D7E00">
        <w:rPr>
          <w:rStyle w:val="CommentReference"/>
        </w:rPr>
        <w:commentReference w:id="0"/>
      </w:r>
    </w:p>
    <w:p w14:paraId="6C93FDA6" w14:textId="77777777" w:rsidR="009E7E81" w:rsidRDefault="009E7E81">
      <w:pPr>
        <w:rPr>
          <w:rFonts w:ascii="Times New Roman" w:hAnsi="Times New Roman" w:cs="Times New Roman"/>
          <w:sz w:val="28"/>
          <w:szCs w:val="28"/>
        </w:rPr>
      </w:pPr>
    </w:p>
    <w:p w14:paraId="0476C8E9" w14:textId="77777777" w:rsidR="009E7E81" w:rsidRDefault="009E7E81">
      <w:pPr>
        <w:rPr>
          <w:rFonts w:ascii="Times New Roman" w:hAnsi="Times New Roman" w:cs="Times New Roman"/>
          <w:b/>
          <w:sz w:val="24"/>
          <w:szCs w:val="24"/>
        </w:rPr>
      </w:pPr>
      <w:r w:rsidRPr="009E7E81">
        <w:rPr>
          <w:rFonts w:ascii="Times New Roman" w:hAnsi="Times New Roman" w:cs="Times New Roman"/>
          <w:b/>
          <w:sz w:val="24"/>
          <w:szCs w:val="24"/>
        </w:rPr>
        <w:t>Abstract</w:t>
      </w:r>
    </w:p>
    <w:p w14:paraId="5C065302" w14:textId="77777777" w:rsidR="009E7E81" w:rsidRPr="00B56096" w:rsidRDefault="00B56096">
      <w:pPr>
        <w:rPr>
          <w:rFonts w:ascii="Times New Roman" w:hAnsi="Times New Roman" w:cs="Times New Roman"/>
          <w:sz w:val="24"/>
          <w:szCs w:val="24"/>
        </w:rPr>
      </w:pPr>
      <w:commentRangeStart w:id="1"/>
      <w:r>
        <w:rPr>
          <w:rFonts w:ascii="Times New Roman" w:hAnsi="Times New Roman" w:cs="Times New Roman"/>
          <w:sz w:val="24"/>
          <w:szCs w:val="24"/>
        </w:rPr>
        <w:t>Influenza A viral strains are studied for mutation patterns. Geographical or temporal significance is not found for the genomes included in this research, and there is a slower mutation rate found for the two most recent strains of the virus. Polymerase PB1-F2 protein is truncated in the 2009 strain due to a transversion, but it is functional in the following viral genome.</w:t>
      </w:r>
      <w:commentRangeEnd w:id="1"/>
      <w:r w:rsidR="00AC02AF">
        <w:rPr>
          <w:rStyle w:val="CommentReference"/>
        </w:rPr>
        <w:commentReference w:id="1"/>
      </w:r>
    </w:p>
    <w:p w14:paraId="79AB4EB0" w14:textId="77777777" w:rsidR="00B56096" w:rsidRDefault="00B56096">
      <w:pPr>
        <w:rPr>
          <w:rFonts w:ascii="Times New Roman" w:hAnsi="Times New Roman" w:cs="Times New Roman"/>
          <w:b/>
          <w:sz w:val="24"/>
          <w:szCs w:val="24"/>
        </w:rPr>
      </w:pPr>
    </w:p>
    <w:p w14:paraId="3BF6A369" w14:textId="77777777" w:rsidR="009E7E81" w:rsidRDefault="009E7E81">
      <w:pPr>
        <w:rPr>
          <w:rFonts w:ascii="Times New Roman" w:hAnsi="Times New Roman" w:cs="Times New Roman"/>
          <w:b/>
          <w:sz w:val="24"/>
          <w:szCs w:val="24"/>
        </w:rPr>
      </w:pPr>
      <w:r>
        <w:rPr>
          <w:rFonts w:ascii="Times New Roman" w:hAnsi="Times New Roman" w:cs="Times New Roman"/>
          <w:b/>
          <w:sz w:val="24"/>
          <w:szCs w:val="24"/>
        </w:rPr>
        <w:t>Introduction</w:t>
      </w:r>
    </w:p>
    <w:p w14:paraId="7FE7B527" w14:textId="77777777" w:rsidR="009E7E81" w:rsidRDefault="007771A5">
      <w:pPr>
        <w:rPr>
          <w:rFonts w:ascii="Times New Roman" w:hAnsi="Times New Roman" w:cs="Times New Roman"/>
          <w:sz w:val="24"/>
          <w:szCs w:val="24"/>
        </w:rPr>
      </w:pPr>
      <w:r>
        <w:rPr>
          <w:rFonts w:ascii="Times New Roman" w:hAnsi="Times New Roman" w:cs="Times New Roman"/>
          <w:sz w:val="24"/>
          <w:szCs w:val="24"/>
        </w:rPr>
        <w:t xml:space="preserve">The Influenza A virus (IAV) genome consists of eight </w:t>
      </w:r>
      <w:r w:rsidR="00350B37">
        <w:rPr>
          <w:rFonts w:ascii="Times New Roman" w:hAnsi="Times New Roman" w:cs="Times New Roman"/>
          <w:sz w:val="24"/>
          <w:szCs w:val="24"/>
        </w:rPr>
        <w:t xml:space="preserve">single-stranded </w:t>
      </w:r>
      <w:r>
        <w:rPr>
          <w:rFonts w:ascii="Times New Roman" w:hAnsi="Times New Roman" w:cs="Times New Roman"/>
          <w:sz w:val="24"/>
          <w:szCs w:val="24"/>
        </w:rPr>
        <w:t>negative-sense RNA chromosomes.</w:t>
      </w:r>
      <w:r w:rsidR="00CF4516">
        <w:rPr>
          <w:rFonts w:ascii="Times New Roman" w:hAnsi="Times New Roman" w:cs="Times New Roman"/>
          <w:sz w:val="24"/>
          <w:szCs w:val="24"/>
        </w:rPr>
        <w:fldChar w:fldCharType="begin"/>
      </w:r>
      <w:r w:rsidR="00CF4516">
        <w:rPr>
          <w:rFonts w:ascii="Times New Roman" w:hAnsi="Times New Roman" w:cs="Times New Roman"/>
          <w:sz w:val="24"/>
          <w:szCs w:val="24"/>
        </w:rPr>
        <w:instrText xml:space="preserve"> ADDIN ZOTERO_ITEM CSL_CITATION {"citationID":"YRDMJB3q","properties":{"formattedCitation":"(Moreira et al., 2016)","plainCitation":"(Moreira et al., 2016)","noteIndex":0},"citationItems":[{"id":15,"uris":["http://zotero.org/users/local/os6Q03EF/items/YIRPJIZG"],"uri":["http://zotero.org/users/local/os6Q03EF/items/YIRPJIZG"],"itemData":{"id":15,"type":"article-journal","abstract":"Packaging of the eight genomic RNA segments of influenza A viruses (IAV) into viral particles is coordinated by segment-specific packaging sequences. How the packaging signals regulate the specific incorporation of each RNA segment into virions and whether other viral or host factors are involved in this process is unknown. Here, we show that distinct amino acids of the viral nucleoprotein (NP) are required for packaging of specific RNA segments. This was determined by studying the NP of a bat influenza A-like virus, HL17NL10, in the context of a conventional IAV (SC35M). Replacement of conserved SC35M NP residues by those of HL17NL10 NP resulted in RNA packaging defective IAV. Surprisingly, substitution of these conserved SC35M amino acids with HL17NL10 NP residues led to IAV with altered packaging efficiencies for specific subsets of RNA segments. This suggests that NP harbours an amino acid code that dictates genome packaging into infectious virions.","container-title":"Nature Communications","DOI":"10.1038/ncomms12861","ISSN":"2041-1723","issue":"1","journalAbbreviation":"Nat Commun","language":"en","note":"Bandiera_abtest: a\nCc_license_type: cc_by\nCg_type: Nature Research Journals\nnumber: 1\nPrimary_atype: Research\npublisher: Nature Publishing Group\nSubject_term: Influenza virus\nSubject_term_id: influenza-virus","page":"12861","source":"www.nature.com","title":"A conserved influenza A virus nucleoprotein code controls specific viral genome packaging","volume":"7","author":[{"family":"Moreira","given":"Étori Aguiar"},{"family":"Weber","given":"Anna"},{"family":"Bolte","given":"Hardin"},{"family":"Kolesnikova","given":"Larissa"},{"family":"Giese","given":"Sebastian"},{"family":"Lakdawala","given":"Seema"},{"family":"Beer","given":"Martin"},{"family":"Zimmer","given":"Gert"},{"family":"García-Sastre","given":"Adolfo"},{"family":"Schwemmle","given":"Martin"},{"family":"Juozapaitis","given":"Mindaugas"}],"issued":{"date-parts":[["2016",9,21]]}}}],"schema":"https://github.com/citation-style-language/schema/raw/master/csl-citation.json"} </w:instrText>
      </w:r>
      <w:r w:rsidR="00CF4516">
        <w:rPr>
          <w:rFonts w:ascii="Times New Roman" w:hAnsi="Times New Roman" w:cs="Times New Roman"/>
          <w:sz w:val="24"/>
          <w:szCs w:val="24"/>
        </w:rPr>
        <w:fldChar w:fldCharType="separate"/>
      </w:r>
      <w:r w:rsidR="0094564E" w:rsidRPr="0094564E">
        <w:rPr>
          <w:rFonts w:ascii="Times New Roman" w:hAnsi="Times New Roman" w:cs="Times New Roman"/>
          <w:sz w:val="24"/>
        </w:rPr>
        <w:t>(Moreira et al., 2016)</w:t>
      </w:r>
      <w:r w:rsidR="00CF4516">
        <w:rPr>
          <w:rFonts w:ascii="Times New Roman" w:hAnsi="Times New Roman" w:cs="Times New Roman"/>
          <w:sz w:val="24"/>
          <w:szCs w:val="24"/>
        </w:rPr>
        <w:fldChar w:fldCharType="end"/>
      </w:r>
      <w:r>
        <w:rPr>
          <w:rFonts w:ascii="Times New Roman" w:hAnsi="Times New Roman" w:cs="Times New Roman"/>
          <w:sz w:val="24"/>
          <w:szCs w:val="24"/>
        </w:rPr>
        <w:t xml:space="preserve"> The segments are enveloped in copies of the nucleo</w:t>
      </w:r>
      <w:r w:rsidR="00350B37">
        <w:rPr>
          <w:rFonts w:ascii="Times New Roman" w:hAnsi="Times New Roman" w:cs="Times New Roman"/>
          <w:sz w:val="24"/>
          <w:szCs w:val="24"/>
        </w:rPr>
        <w:t xml:space="preserve">capsid </w:t>
      </w:r>
      <w:r>
        <w:rPr>
          <w:rFonts w:ascii="Times New Roman" w:hAnsi="Times New Roman" w:cs="Times New Roman"/>
          <w:sz w:val="24"/>
          <w:szCs w:val="24"/>
        </w:rPr>
        <w:t>protein (NP) which is encoded in the fifth viral segment.</w:t>
      </w:r>
      <w:r w:rsidR="00E03D91">
        <w:rPr>
          <w:rFonts w:ascii="Times New Roman" w:hAnsi="Times New Roman" w:cs="Times New Roman"/>
          <w:sz w:val="24"/>
          <w:szCs w:val="24"/>
        </w:rPr>
        <w:t xml:space="preserve"> IAV was first isolated in </w:t>
      </w:r>
      <w:r w:rsidR="00241E12">
        <w:rPr>
          <w:rFonts w:ascii="Times New Roman" w:hAnsi="Times New Roman" w:cs="Times New Roman"/>
          <w:sz w:val="24"/>
          <w:szCs w:val="24"/>
        </w:rPr>
        <w:t xml:space="preserve">the laboratory in </w:t>
      </w:r>
      <w:r w:rsidR="00E03D91">
        <w:rPr>
          <w:rFonts w:ascii="Times New Roman" w:hAnsi="Times New Roman" w:cs="Times New Roman"/>
          <w:sz w:val="24"/>
          <w:szCs w:val="24"/>
        </w:rPr>
        <w:t>1932</w:t>
      </w:r>
      <w:r w:rsidR="00241E12">
        <w:rPr>
          <w:rFonts w:ascii="Times New Roman" w:hAnsi="Times New Roman" w:cs="Times New Roman"/>
          <w:sz w:val="24"/>
          <w:szCs w:val="24"/>
        </w:rPr>
        <w:t>.</w:t>
      </w:r>
      <w:r w:rsidR="00CF4516">
        <w:rPr>
          <w:rFonts w:ascii="Times New Roman" w:hAnsi="Times New Roman" w:cs="Times New Roman"/>
          <w:sz w:val="24"/>
          <w:szCs w:val="24"/>
        </w:rPr>
        <w:fldChar w:fldCharType="begin"/>
      </w:r>
      <w:r w:rsidR="00CF4516">
        <w:rPr>
          <w:rFonts w:ascii="Times New Roman" w:hAnsi="Times New Roman" w:cs="Times New Roman"/>
          <w:sz w:val="24"/>
          <w:szCs w:val="24"/>
        </w:rPr>
        <w:instrText xml:space="preserve"> ADDIN ZOTERO_ITEM CSL_CITATION {"citationID":"UDHNxSNg","properties":{"formattedCitation":"(Potter, 2001)","plainCitation":"(Potter, 2001)","noteIndex":0},"citationItems":[{"id":18,"uris":["http://zotero.org/users/local/os6Q03EF/items/JLY88TLQ"],"uri":["http://zotero.org/users/local/os6Q03EF/items/JLY88TLQ"],"itemData":{"id":18,"type":"article-journal","container-title":"Journal of Applied Microbiology","DOI":"10.1046/j.1365-2672.2001.01492.x","ISSN":"1365-2672","issue":"4","language":"en","note":"_eprint: https://onlinelibrary.wiley.com/doi/pdf/10.1046/j.1365-2672.2001.01492.x","page":"572-579","source":"Wiley Online Library","title":"A history of influenza","volume":"91","author":[{"family":"Potter","given":"C.w."}],"issued":{"date-parts":[["2001"]]}}}],"schema":"https://github.com/citation-style-language/schema/raw/master/csl-citation.json"} </w:instrText>
      </w:r>
      <w:r w:rsidR="00CF4516">
        <w:rPr>
          <w:rFonts w:ascii="Times New Roman" w:hAnsi="Times New Roman" w:cs="Times New Roman"/>
          <w:sz w:val="24"/>
          <w:szCs w:val="24"/>
        </w:rPr>
        <w:fldChar w:fldCharType="separate"/>
      </w:r>
      <w:r w:rsidR="0094564E" w:rsidRPr="0094564E">
        <w:rPr>
          <w:rFonts w:ascii="Times New Roman" w:hAnsi="Times New Roman" w:cs="Times New Roman"/>
          <w:sz w:val="24"/>
        </w:rPr>
        <w:t>(Potter, 2001)</w:t>
      </w:r>
      <w:r w:rsidR="00CF4516">
        <w:rPr>
          <w:rFonts w:ascii="Times New Roman" w:hAnsi="Times New Roman" w:cs="Times New Roman"/>
          <w:sz w:val="24"/>
          <w:szCs w:val="24"/>
        </w:rPr>
        <w:fldChar w:fldCharType="end"/>
      </w:r>
      <w:r>
        <w:rPr>
          <w:rFonts w:ascii="Times New Roman" w:hAnsi="Times New Roman" w:cs="Times New Roman"/>
          <w:sz w:val="24"/>
          <w:szCs w:val="24"/>
        </w:rPr>
        <w:t xml:space="preserve"> The IAV genome has 12 genes</w:t>
      </w:r>
      <w:r w:rsidR="00350B37">
        <w:rPr>
          <w:rFonts w:ascii="Times New Roman" w:hAnsi="Times New Roman" w:cs="Times New Roman"/>
          <w:sz w:val="24"/>
          <w:szCs w:val="24"/>
        </w:rPr>
        <w:t xml:space="preserve"> coding for 12 proteins, with the exception of the Californian strain which emerged in 2009. This strain, termed H1N1, produced only 11 functional proteins – its </w:t>
      </w:r>
      <w:r w:rsidR="00E73C95">
        <w:rPr>
          <w:rFonts w:ascii="Times New Roman" w:hAnsi="Times New Roman" w:cs="Times New Roman"/>
          <w:sz w:val="24"/>
          <w:szCs w:val="24"/>
        </w:rPr>
        <w:t>PB1-F2 protein, derived from a +1 alternative reading frame</w:t>
      </w:r>
      <w:r w:rsidR="00350B37">
        <w:rPr>
          <w:rFonts w:ascii="Times New Roman" w:hAnsi="Times New Roman" w:cs="Times New Roman"/>
          <w:sz w:val="24"/>
          <w:szCs w:val="24"/>
        </w:rPr>
        <w:t xml:space="preserve"> of the PB1</w:t>
      </w:r>
      <w:r w:rsidR="00E73C95">
        <w:rPr>
          <w:rFonts w:ascii="Times New Roman" w:hAnsi="Times New Roman" w:cs="Times New Roman"/>
          <w:sz w:val="24"/>
          <w:szCs w:val="24"/>
        </w:rPr>
        <w:t xml:space="preserve"> polymerase subunit</w:t>
      </w:r>
      <w:r w:rsidR="00350B37">
        <w:rPr>
          <w:rFonts w:ascii="Times New Roman" w:hAnsi="Times New Roman" w:cs="Times New Roman"/>
          <w:sz w:val="24"/>
          <w:szCs w:val="24"/>
        </w:rPr>
        <w:t xml:space="preserve"> gene, was truncated. Nearly half of all IAV variants isolated between 2009 and 2011 had the mutation which produced a non-functional PB1-F2 gene.</w:t>
      </w:r>
      <w:r w:rsidR="00E73C95">
        <w:rPr>
          <w:rFonts w:ascii="Times New Roman" w:hAnsi="Times New Roman" w:cs="Times New Roman"/>
          <w:sz w:val="24"/>
          <w:szCs w:val="24"/>
        </w:rPr>
        <w:t xml:space="preserve"> The prevalence of the mutated gen</w:t>
      </w:r>
      <w:r w:rsidR="0029592C">
        <w:rPr>
          <w:rFonts w:ascii="Times New Roman" w:hAnsi="Times New Roman" w:cs="Times New Roman"/>
          <w:sz w:val="24"/>
          <w:szCs w:val="24"/>
        </w:rPr>
        <w:t>e peaked in 2011, when it reached</w:t>
      </w:r>
      <w:r w:rsidR="00E73C95">
        <w:rPr>
          <w:rFonts w:ascii="Times New Roman" w:hAnsi="Times New Roman" w:cs="Times New Roman"/>
          <w:sz w:val="24"/>
          <w:szCs w:val="24"/>
        </w:rPr>
        <w:t xml:space="preserve"> 55%.</w:t>
      </w:r>
      <w:r w:rsidR="00CF4516">
        <w:rPr>
          <w:rFonts w:ascii="Times New Roman" w:hAnsi="Times New Roman" w:cs="Times New Roman"/>
          <w:sz w:val="24"/>
          <w:szCs w:val="24"/>
        </w:rPr>
        <w:fldChar w:fldCharType="begin"/>
      </w:r>
      <w:r w:rsidR="00CF4516">
        <w:rPr>
          <w:rFonts w:ascii="Times New Roman" w:hAnsi="Times New Roman" w:cs="Times New Roman"/>
          <w:sz w:val="24"/>
          <w:szCs w:val="24"/>
        </w:rPr>
        <w:instrText xml:space="preserve"> ADDIN ZOTERO_ITEM CSL_CITATION {"citationID":"hTt1LOKm","properties":{"formattedCitation":"(McAuley et al., 2017)","plainCitation":"(McAuley et al., 2017)","noteIndex":0},"citationItems":[{"id":10,"uris":["http://zotero.org/users/local/os6Q03EF/items/FRRHUNXR"],"uri":["http://zotero.org/users/local/os6Q03EF/items/FRRHUNXR"],"itemData":{"id":10,"type":"article-journal","abstract":"Influenza A virus (IAV) PB1-F2 protein has been linked to viral virulence. Strains of the H3N2 subtype historically express full-length PB1-F2 proteins but during the 2010–2011 influenza seasons, nearly half of the circulating H3N2 IAVs encoded truncated PB1-F2 protein. Using a panel of reverse engineered H3N2 IAVs differing only in the origin of the PB1 gene segment, we found that only the virus encoding the avian-derived 1968 PB1 gene matching the human pandemic strain enhanced cellular infiltrate into the alveolar spaces of infected mice. We linked this phenomenon to expression of full-length PB1-F2 protein encompassing critical “inflammatory” residues.","container-title":"Virology Journal","DOI":"10.1186/s12985-017-0827-0","ISSN":"1743-422X","issue":"1","journalAbbreviation":"Virology Journal","page":"162","source":"BioMed Central","title":"Rapid evolution of the PB1-F2 virulence protein expressed by human seasonal H3N2 influenza viruses reduces inflammatory responses to infection","volume":"14","author":[{"family":"McAuley","given":"Julie"},{"family":"Deng","given":"Yi-Mo"},{"family":"Gilbertson","given":"Brad"},{"family":"Mackenzie-Kludas","given":"Charley"},{"family":"Barr","given":"Ian"},{"family":"Brown","given":"Lorena"}],"issued":{"date-parts":[["2017"]],"season":"Kolovoz"}}}],"schema":"https://github.com/citation-style-language/schema/raw/master/csl-citation.json"} </w:instrText>
      </w:r>
      <w:r w:rsidR="00CF4516">
        <w:rPr>
          <w:rFonts w:ascii="Times New Roman" w:hAnsi="Times New Roman" w:cs="Times New Roman"/>
          <w:sz w:val="24"/>
          <w:szCs w:val="24"/>
        </w:rPr>
        <w:fldChar w:fldCharType="separate"/>
      </w:r>
      <w:r w:rsidR="0094564E" w:rsidRPr="0094564E">
        <w:rPr>
          <w:rFonts w:ascii="Times New Roman" w:hAnsi="Times New Roman" w:cs="Times New Roman"/>
          <w:sz w:val="24"/>
        </w:rPr>
        <w:t>(McAuley et al., 2017)</w:t>
      </w:r>
      <w:r w:rsidR="00CF4516">
        <w:rPr>
          <w:rFonts w:ascii="Times New Roman" w:hAnsi="Times New Roman" w:cs="Times New Roman"/>
          <w:sz w:val="24"/>
          <w:szCs w:val="24"/>
        </w:rPr>
        <w:fldChar w:fldCharType="end"/>
      </w:r>
    </w:p>
    <w:p w14:paraId="771D9A57" w14:textId="77777777" w:rsidR="000D371D" w:rsidRDefault="00992E73">
      <w:pPr>
        <w:rPr>
          <w:rFonts w:ascii="Times New Roman" w:hAnsi="Times New Roman" w:cs="Times New Roman"/>
          <w:sz w:val="24"/>
          <w:szCs w:val="24"/>
        </w:rPr>
      </w:pPr>
      <w:r>
        <w:rPr>
          <w:rFonts w:ascii="Times New Roman" w:hAnsi="Times New Roman" w:cs="Times New Roman"/>
          <w:sz w:val="24"/>
          <w:szCs w:val="24"/>
        </w:rPr>
        <w:t>Influenza A viruses are grouped into subtypes based on the two surface proteins expressed by the virus: hemagglutinin (H</w:t>
      </w:r>
      <w:r w:rsidR="006C7193">
        <w:rPr>
          <w:rFonts w:ascii="Times New Roman" w:hAnsi="Times New Roman" w:cs="Times New Roman"/>
          <w:sz w:val="24"/>
          <w:szCs w:val="24"/>
        </w:rPr>
        <w:t>A</w:t>
      </w:r>
      <w:r>
        <w:rPr>
          <w:rFonts w:ascii="Times New Roman" w:hAnsi="Times New Roman" w:cs="Times New Roman"/>
          <w:sz w:val="24"/>
          <w:szCs w:val="24"/>
        </w:rPr>
        <w:t>) and neuraminidase (N</w:t>
      </w:r>
      <w:r w:rsidR="006C7193">
        <w:rPr>
          <w:rFonts w:ascii="Times New Roman" w:hAnsi="Times New Roman" w:cs="Times New Roman"/>
          <w:sz w:val="24"/>
          <w:szCs w:val="24"/>
        </w:rPr>
        <w:t>A</w:t>
      </w:r>
      <w:r>
        <w:rPr>
          <w:rFonts w:ascii="Times New Roman" w:hAnsi="Times New Roman" w:cs="Times New Roman"/>
          <w:sz w:val="24"/>
          <w:szCs w:val="24"/>
        </w:rPr>
        <w:t xml:space="preserve">), encoded in the viral segments 4 and 6, respectively. There are 18 hemagglutinin subtypes and 11 neuraminidase subtypes, </w:t>
      </w:r>
      <w:r w:rsidR="000D371D">
        <w:rPr>
          <w:rFonts w:ascii="Times New Roman" w:hAnsi="Times New Roman" w:cs="Times New Roman"/>
          <w:sz w:val="24"/>
          <w:szCs w:val="24"/>
        </w:rPr>
        <w:t>giving rise to IAV viral segment combinations ranging from H1 to H18 and N1 to N11, indicated in the name of each strain.</w:t>
      </w:r>
      <w:r w:rsidR="00CF4516">
        <w:rPr>
          <w:rFonts w:ascii="Times New Roman" w:hAnsi="Times New Roman" w:cs="Times New Roman"/>
          <w:sz w:val="24"/>
          <w:szCs w:val="24"/>
        </w:rPr>
        <w:fldChar w:fldCharType="begin"/>
      </w:r>
      <w:r w:rsidR="00CF4516">
        <w:rPr>
          <w:rFonts w:ascii="Times New Roman" w:hAnsi="Times New Roman" w:cs="Times New Roman"/>
          <w:sz w:val="24"/>
          <w:szCs w:val="24"/>
        </w:rPr>
        <w:instrText xml:space="preserve"> ADDIN ZOTERO_ITEM CSL_CITATION {"citationID":"yedQq9Xr","properties":{"formattedCitation":"(CDC, 2021)","plainCitation":"(CDC, 2021)","noteIndex":0},"citationItems":[{"id":24,"uris":["http://zotero.org/users/local/os6Q03EF/items/UAGHBBFI"],"uri":["http://zotero.org/users/local/os6Q03EF/items/UAGHBBFI"],"itemData":{"id":24,"type":"webpage","abstract":"Learn more about the types of influenza viruses that cause seasonal flu illness in humans each year.","container-title":"Centers for Disease Control and Prevention","language":"en-us","title":"Types of Influenza Viruses","URL":"https://www.cdc.gov/flu/about/viruses/types.htm","author":[{"family":"CDC","given":""}],"accessed":{"date-parts":[["2022",1,9]]},"issued":{"date-parts":[["2021",11,2]]}}}],"schema":"https://github.com/citation-style-language/schema/raw/master/csl-citation.json"} </w:instrText>
      </w:r>
      <w:r w:rsidR="00CF4516">
        <w:rPr>
          <w:rFonts w:ascii="Times New Roman" w:hAnsi="Times New Roman" w:cs="Times New Roman"/>
          <w:sz w:val="24"/>
          <w:szCs w:val="24"/>
        </w:rPr>
        <w:fldChar w:fldCharType="separate"/>
      </w:r>
      <w:r w:rsidR="0094564E" w:rsidRPr="0094564E">
        <w:rPr>
          <w:rFonts w:ascii="Times New Roman" w:hAnsi="Times New Roman" w:cs="Times New Roman"/>
          <w:sz w:val="24"/>
        </w:rPr>
        <w:t>(CDC, 2021)</w:t>
      </w:r>
      <w:r w:rsidR="00CF4516">
        <w:rPr>
          <w:rFonts w:ascii="Times New Roman" w:hAnsi="Times New Roman" w:cs="Times New Roman"/>
          <w:sz w:val="24"/>
          <w:szCs w:val="24"/>
        </w:rPr>
        <w:fldChar w:fldCharType="end"/>
      </w:r>
      <w:r w:rsidR="00241E12">
        <w:rPr>
          <w:rFonts w:ascii="Times New Roman" w:hAnsi="Times New Roman" w:cs="Times New Roman"/>
          <w:sz w:val="24"/>
          <w:szCs w:val="24"/>
        </w:rPr>
        <w:t xml:space="preserve"> The two glycoproteins are subject to rapid mutation because the immune response targets both hemagglutinin and neuraminid</w:t>
      </w:r>
      <w:r w:rsidR="004419AC">
        <w:rPr>
          <w:rFonts w:ascii="Times New Roman" w:hAnsi="Times New Roman" w:cs="Times New Roman"/>
          <w:sz w:val="24"/>
          <w:szCs w:val="24"/>
        </w:rPr>
        <w:t>ase.</w:t>
      </w:r>
      <w:r w:rsidR="00CF4516">
        <w:rPr>
          <w:rFonts w:ascii="Times New Roman" w:hAnsi="Times New Roman" w:cs="Times New Roman"/>
          <w:sz w:val="24"/>
          <w:szCs w:val="24"/>
        </w:rPr>
        <w:fldChar w:fldCharType="begin"/>
      </w:r>
      <w:r w:rsidR="00CF4516">
        <w:rPr>
          <w:rFonts w:ascii="Times New Roman" w:hAnsi="Times New Roman" w:cs="Times New Roman"/>
          <w:sz w:val="24"/>
          <w:szCs w:val="24"/>
        </w:rPr>
        <w:instrText xml:space="preserve"> ADDIN ZOTERO_ITEM CSL_CITATION {"citationID":"tUMDGXyW","properties":{"formattedCitation":"(Potter, 2001)","plainCitation":"(Potter, 2001)","noteIndex":0},"citationItems":[{"id":18,"uris":["http://zotero.org/users/local/os6Q03EF/items/JLY88TLQ"],"uri":["http://zotero.org/users/local/os6Q03EF/items/JLY88TLQ"],"itemData":{"id":18,"type":"article-journal","container-title":"Journal of Applied Microbiology","DOI":"10.1046/j.1365-2672.2001.01492.x","ISSN":"1365-2672","issue":"4","language":"en","note":"_eprint: https://onlinelibrary.wiley.com/doi/pdf/10.1046/j.1365-2672.2001.01492.x","page":"572-579","source":"Wiley Online Library","title":"A history of influenza","volume":"91","author":[{"family":"Potter","given":"C.w."}],"issued":{"date-parts":[["2001"]]}}}],"schema":"https://github.com/citation-style-language/schema/raw/master/csl-citation.json"} </w:instrText>
      </w:r>
      <w:r w:rsidR="00CF4516">
        <w:rPr>
          <w:rFonts w:ascii="Times New Roman" w:hAnsi="Times New Roman" w:cs="Times New Roman"/>
          <w:sz w:val="24"/>
          <w:szCs w:val="24"/>
        </w:rPr>
        <w:fldChar w:fldCharType="separate"/>
      </w:r>
      <w:r w:rsidR="0094564E" w:rsidRPr="0094564E">
        <w:rPr>
          <w:rFonts w:ascii="Times New Roman" w:hAnsi="Times New Roman" w:cs="Times New Roman"/>
          <w:sz w:val="24"/>
        </w:rPr>
        <w:t>(Potter, 2001)</w:t>
      </w:r>
      <w:r w:rsidR="00CF4516">
        <w:rPr>
          <w:rFonts w:ascii="Times New Roman" w:hAnsi="Times New Roman" w:cs="Times New Roman"/>
          <w:sz w:val="24"/>
          <w:szCs w:val="24"/>
        </w:rPr>
        <w:fldChar w:fldCharType="end"/>
      </w:r>
    </w:p>
    <w:p w14:paraId="45B70181" w14:textId="77777777" w:rsidR="009E7E81" w:rsidRPr="009E7E81" w:rsidRDefault="009E7E81">
      <w:pPr>
        <w:rPr>
          <w:rFonts w:ascii="Times New Roman" w:hAnsi="Times New Roman" w:cs="Times New Roman"/>
          <w:sz w:val="24"/>
          <w:szCs w:val="24"/>
        </w:rPr>
      </w:pPr>
    </w:p>
    <w:p w14:paraId="18C17C1F" w14:textId="77777777" w:rsidR="009E7E81" w:rsidRDefault="009E7E81">
      <w:pPr>
        <w:rPr>
          <w:rFonts w:ascii="Times New Roman" w:hAnsi="Times New Roman" w:cs="Times New Roman"/>
          <w:b/>
          <w:sz w:val="24"/>
          <w:szCs w:val="24"/>
        </w:rPr>
      </w:pPr>
      <w:r>
        <w:rPr>
          <w:rFonts w:ascii="Times New Roman" w:hAnsi="Times New Roman" w:cs="Times New Roman"/>
          <w:b/>
          <w:sz w:val="24"/>
          <w:szCs w:val="24"/>
        </w:rPr>
        <w:t>Materials and Methods</w:t>
      </w:r>
    </w:p>
    <w:p w14:paraId="51C364F6" w14:textId="77777777" w:rsidR="009E7E81" w:rsidRDefault="008D1C87">
      <w:pPr>
        <w:rPr>
          <w:rFonts w:ascii="Times New Roman" w:hAnsi="Times New Roman" w:cs="Times New Roman"/>
          <w:sz w:val="24"/>
          <w:szCs w:val="24"/>
        </w:rPr>
      </w:pPr>
      <w:r>
        <w:rPr>
          <w:rFonts w:ascii="Times New Roman" w:hAnsi="Times New Roman" w:cs="Times New Roman"/>
          <w:sz w:val="24"/>
          <w:szCs w:val="24"/>
        </w:rPr>
        <w:t xml:space="preserve">Sequences </w:t>
      </w:r>
      <w:r w:rsidR="006C7193">
        <w:rPr>
          <w:rFonts w:ascii="Times New Roman" w:hAnsi="Times New Roman" w:cs="Times New Roman"/>
          <w:sz w:val="24"/>
          <w:szCs w:val="24"/>
        </w:rPr>
        <w:t>used in</w:t>
      </w:r>
      <w:r>
        <w:rPr>
          <w:rFonts w:ascii="Times New Roman" w:hAnsi="Times New Roman" w:cs="Times New Roman"/>
          <w:sz w:val="24"/>
          <w:szCs w:val="24"/>
        </w:rPr>
        <w:t xml:space="preserve"> this paper have been retrieved from the National Centre for Biotechnology Information database. Out of the available genomes, four representative strains have been selected: </w:t>
      </w:r>
      <w:r w:rsidR="00E03D91">
        <w:rPr>
          <w:rFonts w:ascii="Times New Roman" w:hAnsi="Times New Roman" w:cs="Times New Roman"/>
          <w:sz w:val="24"/>
          <w:szCs w:val="24"/>
        </w:rPr>
        <w:t>A/Korea/426/1968(H2N2), A/New York/392/2004(H3N2), A/California/07/2009(H1N1), and A/Shanghai/02/2013(H7N9).</w:t>
      </w:r>
      <w:r w:rsidR="0094564E">
        <w:rPr>
          <w:rFonts w:ascii="Times New Roman" w:hAnsi="Times New Roman" w:cs="Times New Roman"/>
          <w:sz w:val="24"/>
          <w:szCs w:val="24"/>
        </w:rPr>
        <w:fldChar w:fldCharType="begin"/>
      </w:r>
      <w:r w:rsidR="0094564E">
        <w:rPr>
          <w:rFonts w:ascii="Times New Roman" w:hAnsi="Times New Roman" w:cs="Times New Roman"/>
          <w:sz w:val="24"/>
          <w:szCs w:val="24"/>
        </w:rPr>
        <w:instrText xml:space="preserve"> ADDIN ZOTERO_ITEM CSL_CITATION {"citationID":"eppgzgrL","properties":{"formattedCitation":"({\\i{}Influenza A Virus (ID 10290) - Genome - NCBI}, n.d.)","plainCitation":"(Influenza A Virus (ID 10290) - Genome - NCBI, n.d.)","noteIndex":0},"citationItems":[{"id":26,"uris":["http://zotero.org/users/local/os6Q03EF/items/SZ6YHKP7"],"uri":["http://zotero.org/users/local/os6Q03EF/items/SZ6YHKP7"],"itemData":{"id":26,"type":"webpage","title":"Influenza A virus (ID 10290) - Genome - NCBI","URL":"https://www.ncbi.nlm.nih.gov/genome/10290","accessed":{"date-parts":[["2022",1,10]]}}}],"schema":"https://github.com/citation-style-language/schema/raw/master/csl-citation.json"} </w:instrText>
      </w:r>
      <w:r w:rsidR="0094564E">
        <w:rPr>
          <w:rFonts w:ascii="Times New Roman" w:hAnsi="Times New Roman" w:cs="Times New Roman"/>
          <w:sz w:val="24"/>
          <w:szCs w:val="24"/>
        </w:rPr>
        <w:fldChar w:fldCharType="separate"/>
      </w:r>
      <w:r w:rsidR="0094564E" w:rsidRPr="0094564E">
        <w:rPr>
          <w:rFonts w:ascii="Times New Roman" w:hAnsi="Times New Roman" w:cs="Times New Roman"/>
          <w:sz w:val="24"/>
          <w:szCs w:val="24"/>
        </w:rPr>
        <w:t>(</w:t>
      </w:r>
      <w:r w:rsidR="0094564E" w:rsidRPr="0094564E">
        <w:rPr>
          <w:rFonts w:ascii="Times New Roman" w:hAnsi="Times New Roman" w:cs="Times New Roman"/>
          <w:i/>
          <w:iCs/>
          <w:sz w:val="24"/>
          <w:szCs w:val="24"/>
        </w:rPr>
        <w:t>Influenza A Virus (ID 10290) - Genome - NCBI</w:t>
      </w:r>
      <w:r w:rsidR="0094564E" w:rsidRPr="0094564E">
        <w:rPr>
          <w:rFonts w:ascii="Times New Roman" w:hAnsi="Times New Roman" w:cs="Times New Roman"/>
          <w:sz w:val="24"/>
          <w:szCs w:val="24"/>
        </w:rPr>
        <w:t>, n.d.)</w:t>
      </w:r>
      <w:r w:rsidR="0094564E">
        <w:rPr>
          <w:rFonts w:ascii="Times New Roman" w:hAnsi="Times New Roman" w:cs="Times New Roman"/>
          <w:sz w:val="24"/>
          <w:szCs w:val="24"/>
        </w:rPr>
        <w:fldChar w:fldCharType="end"/>
      </w:r>
      <w:r w:rsidR="00E03D91">
        <w:rPr>
          <w:rFonts w:ascii="Times New Roman" w:hAnsi="Times New Roman" w:cs="Times New Roman"/>
          <w:sz w:val="24"/>
          <w:szCs w:val="24"/>
        </w:rPr>
        <w:t xml:space="preserve"> In the paper, the strains will be referred to by their isolation year.</w:t>
      </w:r>
    </w:p>
    <w:p w14:paraId="500517F2" w14:textId="77777777" w:rsidR="00241E12" w:rsidRDefault="00241E12">
      <w:pPr>
        <w:rPr>
          <w:rFonts w:ascii="Times New Roman" w:hAnsi="Times New Roman" w:cs="Times New Roman"/>
          <w:sz w:val="24"/>
          <w:szCs w:val="24"/>
        </w:rPr>
      </w:pPr>
    </w:p>
    <w:p w14:paraId="6E746BF0" w14:textId="77777777" w:rsidR="00E03D91" w:rsidRDefault="00241E12">
      <w:pPr>
        <w:rPr>
          <w:rFonts w:ascii="Times New Roman" w:hAnsi="Times New Roman" w:cs="Times New Roman"/>
          <w:sz w:val="24"/>
          <w:szCs w:val="24"/>
        </w:rPr>
      </w:pPr>
      <w:r>
        <w:rPr>
          <w:rFonts w:ascii="Times New Roman" w:hAnsi="Times New Roman" w:cs="Times New Roman"/>
          <w:sz w:val="24"/>
          <w:szCs w:val="24"/>
        </w:rPr>
        <w:t>Multiple Sequence Alignment</w:t>
      </w:r>
    </w:p>
    <w:p w14:paraId="035DCBE7" w14:textId="77777777" w:rsidR="00241E12" w:rsidRDefault="00844FCF">
      <w:pPr>
        <w:rPr>
          <w:rFonts w:ascii="Times New Roman" w:hAnsi="Times New Roman" w:cs="Times New Roman"/>
          <w:sz w:val="24"/>
          <w:szCs w:val="24"/>
        </w:rPr>
      </w:pPr>
      <w:r>
        <w:rPr>
          <w:rFonts w:ascii="Times New Roman" w:hAnsi="Times New Roman" w:cs="Times New Roman"/>
          <w:sz w:val="24"/>
          <w:szCs w:val="24"/>
        </w:rPr>
        <w:t xml:space="preserve">The sequences were </w:t>
      </w:r>
      <w:r w:rsidR="004419AC">
        <w:rPr>
          <w:rFonts w:ascii="Times New Roman" w:hAnsi="Times New Roman" w:cs="Times New Roman"/>
          <w:sz w:val="24"/>
          <w:szCs w:val="24"/>
        </w:rPr>
        <w:t xml:space="preserve">aligned </w:t>
      </w:r>
      <w:r w:rsidR="006C7193">
        <w:rPr>
          <w:rFonts w:ascii="Times New Roman" w:hAnsi="Times New Roman" w:cs="Times New Roman"/>
          <w:sz w:val="24"/>
          <w:szCs w:val="24"/>
        </w:rPr>
        <w:t>using the Clustal Omega program. All the genomes were aligned against the 1968 strain in chronological order. This is reflected in the results presented below, with the 1968 strain bearing 100% similarity and 0 mutations – it is included in the charts</w:t>
      </w:r>
      <w:r w:rsidR="00240A33">
        <w:rPr>
          <w:rFonts w:ascii="Times New Roman" w:hAnsi="Times New Roman" w:cs="Times New Roman"/>
          <w:sz w:val="24"/>
          <w:szCs w:val="24"/>
        </w:rPr>
        <w:t xml:space="preserve"> as a reference point but the data has no significance when taken out of context.</w:t>
      </w:r>
    </w:p>
    <w:p w14:paraId="40641E2E" w14:textId="77777777" w:rsidR="00240A33" w:rsidRDefault="00240A33">
      <w:pPr>
        <w:rPr>
          <w:rFonts w:ascii="Times New Roman" w:hAnsi="Times New Roman" w:cs="Times New Roman"/>
          <w:sz w:val="24"/>
          <w:szCs w:val="24"/>
        </w:rPr>
      </w:pPr>
    </w:p>
    <w:p w14:paraId="5BE6AC91" w14:textId="77777777" w:rsidR="00240A33" w:rsidRDefault="00240A33">
      <w:pPr>
        <w:rPr>
          <w:rFonts w:ascii="Times New Roman" w:hAnsi="Times New Roman" w:cs="Times New Roman"/>
          <w:sz w:val="24"/>
          <w:szCs w:val="24"/>
        </w:rPr>
      </w:pPr>
      <w:r>
        <w:rPr>
          <w:rFonts w:ascii="Times New Roman" w:hAnsi="Times New Roman" w:cs="Times New Roman"/>
          <w:sz w:val="24"/>
          <w:szCs w:val="24"/>
        </w:rPr>
        <w:t>Sequence Analysis</w:t>
      </w:r>
    </w:p>
    <w:p w14:paraId="3B77190F" w14:textId="77777777" w:rsidR="00240A33" w:rsidRDefault="00240A33">
      <w:pPr>
        <w:rPr>
          <w:rFonts w:ascii="Times New Roman" w:hAnsi="Times New Roman" w:cs="Times New Roman"/>
          <w:sz w:val="24"/>
          <w:szCs w:val="24"/>
        </w:rPr>
      </w:pPr>
      <w:r>
        <w:rPr>
          <w:rFonts w:ascii="Times New Roman" w:hAnsi="Times New Roman" w:cs="Times New Roman"/>
          <w:sz w:val="24"/>
          <w:szCs w:val="24"/>
        </w:rPr>
        <w:t xml:space="preserve">The data generated by our program was analysed </w:t>
      </w:r>
      <w:r w:rsidR="00362278">
        <w:rPr>
          <w:rFonts w:ascii="Times New Roman" w:hAnsi="Times New Roman" w:cs="Times New Roman"/>
          <w:sz w:val="24"/>
          <w:szCs w:val="24"/>
        </w:rPr>
        <w:t xml:space="preserve">and visually represented in </w:t>
      </w:r>
      <w:r w:rsidR="001D3664">
        <w:rPr>
          <w:rFonts w:ascii="Times New Roman" w:hAnsi="Times New Roman" w:cs="Times New Roman"/>
          <w:sz w:val="24"/>
          <w:szCs w:val="24"/>
        </w:rPr>
        <w:t xml:space="preserve">MS </w:t>
      </w:r>
      <w:r w:rsidR="00362278">
        <w:rPr>
          <w:rFonts w:ascii="Times New Roman" w:hAnsi="Times New Roman" w:cs="Times New Roman"/>
          <w:sz w:val="24"/>
          <w:szCs w:val="24"/>
        </w:rPr>
        <w:t xml:space="preserve">Excel. </w:t>
      </w:r>
      <w:r w:rsidR="005C1C34">
        <w:rPr>
          <w:rFonts w:ascii="Times New Roman" w:hAnsi="Times New Roman" w:cs="Times New Roman"/>
          <w:sz w:val="24"/>
          <w:szCs w:val="24"/>
        </w:rPr>
        <w:t>Special attention was paid on comparing the mutations in the coding and non-coding sequences</w:t>
      </w:r>
      <w:r w:rsidR="0029592C">
        <w:rPr>
          <w:rFonts w:ascii="Times New Roman" w:hAnsi="Times New Roman" w:cs="Times New Roman"/>
          <w:sz w:val="24"/>
          <w:szCs w:val="24"/>
        </w:rPr>
        <w:t>, as well as contrasting t</w:t>
      </w:r>
      <w:r w:rsidR="00600FB1">
        <w:rPr>
          <w:rFonts w:ascii="Times New Roman" w:hAnsi="Times New Roman" w:cs="Times New Roman"/>
          <w:sz w:val="24"/>
          <w:szCs w:val="24"/>
        </w:rPr>
        <w:t>he amount of indels and gaps that occur between the two.</w:t>
      </w:r>
    </w:p>
    <w:p w14:paraId="63091AE1" w14:textId="77777777" w:rsidR="000D371D" w:rsidRDefault="004E20B2">
      <w:pPr>
        <w:rPr>
          <w:rFonts w:ascii="Times New Roman" w:hAnsi="Times New Roman" w:cs="Times New Roman"/>
          <w:sz w:val="24"/>
          <w:szCs w:val="24"/>
        </w:rPr>
      </w:pPr>
      <w:r>
        <w:rPr>
          <w:rFonts w:ascii="Times New Roman" w:hAnsi="Times New Roman" w:cs="Times New Roman"/>
          <w:sz w:val="24"/>
          <w:szCs w:val="24"/>
        </w:rPr>
        <w:t>Protein Sequence Analysis</w:t>
      </w:r>
    </w:p>
    <w:p w14:paraId="6F59200C" w14:textId="77777777" w:rsidR="004E20B2" w:rsidRDefault="004E20B2">
      <w:pPr>
        <w:rPr>
          <w:rFonts w:ascii="Times New Roman" w:hAnsi="Times New Roman" w:cs="Times New Roman"/>
          <w:sz w:val="24"/>
          <w:szCs w:val="24"/>
        </w:rPr>
      </w:pPr>
      <w:r>
        <w:rPr>
          <w:rFonts w:ascii="Times New Roman" w:hAnsi="Times New Roman" w:cs="Times New Roman"/>
          <w:sz w:val="24"/>
          <w:szCs w:val="24"/>
        </w:rPr>
        <w:t xml:space="preserve">The non-functional PB1-F2 sequence from 2009 was translated and aligned with the three functional protein sequences expressed by the other three strains. Other protein sequences </w:t>
      </w:r>
      <w:r w:rsidR="00362CC6">
        <w:rPr>
          <w:rFonts w:ascii="Times New Roman" w:hAnsi="Times New Roman" w:cs="Times New Roman"/>
          <w:sz w:val="24"/>
          <w:szCs w:val="24"/>
        </w:rPr>
        <w:t>resulted in consistent products with identical functions.</w:t>
      </w:r>
    </w:p>
    <w:p w14:paraId="492F654B" w14:textId="77777777" w:rsidR="004E20B2" w:rsidRPr="000D371D" w:rsidRDefault="004E20B2">
      <w:pPr>
        <w:rPr>
          <w:rFonts w:ascii="Times New Roman" w:hAnsi="Times New Roman" w:cs="Times New Roman"/>
          <w:sz w:val="24"/>
          <w:szCs w:val="24"/>
        </w:rPr>
      </w:pPr>
    </w:p>
    <w:p w14:paraId="3A4DCEAE" w14:textId="77777777" w:rsidR="009E7E81" w:rsidRDefault="009E7E81">
      <w:pPr>
        <w:rPr>
          <w:rFonts w:ascii="Times New Roman" w:hAnsi="Times New Roman" w:cs="Times New Roman"/>
          <w:b/>
          <w:sz w:val="24"/>
          <w:szCs w:val="24"/>
        </w:rPr>
      </w:pPr>
      <w:r>
        <w:rPr>
          <w:rFonts w:ascii="Times New Roman" w:hAnsi="Times New Roman" w:cs="Times New Roman"/>
          <w:b/>
          <w:sz w:val="24"/>
          <w:szCs w:val="24"/>
        </w:rPr>
        <w:t>Results</w:t>
      </w:r>
    </w:p>
    <w:p w14:paraId="55FEBA48" w14:textId="77777777" w:rsidR="004E20B2" w:rsidRDefault="00362CC6">
      <w:pPr>
        <w:rPr>
          <w:rFonts w:ascii="Times New Roman" w:hAnsi="Times New Roman" w:cs="Times New Roman"/>
          <w:sz w:val="24"/>
          <w:szCs w:val="24"/>
        </w:rPr>
      </w:pPr>
      <w:r>
        <w:rPr>
          <w:rFonts w:ascii="Times New Roman" w:hAnsi="Times New Roman" w:cs="Times New Roman"/>
          <w:sz w:val="24"/>
          <w:szCs w:val="24"/>
        </w:rPr>
        <w:t>Overall similarity between sequences decreased over time</w:t>
      </w:r>
      <w:r w:rsidR="009E2FB2">
        <w:rPr>
          <w:rFonts w:ascii="Times New Roman" w:hAnsi="Times New Roman" w:cs="Times New Roman"/>
          <w:sz w:val="24"/>
          <w:szCs w:val="24"/>
        </w:rPr>
        <w:t xml:space="preserve">, amounting to </w:t>
      </w:r>
      <w:r w:rsidR="009E2FB2" w:rsidRPr="009E2FB2">
        <w:rPr>
          <w:rFonts w:ascii="Times New Roman" w:hAnsi="Times New Roman" w:cs="Times New Roman"/>
          <w:sz w:val="24"/>
          <w:szCs w:val="24"/>
        </w:rPr>
        <w:t>75</w:t>
      </w:r>
      <w:r w:rsidR="009E2FB2">
        <w:rPr>
          <w:rFonts w:ascii="Times New Roman" w:hAnsi="Times New Roman" w:cs="Times New Roman"/>
          <w:sz w:val="24"/>
          <w:szCs w:val="24"/>
        </w:rPr>
        <w:t>.</w:t>
      </w:r>
      <w:r w:rsidR="009E2FB2" w:rsidRPr="009E2FB2">
        <w:rPr>
          <w:rFonts w:ascii="Times New Roman" w:hAnsi="Times New Roman" w:cs="Times New Roman"/>
          <w:sz w:val="24"/>
          <w:szCs w:val="24"/>
        </w:rPr>
        <w:t>34</w:t>
      </w:r>
      <w:r w:rsidR="009E2FB2">
        <w:rPr>
          <w:rFonts w:ascii="Times New Roman" w:hAnsi="Times New Roman" w:cs="Times New Roman"/>
          <w:sz w:val="24"/>
          <w:szCs w:val="24"/>
        </w:rPr>
        <w:t>% in 2013. However, coding sequences were relatively well-preserved, with an average similarity of 86.03%. Figure 1 compares the similarities between the four strains.</w:t>
      </w:r>
    </w:p>
    <w:p w14:paraId="283D4A87" w14:textId="77777777" w:rsidR="009E2FB2" w:rsidRDefault="009E2FB2">
      <w:pPr>
        <w:rPr>
          <w:rFonts w:ascii="Times New Roman" w:hAnsi="Times New Roman" w:cs="Times New Roman"/>
          <w:sz w:val="24"/>
          <w:szCs w:val="24"/>
        </w:rPr>
      </w:pPr>
    </w:p>
    <w:p w14:paraId="5260E5DF" w14:textId="77777777" w:rsidR="009E2FB2" w:rsidRDefault="009E2FB2">
      <w:pPr>
        <w:rPr>
          <w:rFonts w:ascii="Times New Roman" w:hAnsi="Times New Roman" w:cs="Times New Roman"/>
          <w:sz w:val="24"/>
          <w:szCs w:val="24"/>
        </w:rPr>
      </w:pPr>
      <w:r>
        <w:rPr>
          <w:noProof/>
          <w:lang w:val="hr-HR" w:eastAsia="hr-HR"/>
        </w:rPr>
        <w:drawing>
          <wp:inline distT="0" distB="0" distL="0" distR="0" wp14:anchorId="0471EB07" wp14:editId="2152258A">
            <wp:extent cx="5760720" cy="2934335"/>
            <wp:effectExtent l="0" t="0" r="1143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5F8B21" w14:textId="77777777" w:rsidR="009E2FB2" w:rsidRDefault="009E2FB2">
      <w:pPr>
        <w:rPr>
          <w:rFonts w:ascii="Times New Roman" w:hAnsi="Times New Roman" w:cs="Times New Roman"/>
          <w:sz w:val="24"/>
          <w:szCs w:val="24"/>
        </w:rPr>
      </w:pPr>
    </w:p>
    <w:p w14:paraId="6E695923" w14:textId="77777777" w:rsidR="00A3762D" w:rsidRDefault="00A3762D">
      <w:pPr>
        <w:rPr>
          <w:rFonts w:ascii="Times New Roman" w:hAnsi="Times New Roman" w:cs="Times New Roman"/>
          <w:sz w:val="24"/>
          <w:szCs w:val="24"/>
        </w:rPr>
      </w:pPr>
      <w:r>
        <w:rPr>
          <w:rFonts w:ascii="Times New Roman" w:hAnsi="Times New Roman" w:cs="Times New Roman"/>
          <w:sz w:val="24"/>
          <w:szCs w:val="24"/>
        </w:rPr>
        <w:t xml:space="preserve">To get a clearer representation of the coding-versus-non-coding sequence conservation, Figure 2 contrasts the two while taking into account the number of nucleotides that underwent mutation. The IAV genomes from 2009 and 2013 are notably close in terms of their </w:t>
      </w:r>
      <w:r w:rsidR="00BC04C9">
        <w:rPr>
          <w:rFonts w:ascii="Times New Roman" w:hAnsi="Times New Roman" w:cs="Times New Roman"/>
          <w:sz w:val="24"/>
          <w:szCs w:val="24"/>
        </w:rPr>
        <w:t>non-coding sequence similarity, while their coding sequences differ more prominently.</w:t>
      </w:r>
    </w:p>
    <w:p w14:paraId="5A8D7FFC" w14:textId="77777777" w:rsidR="00A3762D" w:rsidRDefault="00A3762D">
      <w:pPr>
        <w:rPr>
          <w:rFonts w:ascii="Times New Roman" w:hAnsi="Times New Roman" w:cs="Times New Roman"/>
          <w:sz w:val="24"/>
          <w:szCs w:val="24"/>
        </w:rPr>
      </w:pPr>
    </w:p>
    <w:p w14:paraId="0173D286" w14:textId="77777777" w:rsidR="00A3762D" w:rsidRDefault="00A3762D">
      <w:pPr>
        <w:rPr>
          <w:rFonts w:ascii="Times New Roman" w:hAnsi="Times New Roman" w:cs="Times New Roman"/>
          <w:sz w:val="24"/>
          <w:szCs w:val="24"/>
        </w:rPr>
      </w:pPr>
      <w:r>
        <w:rPr>
          <w:noProof/>
          <w:lang w:val="hr-HR" w:eastAsia="hr-HR"/>
        </w:rPr>
        <w:lastRenderedPageBreak/>
        <w:drawing>
          <wp:inline distT="0" distB="0" distL="0" distR="0" wp14:anchorId="6776E93C" wp14:editId="57DE9549">
            <wp:extent cx="5760720" cy="3241675"/>
            <wp:effectExtent l="0" t="0" r="1143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00857" w14:textId="77777777" w:rsidR="00A3762D" w:rsidRDefault="00A3762D">
      <w:pPr>
        <w:rPr>
          <w:rFonts w:ascii="Times New Roman" w:hAnsi="Times New Roman" w:cs="Times New Roman"/>
          <w:sz w:val="24"/>
          <w:szCs w:val="24"/>
        </w:rPr>
      </w:pPr>
    </w:p>
    <w:p w14:paraId="262CCB26" w14:textId="77777777" w:rsidR="00AD3A57" w:rsidRDefault="00AD3A57">
      <w:pPr>
        <w:rPr>
          <w:rFonts w:ascii="Times New Roman" w:hAnsi="Times New Roman" w:cs="Times New Roman"/>
          <w:sz w:val="24"/>
          <w:szCs w:val="24"/>
        </w:rPr>
      </w:pPr>
      <w:r>
        <w:rPr>
          <w:rFonts w:ascii="Times New Roman" w:hAnsi="Times New Roman" w:cs="Times New Roman"/>
          <w:sz w:val="24"/>
          <w:szCs w:val="24"/>
        </w:rPr>
        <w:t>In Figure 3, we can see the total number of gaps, insertions, and deletions between the strains. Again, the 2009 and 2013 strains have more in common with each other than with the 1968 sequence. Both have 28 gaps and insertions in the</w:t>
      </w:r>
      <w:r w:rsidR="006C4F82">
        <w:rPr>
          <w:rFonts w:ascii="Times New Roman" w:hAnsi="Times New Roman" w:cs="Times New Roman"/>
          <w:sz w:val="24"/>
          <w:szCs w:val="24"/>
        </w:rPr>
        <w:t>ir</w:t>
      </w:r>
      <w:r>
        <w:rPr>
          <w:rFonts w:ascii="Times New Roman" w:hAnsi="Times New Roman" w:cs="Times New Roman"/>
          <w:sz w:val="24"/>
          <w:szCs w:val="24"/>
        </w:rPr>
        <w:t xml:space="preserve"> coding sequence</w:t>
      </w:r>
      <w:r w:rsidR="006C4F82">
        <w:rPr>
          <w:rFonts w:ascii="Times New Roman" w:hAnsi="Times New Roman" w:cs="Times New Roman"/>
          <w:sz w:val="24"/>
          <w:szCs w:val="24"/>
        </w:rPr>
        <w:t>s</w:t>
      </w:r>
      <w:r>
        <w:rPr>
          <w:rFonts w:ascii="Times New Roman" w:hAnsi="Times New Roman" w:cs="Times New Roman"/>
          <w:sz w:val="24"/>
          <w:szCs w:val="24"/>
        </w:rPr>
        <w:t>, while the 2004 strain has none.</w:t>
      </w:r>
    </w:p>
    <w:p w14:paraId="1F7A3212" w14:textId="77777777" w:rsidR="00AD3A57" w:rsidRDefault="00AD3A57">
      <w:pPr>
        <w:rPr>
          <w:rFonts w:ascii="Times New Roman" w:hAnsi="Times New Roman" w:cs="Times New Roman"/>
          <w:sz w:val="24"/>
          <w:szCs w:val="24"/>
        </w:rPr>
      </w:pPr>
    </w:p>
    <w:p w14:paraId="2DDF9809" w14:textId="77777777" w:rsidR="00AD3A57" w:rsidRDefault="00AD3A57">
      <w:pPr>
        <w:rPr>
          <w:rFonts w:ascii="Times New Roman" w:hAnsi="Times New Roman" w:cs="Times New Roman"/>
          <w:sz w:val="24"/>
          <w:szCs w:val="24"/>
        </w:rPr>
      </w:pPr>
      <w:r>
        <w:rPr>
          <w:noProof/>
          <w:lang w:val="hr-HR" w:eastAsia="hr-HR"/>
        </w:rPr>
        <w:drawing>
          <wp:inline distT="0" distB="0" distL="0" distR="0" wp14:anchorId="11120057" wp14:editId="7AA3D5E1">
            <wp:extent cx="5760720" cy="3084830"/>
            <wp:effectExtent l="0" t="0" r="1143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D84D49" w14:textId="77777777" w:rsidR="00AD3A57" w:rsidRDefault="00AD3A57">
      <w:pPr>
        <w:rPr>
          <w:rFonts w:ascii="Times New Roman" w:hAnsi="Times New Roman" w:cs="Times New Roman"/>
          <w:sz w:val="24"/>
          <w:szCs w:val="24"/>
        </w:rPr>
      </w:pPr>
    </w:p>
    <w:p w14:paraId="0619D652" w14:textId="77777777" w:rsidR="00BC04C9" w:rsidRDefault="00BC04C9">
      <w:pPr>
        <w:rPr>
          <w:rFonts w:ascii="Times New Roman" w:hAnsi="Times New Roman" w:cs="Times New Roman"/>
          <w:sz w:val="24"/>
          <w:szCs w:val="24"/>
        </w:rPr>
      </w:pPr>
      <w:commentRangeStart w:id="2"/>
      <w:r>
        <w:rPr>
          <w:rFonts w:ascii="Times New Roman" w:hAnsi="Times New Roman" w:cs="Times New Roman"/>
          <w:sz w:val="24"/>
          <w:szCs w:val="24"/>
        </w:rPr>
        <w:t>Transversions have more impact on the protein structure and function seeing as they are more likely to alter the amino acid sequence than transitions.</w:t>
      </w:r>
      <w:r w:rsidR="00CF4516">
        <w:rPr>
          <w:rFonts w:ascii="Times New Roman" w:hAnsi="Times New Roman" w:cs="Times New Roman"/>
          <w:sz w:val="24"/>
          <w:szCs w:val="24"/>
        </w:rPr>
        <w:fldChar w:fldCharType="begin"/>
      </w:r>
      <w:r w:rsidR="00CF4516">
        <w:rPr>
          <w:rFonts w:ascii="Times New Roman" w:hAnsi="Times New Roman" w:cs="Times New Roman"/>
          <w:sz w:val="24"/>
          <w:szCs w:val="24"/>
        </w:rPr>
        <w:instrText xml:space="preserve"> ADDIN ZOTERO_ITEM CSL_CITATION {"citationID":"e6eHxoaS","properties":{"formattedCitation":"(Guo et al., 2017)","plainCitation":"(Guo et al., 2017)","noteIndex":0},"citationItems":[{"id":7,"uris":["http://zotero.org/users/local/os6Q03EF/items/Q89A2DA3"],"uri":["http://zotero.org/users/local/os6Q03EF/items/Q89A2DA3"],"itemData":{"id":7,"type":"article-journal","abstract":"Background\nTransversions (Tv’s) are more likely to alter the amino acid sequence of proteins than transitions (Ts’s), and local deviations in the Ts:Tv ratio are indicative of evolutionary selection on genes. Whether the two different types of mutations have different effects in non-protein-coding sequences remains unknown. Genetic variants primarily impact gene expression by disrupting the binding of transcription factors (TFs) and other DNA-binding proteins. Because Tv’s cause larger changes in the shape of a DNA backbone, we hypothesized that Tv’s would have larger impacts on TF binding and gene expression.\n\nResults\nHere, we provide multiple lines of evidence demonstrating that Tv’s have larger impacts on regulatory DNA including analyses of TF binding motifs and allele-specific TF binding. In these analyses, we observed a depletion of Tv’s within TF binding motifs and TF binding sites. Using massively parallel population-scale reporter assays, we also provided empirical evidence that Tv’s have larger effects than Ts’s on the activity of human gene regulatory elements.\n\nConclusions\nTv’s are more likely to disrupt TF binding, resulting in larger changes in gene expression. Although the observed differences are small, these findings represent a novel, fundamental property of regulatory variation. Understanding the features of functional non-coding variation could be valuable for revealing the genetic underpinnings of complex traits and diseases in future studies.\n\nElectronic supplementary material\nThe online version of this article (doi:10.1186/s12864-017-3785-4) contains supplementary material, which is available to authorized users.","container-title":"BMC Genomics","DOI":"10.1186/s12864-017-3785-4","ISSN":"1471-2164","journalAbbreviation":"BMC Genomics","note":"PMID: 28525990\nPMCID: PMC5438547","page":"394","source":"PubMed Central","title":"Transversions have larger regulatory effects than transitions","volume":"18","author":[{"family":"Guo","given":"Cong"},{"family":"McDowell","given":"Ian C."},{"family":"Nodzenski","given":"Michael"},{"family":"Scholtens","given":"Denise M."},{"family":"Allen","given":"Andrew S."},{"family":"Lowe","given":"William L."},{"family":"Reddy","given":"Timothy E."}],"issued":{"date-parts":[["2017",5,19]]}}}],"schema":"https://github.com/citation-style-language/schema/raw/master/csl-citation.json"} </w:instrText>
      </w:r>
      <w:r w:rsidR="00CF4516">
        <w:rPr>
          <w:rFonts w:ascii="Times New Roman" w:hAnsi="Times New Roman" w:cs="Times New Roman"/>
          <w:sz w:val="24"/>
          <w:szCs w:val="24"/>
        </w:rPr>
        <w:fldChar w:fldCharType="separate"/>
      </w:r>
      <w:r w:rsidR="0094564E" w:rsidRPr="0094564E">
        <w:rPr>
          <w:rFonts w:ascii="Times New Roman" w:hAnsi="Times New Roman" w:cs="Times New Roman"/>
          <w:sz w:val="24"/>
        </w:rPr>
        <w:t>(Guo et al., 2017)</w:t>
      </w:r>
      <w:r w:rsidR="00CF4516">
        <w:rPr>
          <w:rFonts w:ascii="Times New Roman" w:hAnsi="Times New Roman" w:cs="Times New Roman"/>
          <w:sz w:val="24"/>
          <w:szCs w:val="24"/>
        </w:rPr>
        <w:fldChar w:fldCharType="end"/>
      </w:r>
      <w:commentRangeEnd w:id="2"/>
      <w:r w:rsidR="00DD1BF9">
        <w:rPr>
          <w:rStyle w:val="CommentReference"/>
        </w:rPr>
        <w:commentReference w:id="2"/>
      </w:r>
      <w:r>
        <w:rPr>
          <w:rFonts w:ascii="Times New Roman" w:hAnsi="Times New Roman" w:cs="Times New Roman"/>
          <w:sz w:val="24"/>
          <w:szCs w:val="24"/>
        </w:rPr>
        <w:t xml:space="preserve"> </w:t>
      </w:r>
      <w:r w:rsidR="00A372C1">
        <w:rPr>
          <w:rFonts w:ascii="Times New Roman" w:hAnsi="Times New Roman" w:cs="Times New Roman"/>
          <w:sz w:val="24"/>
          <w:szCs w:val="24"/>
        </w:rPr>
        <w:t xml:space="preserve">A higher </w:t>
      </w:r>
      <w:proofErr w:type="spellStart"/>
      <w:r w:rsidR="00A372C1">
        <w:rPr>
          <w:rFonts w:ascii="Times New Roman" w:hAnsi="Times New Roman" w:cs="Times New Roman"/>
          <w:sz w:val="24"/>
          <w:szCs w:val="24"/>
        </w:rPr>
        <w:t>Ts:Tv</w:t>
      </w:r>
      <w:proofErr w:type="spellEnd"/>
      <w:r w:rsidR="00A372C1">
        <w:rPr>
          <w:rFonts w:ascii="Times New Roman" w:hAnsi="Times New Roman" w:cs="Times New Roman"/>
          <w:sz w:val="24"/>
          <w:szCs w:val="24"/>
        </w:rPr>
        <w:t xml:space="preserve"> ratio indicates a more closely similar protein product expressed by the sequence, while a lower </w:t>
      </w:r>
      <w:r w:rsidR="00A372C1">
        <w:rPr>
          <w:rFonts w:ascii="Times New Roman" w:hAnsi="Times New Roman" w:cs="Times New Roman"/>
          <w:sz w:val="24"/>
          <w:szCs w:val="24"/>
        </w:rPr>
        <w:lastRenderedPageBreak/>
        <w:t>ratio may point to a more significant change in protein conf</w:t>
      </w:r>
      <w:r w:rsidR="00AD3A57">
        <w:rPr>
          <w:rFonts w:ascii="Times New Roman" w:hAnsi="Times New Roman" w:cs="Times New Roman"/>
          <w:sz w:val="24"/>
          <w:szCs w:val="24"/>
        </w:rPr>
        <w:t>ormation and function. Figure 4</w:t>
      </w:r>
      <w:r w:rsidR="00A372C1">
        <w:rPr>
          <w:rFonts w:ascii="Times New Roman" w:hAnsi="Times New Roman" w:cs="Times New Roman"/>
          <w:sz w:val="24"/>
          <w:szCs w:val="24"/>
        </w:rPr>
        <w:t xml:space="preserve"> depicts the transition-to-transversion ratios of the three subsequent strains compared against the 1968 strain.</w:t>
      </w:r>
    </w:p>
    <w:p w14:paraId="283FB160" w14:textId="77777777" w:rsidR="00A372C1" w:rsidRDefault="00A372C1">
      <w:pPr>
        <w:rPr>
          <w:rFonts w:ascii="Times New Roman" w:hAnsi="Times New Roman" w:cs="Times New Roman"/>
          <w:sz w:val="24"/>
          <w:szCs w:val="24"/>
        </w:rPr>
      </w:pPr>
    </w:p>
    <w:p w14:paraId="2E848273" w14:textId="77777777" w:rsidR="00A372C1" w:rsidRDefault="00A372C1">
      <w:pPr>
        <w:rPr>
          <w:rFonts w:ascii="Times New Roman" w:hAnsi="Times New Roman" w:cs="Times New Roman"/>
          <w:sz w:val="24"/>
          <w:szCs w:val="24"/>
        </w:rPr>
      </w:pPr>
      <w:r>
        <w:rPr>
          <w:noProof/>
          <w:lang w:val="hr-HR" w:eastAsia="hr-HR"/>
        </w:rPr>
        <w:drawing>
          <wp:inline distT="0" distB="0" distL="0" distR="0" wp14:anchorId="7A51157E" wp14:editId="13B26D40">
            <wp:extent cx="5760720" cy="2945130"/>
            <wp:effectExtent l="0" t="0" r="1143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8D2FB3" w14:textId="77777777" w:rsidR="00A372C1" w:rsidRDefault="00A372C1">
      <w:pPr>
        <w:rPr>
          <w:rFonts w:ascii="Times New Roman" w:hAnsi="Times New Roman" w:cs="Times New Roman"/>
          <w:sz w:val="24"/>
          <w:szCs w:val="24"/>
        </w:rPr>
      </w:pPr>
    </w:p>
    <w:p w14:paraId="3F6BA92A" w14:textId="77777777" w:rsidR="00A372C1" w:rsidRDefault="006C4F82">
      <w:pPr>
        <w:rPr>
          <w:rFonts w:ascii="Times New Roman" w:hAnsi="Times New Roman" w:cs="Times New Roman"/>
          <w:sz w:val="24"/>
          <w:szCs w:val="24"/>
        </w:rPr>
      </w:pPr>
      <w:commentRangeStart w:id="3"/>
      <w:r>
        <w:rPr>
          <w:rFonts w:ascii="Times New Roman" w:hAnsi="Times New Roman" w:cs="Times New Roman"/>
          <w:sz w:val="24"/>
          <w:szCs w:val="24"/>
        </w:rPr>
        <w:t>The non-functional amino acid sequence of PB1-F2 in 2009 genome was translated and compared to the functional 90-residue sequences of that protein</w:t>
      </w:r>
      <w:r w:rsidR="00A52BC1">
        <w:rPr>
          <w:rFonts w:ascii="Times New Roman" w:hAnsi="Times New Roman" w:cs="Times New Roman"/>
          <w:sz w:val="24"/>
          <w:szCs w:val="24"/>
        </w:rPr>
        <w:t xml:space="preserve"> [Figure 5]</w:t>
      </w:r>
      <w:r>
        <w:rPr>
          <w:rFonts w:ascii="Times New Roman" w:hAnsi="Times New Roman" w:cs="Times New Roman"/>
          <w:sz w:val="24"/>
          <w:szCs w:val="24"/>
        </w:rPr>
        <w:t xml:space="preserve">. The truncated version produces a protein composed of 11 amino acid residues in the virus due to a </w:t>
      </w:r>
      <w:r w:rsidR="00A52BC1">
        <w:rPr>
          <w:rFonts w:ascii="Times New Roman" w:hAnsi="Times New Roman" w:cs="Times New Roman"/>
          <w:sz w:val="24"/>
          <w:szCs w:val="24"/>
        </w:rPr>
        <w:t>transversion that occurs in the second base of the twelfth codon of the protein sequence. TCA, which codes for Serine, is replaced by TAA, a stop codon.</w:t>
      </w:r>
    </w:p>
    <w:p w14:paraId="20458082" w14:textId="77777777" w:rsidR="00A52BC1" w:rsidRDefault="00A52BC1">
      <w:pPr>
        <w:rPr>
          <w:rFonts w:ascii="Times New Roman" w:hAnsi="Times New Roman" w:cs="Times New Roman"/>
          <w:sz w:val="24"/>
          <w:szCs w:val="24"/>
        </w:rPr>
      </w:pPr>
    </w:p>
    <w:p w14:paraId="255FC34F" w14:textId="77777777" w:rsidR="00A52BC1" w:rsidRDefault="00A52BC1">
      <w:pPr>
        <w:rPr>
          <w:rFonts w:ascii="Times New Roman" w:hAnsi="Times New Roman" w:cs="Times New Roman"/>
          <w:sz w:val="24"/>
          <w:szCs w:val="24"/>
        </w:rPr>
      </w:pPr>
      <w:r w:rsidRPr="00B22ED7">
        <w:rPr>
          <w:noProof/>
          <w:lang w:val="hr-HR" w:eastAsia="hr-HR"/>
        </w:rPr>
        <w:drawing>
          <wp:inline distT="0" distB="0" distL="0" distR="0" wp14:anchorId="3F15E812" wp14:editId="4674E0BE">
            <wp:extent cx="5760720" cy="1825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25625"/>
                    </a:xfrm>
                    <a:prstGeom prst="rect">
                      <a:avLst/>
                    </a:prstGeom>
                  </pic:spPr>
                </pic:pic>
              </a:graphicData>
            </a:graphic>
          </wp:inline>
        </w:drawing>
      </w:r>
    </w:p>
    <w:p w14:paraId="65D47D7F" w14:textId="77777777" w:rsidR="00A372C1" w:rsidRPr="00A52BC1" w:rsidRDefault="00A52BC1">
      <w:pPr>
        <w:rPr>
          <w:rFonts w:ascii="Times New Roman" w:hAnsi="Times New Roman" w:cs="Times New Roman"/>
          <w:sz w:val="24"/>
          <w:szCs w:val="24"/>
        </w:rPr>
      </w:pPr>
      <w:r w:rsidRPr="00A52BC1">
        <w:rPr>
          <w:rFonts w:ascii="Times New Roman" w:hAnsi="Times New Roman" w:cs="Times New Roman"/>
          <w:sz w:val="24"/>
          <w:szCs w:val="24"/>
        </w:rPr>
        <w:t>Figure 5</w:t>
      </w:r>
      <w:commentRangeEnd w:id="3"/>
      <w:r w:rsidR="00DD1BF9">
        <w:rPr>
          <w:rStyle w:val="CommentReference"/>
        </w:rPr>
        <w:commentReference w:id="3"/>
      </w:r>
    </w:p>
    <w:p w14:paraId="23DF5C23" w14:textId="77777777" w:rsidR="00A52BC1" w:rsidRDefault="00A52BC1">
      <w:pPr>
        <w:rPr>
          <w:rFonts w:ascii="Times New Roman" w:hAnsi="Times New Roman" w:cs="Times New Roman"/>
          <w:sz w:val="24"/>
          <w:szCs w:val="24"/>
        </w:rPr>
      </w:pPr>
    </w:p>
    <w:p w14:paraId="4ADE6CE0" w14:textId="77777777" w:rsidR="00A52BC1" w:rsidRPr="004E20B2" w:rsidRDefault="00A52BC1">
      <w:pPr>
        <w:rPr>
          <w:rFonts w:ascii="Times New Roman" w:hAnsi="Times New Roman" w:cs="Times New Roman"/>
          <w:sz w:val="24"/>
          <w:szCs w:val="24"/>
        </w:rPr>
      </w:pPr>
    </w:p>
    <w:p w14:paraId="5203B620" w14:textId="77777777" w:rsidR="009E7E81" w:rsidRDefault="009E7E81">
      <w:pPr>
        <w:rPr>
          <w:rFonts w:ascii="Times New Roman" w:hAnsi="Times New Roman" w:cs="Times New Roman"/>
          <w:b/>
          <w:sz w:val="24"/>
          <w:szCs w:val="24"/>
        </w:rPr>
      </w:pPr>
    </w:p>
    <w:p w14:paraId="736EC0EA" w14:textId="77777777" w:rsidR="009E7E81" w:rsidRDefault="009E7E81">
      <w:pPr>
        <w:rPr>
          <w:rFonts w:ascii="Times New Roman" w:hAnsi="Times New Roman" w:cs="Times New Roman"/>
          <w:b/>
          <w:sz w:val="24"/>
          <w:szCs w:val="24"/>
        </w:rPr>
      </w:pPr>
      <w:commentRangeStart w:id="4"/>
      <w:r>
        <w:rPr>
          <w:rFonts w:ascii="Times New Roman" w:hAnsi="Times New Roman" w:cs="Times New Roman"/>
          <w:b/>
          <w:sz w:val="24"/>
          <w:szCs w:val="24"/>
        </w:rPr>
        <w:lastRenderedPageBreak/>
        <w:t>Discussion</w:t>
      </w:r>
      <w:commentRangeEnd w:id="4"/>
      <w:r w:rsidR="00DD1BF9">
        <w:rPr>
          <w:rStyle w:val="CommentReference"/>
        </w:rPr>
        <w:commentReference w:id="4"/>
      </w:r>
    </w:p>
    <w:p w14:paraId="7AEBC24C" w14:textId="77777777" w:rsidR="00A52BC1" w:rsidRPr="00A52BC1" w:rsidRDefault="00E333C4">
      <w:pPr>
        <w:rPr>
          <w:rFonts w:ascii="Times New Roman" w:hAnsi="Times New Roman" w:cs="Times New Roman"/>
          <w:sz w:val="24"/>
          <w:szCs w:val="24"/>
        </w:rPr>
      </w:pPr>
      <w:r>
        <w:rPr>
          <w:rFonts w:ascii="Times New Roman" w:hAnsi="Times New Roman" w:cs="Times New Roman"/>
          <w:sz w:val="24"/>
          <w:szCs w:val="24"/>
        </w:rPr>
        <w:t xml:space="preserve">Similarity of the studied sequences is difficult to attribute to either temporal or geographical influences. Geographically and temporally close strains (from 2004 and 2009) displayed a significant distinction, most notably for the dramatic increase in the mutation number. It could be argued that the Influenza A virus had experienced the greatest change in sequence prior to the 2009 outbreak, simply due to the resulting truncation of PB1-F2. Given that the protein was once again functional in the 2013 outbreak, </w:t>
      </w:r>
      <w:r w:rsidR="00D5089B">
        <w:rPr>
          <w:rFonts w:ascii="Times New Roman" w:hAnsi="Times New Roman" w:cs="Times New Roman"/>
          <w:sz w:val="24"/>
          <w:szCs w:val="24"/>
        </w:rPr>
        <w:t>the mutation must not have been beneficial for the virus.</w:t>
      </w:r>
    </w:p>
    <w:p w14:paraId="4189D006" w14:textId="77777777" w:rsidR="009E7E81" w:rsidRDefault="009E7E81">
      <w:pPr>
        <w:rPr>
          <w:rFonts w:ascii="Times New Roman" w:hAnsi="Times New Roman" w:cs="Times New Roman"/>
          <w:b/>
          <w:sz w:val="24"/>
          <w:szCs w:val="24"/>
        </w:rPr>
      </w:pPr>
    </w:p>
    <w:p w14:paraId="5EFE5E1B" w14:textId="77777777" w:rsidR="009E7E81" w:rsidRDefault="009E7E81">
      <w:pPr>
        <w:rPr>
          <w:rFonts w:ascii="Times New Roman" w:hAnsi="Times New Roman" w:cs="Times New Roman"/>
          <w:b/>
          <w:sz w:val="24"/>
          <w:szCs w:val="24"/>
        </w:rPr>
      </w:pPr>
      <w:r>
        <w:rPr>
          <w:rFonts w:ascii="Times New Roman" w:hAnsi="Times New Roman" w:cs="Times New Roman"/>
          <w:b/>
          <w:sz w:val="24"/>
          <w:szCs w:val="24"/>
        </w:rPr>
        <w:t>Conclusion</w:t>
      </w:r>
    </w:p>
    <w:p w14:paraId="5F6D092C" w14:textId="77777777" w:rsidR="00B56096" w:rsidRPr="00D5089B" w:rsidRDefault="00D5089B">
      <w:pPr>
        <w:rPr>
          <w:rFonts w:ascii="Times New Roman" w:hAnsi="Times New Roman" w:cs="Times New Roman"/>
          <w:sz w:val="24"/>
          <w:szCs w:val="24"/>
        </w:rPr>
      </w:pPr>
      <w:r>
        <w:rPr>
          <w:rFonts w:ascii="Times New Roman" w:hAnsi="Times New Roman" w:cs="Times New Roman"/>
          <w:sz w:val="24"/>
          <w:szCs w:val="24"/>
        </w:rPr>
        <w:t xml:space="preserve">Influenza A viral strains have caused large-scale pandemics across the globe and will likely continue to evolve in the future, seeing as there is a strong mutation pressure on the hemagglutinin and neuraminidase glycoproteins. </w:t>
      </w:r>
      <w:r w:rsidR="00B56096">
        <w:rPr>
          <w:rFonts w:ascii="Times New Roman" w:hAnsi="Times New Roman" w:cs="Times New Roman"/>
          <w:sz w:val="24"/>
          <w:szCs w:val="24"/>
        </w:rPr>
        <w:t>Immunity against one HA or NA subtype does not indicate immunity against other subtypes, so any newly emerging subtype of IAV has a potential to result in a pandemic.</w:t>
      </w:r>
    </w:p>
    <w:p w14:paraId="7505D53E" w14:textId="77777777" w:rsidR="009E7E81" w:rsidRDefault="009E7E81">
      <w:pPr>
        <w:rPr>
          <w:rFonts w:ascii="Times New Roman" w:hAnsi="Times New Roman" w:cs="Times New Roman"/>
          <w:b/>
          <w:sz w:val="24"/>
          <w:szCs w:val="24"/>
        </w:rPr>
      </w:pPr>
    </w:p>
    <w:p w14:paraId="7BD299D1" w14:textId="77777777" w:rsidR="009E7E81" w:rsidRDefault="009E7E81">
      <w:pPr>
        <w:rPr>
          <w:rFonts w:ascii="Times New Roman" w:hAnsi="Times New Roman" w:cs="Times New Roman"/>
          <w:b/>
          <w:sz w:val="24"/>
          <w:szCs w:val="24"/>
        </w:rPr>
      </w:pPr>
      <w:r>
        <w:rPr>
          <w:rFonts w:ascii="Times New Roman" w:hAnsi="Times New Roman" w:cs="Times New Roman"/>
          <w:b/>
          <w:sz w:val="24"/>
          <w:szCs w:val="24"/>
        </w:rPr>
        <w:t>References</w:t>
      </w:r>
    </w:p>
    <w:p w14:paraId="5963CF26" w14:textId="77777777" w:rsidR="0094564E" w:rsidRPr="0094564E" w:rsidRDefault="00CF4516" w:rsidP="0094564E">
      <w:pPr>
        <w:pStyle w:val="Bibliography"/>
        <w:rPr>
          <w:rFonts w:ascii="Times New Roman" w:hAnsi="Times New Roman" w:cs="Times New Roman"/>
          <w:sz w:val="24"/>
        </w:rPr>
      </w:pPr>
      <w:r>
        <w:fldChar w:fldCharType="begin"/>
      </w:r>
      <w:r w:rsidR="0094564E">
        <w:instrText xml:space="preserve"> ADDIN ZOTERO_BIBL {"uncited":[],"omitted":[],"custom":[]} CSL_BIBLIOGRAPHY </w:instrText>
      </w:r>
      <w:r>
        <w:fldChar w:fldCharType="separate"/>
      </w:r>
      <w:r w:rsidR="0094564E" w:rsidRPr="0094564E">
        <w:rPr>
          <w:rFonts w:ascii="Times New Roman" w:hAnsi="Times New Roman" w:cs="Times New Roman"/>
          <w:sz w:val="24"/>
        </w:rPr>
        <w:t xml:space="preserve">CDC. (2021, November 2). </w:t>
      </w:r>
      <w:r w:rsidR="0094564E" w:rsidRPr="0094564E">
        <w:rPr>
          <w:rFonts w:ascii="Times New Roman" w:hAnsi="Times New Roman" w:cs="Times New Roman"/>
          <w:i/>
          <w:iCs/>
          <w:sz w:val="24"/>
        </w:rPr>
        <w:t>Types of Influenza Viruses</w:t>
      </w:r>
      <w:r w:rsidR="0094564E" w:rsidRPr="0094564E">
        <w:rPr>
          <w:rFonts w:ascii="Times New Roman" w:hAnsi="Times New Roman" w:cs="Times New Roman"/>
          <w:sz w:val="24"/>
        </w:rPr>
        <w:t>. Centers for Disease Control and Prevention. https://www.cdc.gov/flu/about/viruses/types.htm</w:t>
      </w:r>
    </w:p>
    <w:p w14:paraId="650ED81E" w14:textId="77777777" w:rsidR="0094564E" w:rsidRPr="0094564E" w:rsidRDefault="0094564E" w:rsidP="0094564E">
      <w:pPr>
        <w:pStyle w:val="Bibliography"/>
        <w:rPr>
          <w:rFonts w:ascii="Times New Roman" w:hAnsi="Times New Roman" w:cs="Times New Roman"/>
          <w:sz w:val="24"/>
        </w:rPr>
      </w:pPr>
      <w:r w:rsidRPr="0094564E">
        <w:rPr>
          <w:rFonts w:ascii="Times New Roman" w:hAnsi="Times New Roman" w:cs="Times New Roman"/>
          <w:sz w:val="24"/>
        </w:rPr>
        <w:t xml:space="preserve">Guo, C., McDowell, I. C., Nodzenski, M., Scholtens, D. M., Allen, A. S., Lowe, W. L., &amp; Reddy, T. E. (2017). Transversions have larger regulatory effects than transitions. </w:t>
      </w:r>
      <w:r w:rsidRPr="0094564E">
        <w:rPr>
          <w:rFonts w:ascii="Times New Roman" w:hAnsi="Times New Roman" w:cs="Times New Roman"/>
          <w:i/>
          <w:iCs/>
          <w:sz w:val="24"/>
        </w:rPr>
        <w:t>BMC Genomics</w:t>
      </w:r>
      <w:r w:rsidRPr="0094564E">
        <w:rPr>
          <w:rFonts w:ascii="Times New Roman" w:hAnsi="Times New Roman" w:cs="Times New Roman"/>
          <w:sz w:val="24"/>
        </w:rPr>
        <w:t xml:space="preserve">, </w:t>
      </w:r>
      <w:r w:rsidRPr="0094564E">
        <w:rPr>
          <w:rFonts w:ascii="Times New Roman" w:hAnsi="Times New Roman" w:cs="Times New Roman"/>
          <w:i/>
          <w:iCs/>
          <w:sz w:val="24"/>
        </w:rPr>
        <w:t>18</w:t>
      </w:r>
      <w:r w:rsidRPr="0094564E">
        <w:rPr>
          <w:rFonts w:ascii="Times New Roman" w:hAnsi="Times New Roman" w:cs="Times New Roman"/>
          <w:sz w:val="24"/>
        </w:rPr>
        <w:t>, 394. https://doi.org/10.1186/s12864-017-3785-4</w:t>
      </w:r>
    </w:p>
    <w:p w14:paraId="0585E5A5" w14:textId="77777777" w:rsidR="0094564E" w:rsidRPr="0094564E" w:rsidRDefault="0094564E" w:rsidP="0094564E">
      <w:pPr>
        <w:pStyle w:val="Bibliography"/>
        <w:rPr>
          <w:rFonts w:ascii="Times New Roman" w:hAnsi="Times New Roman" w:cs="Times New Roman"/>
          <w:sz w:val="24"/>
        </w:rPr>
      </w:pPr>
      <w:r w:rsidRPr="0094564E">
        <w:rPr>
          <w:rFonts w:ascii="Times New Roman" w:hAnsi="Times New Roman" w:cs="Times New Roman"/>
          <w:i/>
          <w:iCs/>
          <w:sz w:val="24"/>
        </w:rPr>
        <w:t>Influenza A virus (ID 10290)—Genome—NCBI</w:t>
      </w:r>
      <w:r w:rsidRPr="0094564E">
        <w:rPr>
          <w:rFonts w:ascii="Times New Roman" w:hAnsi="Times New Roman" w:cs="Times New Roman"/>
          <w:sz w:val="24"/>
        </w:rPr>
        <w:t>. (n.d.). Retrieved January 10, 2022, from https://www.ncbi.nlm.nih.gov/genome/10290</w:t>
      </w:r>
    </w:p>
    <w:p w14:paraId="7CC7B03F" w14:textId="77777777" w:rsidR="0094564E" w:rsidRPr="0094564E" w:rsidRDefault="0094564E" w:rsidP="0094564E">
      <w:pPr>
        <w:pStyle w:val="Bibliography"/>
        <w:rPr>
          <w:rFonts w:ascii="Times New Roman" w:hAnsi="Times New Roman" w:cs="Times New Roman"/>
          <w:sz w:val="24"/>
        </w:rPr>
      </w:pPr>
      <w:r w:rsidRPr="0094564E">
        <w:rPr>
          <w:rFonts w:ascii="Times New Roman" w:hAnsi="Times New Roman" w:cs="Times New Roman"/>
          <w:sz w:val="24"/>
        </w:rPr>
        <w:t xml:space="preserve">McAuley, J., Deng, Y.-M., Gilbertson, B., Mackenzie-Kludas, C., Barr, I., &amp; Brown, L. (2017). Rapid evolution of the PB1-F2 virulence protein expressed by human seasonal H3N2 influenza viruses reduces inflammatory responses to infection. </w:t>
      </w:r>
      <w:r w:rsidRPr="0094564E">
        <w:rPr>
          <w:rFonts w:ascii="Times New Roman" w:hAnsi="Times New Roman" w:cs="Times New Roman"/>
          <w:i/>
          <w:iCs/>
          <w:sz w:val="24"/>
        </w:rPr>
        <w:t>Virology Journal</w:t>
      </w:r>
      <w:r w:rsidRPr="0094564E">
        <w:rPr>
          <w:rFonts w:ascii="Times New Roman" w:hAnsi="Times New Roman" w:cs="Times New Roman"/>
          <w:sz w:val="24"/>
        </w:rPr>
        <w:t xml:space="preserve">, </w:t>
      </w:r>
      <w:r w:rsidRPr="0094564E">
        <w:rPr>
          <w:rFonts w:ascii="Times New Roman" w:hAnsi="Times New Roman" w:cs="Times New Roman"/>
          <w:i/>
          <w:iCs/>
          <w:sz w:val="24"/>
        </w:rPr>
        <w:t>14</w:t>
      </w:r>
      <w:r w:rsidRPr="0094564E">
        <w:rPr>
          <w:rFonts w:ascii="Times New Roman" w:hAnsi="Times New Roman" w:cs="Times New Roman"/>
          <w:sz w:val="24"/>
        </w:rPr>
        <w:t>(1), 162. https://doi.org/10.1186/s12985-017-0827-0</w:t>
      </w:r>
    </w:p>
    <w:p w14:paraId="13C161C4" w14:textId="77777777" w:rsidR="0094564E" w:rsidRPr="0094564E" w:rsidRDefault="0094564E" w:rsidP="0094564E">
      <w:pPr>
        <w:pStyle w:val="Bibliography"/>
        <w:rPr>
          <w:rFonts w:ascii="Times New Roman" w:hAnsi="Times New Roman" w:cs="Times New Roman"/>
          <w:sz w:val="24"/>
        </w:rPr>
      </w:pPr>
      <w:r w:rsidRPr="0094564E">
        <w:rPr>
          <w:rFonts w:ascii="Times New Roman" w:hAnsi="Times New Roman" w:cs="Times New Roman"/>
          <w:sz w:val="24"/>
        </w:rPr>
        <w:t xml:space="preserve">Moreira, É. A., Weber, A., Bolte, H., Kolesnikova, L., Giese, S., Lakdawala, S., Beer, M., Zimmer, G., García-Sastre, A., Schwemmle, M., &amp; Juozapaitis, M. (2016). A conserved influenza A virus nucleoprotein code controls specific viral genome </w:t>
      </w:r>
      <w:r w:rsidRPr="0094564E">
        <w:rPr>
          <w:rFonts w:ascii="Times New Roman" w:hAnsi="Times New Roman" w:cs="Times New Roman"/>
          <w:sz w:val="24"/>
        </w:rPr>
        <w:lastRenderedPageBreak/>
        <w:t xml:space="preserve">packaging. </w:t>
      </w:r>
      <w:r w:rsidRPr="0094564E">
        <w:rPr>
          <w:rFonts w:ascii="Times New Roman" w:hAnsi="Times New Roman" w:cs="Times New Roman"/>
          <w:i/>
          <w:iCs/>
          <w:sz w:val="24"/>
        </w:rPr>
        <w:t>Nature Communications</w:t>
      </w:r>
      <w:r w:rsidRPr="0094564E">
        <w:rPr>
          <w:rFonts w:ascii="Times New Roman" w:hAnsi="Times New Roman" w:cs="Times New Roman"/>
          <w:sz w:val="24"/>
        </w:rPr>
        <w:t xml:space="preserve">, </w:t>
      </w:r>
      <w:r w:rsidRPr="0094564E">
        <w:rPr>
          <w:rFonts w:ascii="Times New Roman" w:hAnsi="Times New Roman" w:cs="Times New Roman"/>
          <w:i/>
          <w:iCs/>
          <w:sz w:val="24"/>
        </w:rPr>
        <w:t>7</w:t>
      </w:r>
      <w:r w:rsidRPr="0094564E">
        <w:rPr>
          <w:rFonts w:ascii="Times New Roman" w:hAnsi="Times New Roman" w:cs="Times New Roman"/>
          <w:sz w:val="24"/>
        </w:rPr>
        <w:t>(1), 12861. https://doi.org/10.1038/ncomms12861</w:t>
      </w:r>
    </w:p>
    <w:p w14:paraId="7CD05FDC" w14:textId="77777777" w:rsidR="0094564E" w:rsidRPr="0094564E" w:rsidRDefault="0094564E" w:rsidP="0094564E">
      <w:pPr>
        <w:pStyle w:val="Bibliography"/>
        <w:rPr>
          <w:rFonts w:ascii="Times New Roman" w:hAnsi="Times New Roman" w:cs="Times New Roman"/>
          <w:sz w:val="24"/>
        </w:rPr>
      </w:pPr>
      <w:r w:rsidRPr="0094564E">
        <w:rPr>
          <w:rFonts w:ascii="Times New Roman" w:hAnsi="Times New Roman" w:cs="Times New Roman"/>
          <w:sz w:val="24"/>
        </w:rPr>
        <w:t xml:space="preserve">Potter, C. w. (2001). A history of influenza. </w:t>
      </w:r>
      <w:r w:rsidRPr="0094564E">
        <w:rPr>
          <w:rFonts w:ascii="Times New Roman" w:hAnsi="Times New Roman" w:cs="Times New Roman"/>
          <w:i/>
          <w:iCs/>
          <w:sz w:val="24"/>
        </w:rPr>
        <w:t>Journal of Applied Microbiology</w:t>
      </w:r>
      <w:r w:rsidRPr="0094564E">
        <w:rPr>
          <w:rFonts w:ascii="Times New Roman" w:hAnsi="Times New Roman" w:cs="Times New Roman"/>
          <w:sz w:val="24"/>
        </w:rPr>
        <w:t xml:space="preserve">, </w:t>
      </w:r>
      <w:r w:rsidRPr="0094564E">
        <w:rPr>
          <w:rFonts w:ascii="Times New Roman" w:hAnsi="Times New Roman" w:cs="Times New Roman"/>
          <w:i/>
          <w:iCs/>
          <w:sz w:val="24"/>
        </w:rPr>
        <w:t>91</w:t>
      </w:r>
      <w:r w:rsidRPr="0094564E">
        <w:rPr>
          <w:rFonts w:ascii="Times New Roman" w:hAnsi="Times New Roman" w:cs="Times New Roman"/>
          <w:sz w:val="24"/>
        </w:rPr>
        <w:t>(4), 572–579. https://doi.org/10.1046/j.1365-2672.2001.01492.x</w:t>
      </w:r>
    </w:p>
    <w:p w14:paraId="60FA7BF2" w14:textId="77777777" w:rsidR="009E7E81" w:rsidRPr="001D3664" w:rsidRDefault="00CF4516">
      <w:pPr>
        <w:rPr>
          <w:rFonts w:ascii="Times New Roman" w:hAnsi="Times New Roman" w:cs="Times New Roman"/>
          <w:sz w:val="24"/>
          <w:szCs w:val="24"/>
        </w:rPr>
      </w:pPr>
      <w:r>
        <w:rPr>
          <w:rFonts w:ascii="Times New Roman" w:hAnsi="Times New Roman" w:cs="Times New Roman"/>
          <w:sz w:val="24"/>
          <w:szCs w:val="24"/>
        </w:rPr>
        <w:fldChar w:fldCharType="end"/>
      </w:r>
    </w:p>
    <w:sectPr w:rsidR="009E7E81" w:rsidRPr="001D366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1T11:49:00Z" w:initials="MA">
    <w:p w14:paraId="51CD6711" w14:textId="77777777" w:rsidR="006D7E00" w:rsidRDefault="006D7E00">
      <w:pPr>
        <w:pStyle w:val="CommentText"/>
      </w:pPr>
      <w:r>
        <w:rPr>
          <w:rStyle w:val="CommentReference"/>
        </w:rPr>
        <w:annotationRef/>
      </w:r>
      <w:r>
        <w:t>General comments:</w:t>
      </w:r>
    </w:p>
    <w:p w14:paraId="7CC792B8" w14:textId="0F54A1EB" w:rsidR="006D7E00" w:rsidRDefault="006D7E00">
      <w:pPr>
        <w:pStyle w:val="CommentText"/>
      </w:pPr>
      <w:r>
        <w:t>Overall: beautifully written – probably the most professional/scientific language/terminology used – would love to have you working on the final paper.</w:t>
      </w:r>
    </w:p>
    <w:p w14:paraId="019A6A1E" w14:textId="77777777" w:rsidR="006D7E00" w:rsidRDefault="006D7E00">
      <w:pPr>
        <w:pStyle w:val="CommentText"/>
      </w:pPr>
      <w:r>
        <w:t>I find the design of the figures really nice and understandable (and it is important to have these qualities when you want to “tell a story”).</w:t>
      </w:r>
    </w:p>
    <w:p w14:paraId="15355042" w14:textId="77777777" w:rsidR="006D7E00" w:rsidRDefault="006D7E00">
      <w:pPr>
        <w:pStyle w:val="CommentText"/>
      </w:pPr>
      <w:r>
        <w:t>Two main issues:</w:t>
      </w:r>
    </w:p>
    <w:p w14:paraId="7899A872" w14:textId="77777777" w:rsidR="006D7E00" w:rsidRDefault="006D7E00">
      <w:pPr>
        <w:pStyle w:val="CommentText"/>
      </w:pPr>
      <w:r>
        <w:t xml:space="preserve">Discussion could have been </w:t>
      </w:r>
      <w:r w:rsidR="002D0240">
        <w:t>longer.</w:t>
      </w:r>
    </w:p>
    <w:p w14:paraId="19FCC56A" w14:textId="0F15656F" w:rsidR="002D0240" w:rsidRDefault="002D0240">
      <w:pPr>
        <w:pStyle w:val="CommentText"/>
      </w:pPr>
      <w:r>
        <w:t xml:space="preserve">Mutation frequency hasn’t been calculated and it is a bit of a shame because, from the looks of it, it is much </w:t>
      </w:r>
      <w:proofErr w:type="spellStart"/>
      <w:r>
        <w:t>much</w:t>
      </w:r>
      <w:proofErr w:type="spellEnd"/>
      <w:r>
        <w:t xml:space="preserve"> higher in the non-coding region, which would be interesting to mention…</w:t>
      </w:r>
    </w:p>
  </w:comment>
  <w:comment w:id="1" w:author="Muhamed Adilovic" w:date="2022-01-11T11:43:00Z" w:initials="MA">
    <w:p w14:paraId="0052C2BD" w14:textId="0AD64592" w:rsidR="00AC02AF" w:rsidRDefault="00AC02AF">
      <w:pPr>
        <w:pStyle w:val="CommentText"/>
      </w:pPr>
      <w:r>
        <w:rPr>
          <w:rStyle w:val="CommentReference"/>
        </w:rPr>
        <w:annotationRef/>
      </w:r>
      <w:r>
        <w:t>Since Abstract is the summary of the whole study, ideally, you would include additional sentence or two (after the first sentence in your case) about the methods used in the study…</w:t>
      </w:r>
    </w:p>
  </w:comment>
  <w:comment w:id="2" w:author="Muhamed Adilovic" w:date="2022-01-11T11:46:00Z" w:initials="MA">
    <w:p w14:paraId="634EA4AB" w14:textId="6F688CFD" w:rsidR="00DD1BF9" w:rsidRDefault="00DD1BF9">
      <w:pPr>
        <w:pStyle w:val="CommentText"/>
      </w:pPr>
      <w:r>
        <w:rPr>
          <w:rStyle w:val="CommentReference"/>
        </w:rPr>
        <w:annotationRef/>
      </w:r>
      <w:r>
        <w:t>Good reference…</w:t>
      </w:r>
    </w:p>
  </w:comment>
  <w:comment w:id="3" w:author="Muhamed Adilovic" w:date="2022-01-11T11:47:00Z" w:initials="MA">
    <w:p w14:paraId="18F5AD51" w14:textId="20245D6F" w:rsidR="00DD1BF9" w:rsidRDefault="00DD1BF9">
      <w:pPr>
        <w:pStyle w:val="CommentText"/>
      </w:pPr>
      <w:r>
        <w:rPr>
          <w:rStyle w:val="CommentReference"/>
        </w:rPr>
        <w:annotationRef/>
      </w:r>
      <w:r>
        <w:t>Cool…</w:t>
      </w:r>
    </w:p>
  </w:comment>
  <w:comment w:id="4" w:author="Muhamed Adilovic" w:date="2022-01-11T11:48:00Z" w:initials="MA">
    <w:p w14:paraId="04CC7578" w14:textId="77777777" w:rsidR="00DD1BF9" w:rsidRDefault="00DD1BF9">
      <w:pPr>
        <w:pStyle w:val="CommentText"/>
      </w:pPr>
      <w:r>
        <w:rPr>
          <w:rStyle w:val="CommentReference"/>
        </w:rPr>
        <w:annotationRef/>
      </w:r>
      <w:r>
        <w:t>Discussion could have been longer…</w:t>
      </w:r>
    </w:p>
    <w:p w14:paraId="2E21367B" w14:textId="699EE51C" w:rsidR="00DD1BF9" w:rsidRDefault="00DD1BF9">
      <w:pPr>
        <w:pStyle w:val="CommentText"/>
      </w:pPr>
      <w:r>
        <w:t>(I understand, but I still have to point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CC56A" w15:done="0"/>
  <w15:commentEx w15:paraId="0052C2BD" w15:done="0"/>
  <w15:commentEx w15:paraId="634EA4AB" w15:done="0"/>
  <w15:commentEx w15:paraId="18F5AD51" w15:done="0"/>
  <w15:commentEx w15:paraId="2E213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7ED31" w16cex:dateUtc="2022-01-11T10:49:00Z"/>
  <w16cex:commentExtensible w16cex:durableId="2587EBD3" w16cex:dateUtc="2022-01-11T10:43:00Z"/>
  <w16cex:commentExtensible w16cex:durableId="2587EC8C" w16cex:dateUtc="2022-01-11T10:46:00Z"/>
  <w16cex:commentExtensible w16cex:durableId="2587ECE2" w16cex:dateUtc="2022-01-11T10:47:00Z"/>
  <w16cex:commentExtensible w16cex:durableId="2587ED18" w16cex:dateUtc="2022-01-11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CC56A" w16cid:durableId="2587ED31"/>
  <w16cid:commentId w16cid:paraId="0052C2BD" w16cid:durableId="2587EBD3"/>
  <w16cid:commentId w16cid:paraId="634EA4AB" w16cid:durableId="2587EC8C"/>
  <w16cid:commentId w16cid:paraId="18F5AD51" w16cid:durableId="2587ECE2"/>
  <w16cid:commentId w16cid:paraId="2E21367B" w16cid:durableId="2587ED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E81"/>
    <w:rsid w:val="000D371D"/>
    <w:rsid w:val="001D3664"/>
    <w:rsid w:val="00240A33"/>
    <w:rsid w:val="00241E12"/>
    <w:rsid w:val="0029592C"/>
    <w:rsid w:val="002D0240"/>
    <w:rsid w:val="00350B37"/>
    <w:rsid w:val="00362278"/>
    <w:rsid w:val="00362CC6"/>
    <w:rsid w:val="004419AC"/>
    <w:rsid w:val="004E20B2"/>
    <w:rsid w:val="005C1C34"/>
    <w:rsid w:val="00600FB1"/>
    <w:rsid w:val="00675FDC"/>
    <w:rsid w:val="006C4F82"/>
    <w:rsid w:val="006C7193"/>
    <w:rsid w:val="006D7E00"/>
    <w:rsid w:val="007771A5"/>
    <w:rsid w:val="00844FCF"/>
    <w:rsid w:val="008D1C87"/>
    <w:rsid w:val="0094564E"/>
    <w:rsid w:val="009762D3"/>
    <w:rsid w:val="00992E73"/>
    <w:rsid w:val="009E2FB2"/>
    <w:rsid w:val="009E7E81"/>
    <w:rsid w:val="00A372C1"/>
    <w:rsid w:val="00A3762D"/>
    <w:rsid w:val="00A52BC1"/>
    <w:rsid w:val="00AC02AF"/>
    <w:rsid w:val="00AD3A57"/>
    <w:rsid w:val="00B56096"/>
    <w:rsid w:val="00BC04C9"/>
    <w:rsid w:val="00CF4516"/>
    <w:rsid w:val="00D5089B"/>
    <w:rsid w:val="00DD1BF9"/>
    <w:rsid w:val="00E03D91"/>
    <w:rsid w:val="00E333C4"/>
    <w:rsid w:val="00E73C9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8D2F"/>
  <w15:chartTrackingRefBased/>
  <w15:docId w15:val="{6D12895E-EA56-46A5-BE2A-D5AF43FC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F4516"/>
    <w:pPr>
      <w:spacing w:after="0" w:line="480" w:lineRule="auto"/>
      <w:ind w:left="720" w:hanging="720"/>
    </w:pPr>
  </w:style>
  <w:style w:type="character" w:styleId="CommentReference">
    <w:name w:val="annotation reference"/>
    <w:basedOn w:val="DefaultParagraphFont"/>
    <w:uiPriority w:val="99"/>
    <w:semiHidden/>
    <w:unhideWhenUsed/>
    <w:rsid w:val="00AC02AF"/>
    <w:rPr>
      <w:sz w:val="16"/>
      <w:szCs w:val="16"/>
    </w:rPr>
  </w:style>
  <w:style w:type="paragraph" w:styleId="CommentText">
    <w:name w:val="annotation text"/>
    <w:basedOn w:val="Normal"/>
    <w:link w:val="CommentTextChar"/>
    <w:uiPriority w:val="99"/>
    <w:semiHidden/>
    <w:unhideWhenUsed/>
    <w:rsid w:val="00AC02AF"/>
    <w:pPr>
      <w:spacing w:line="240" w:lineRule="auto"/>
    </w:pPr>
    <w:rPr>
      <w:sz w:val="20"/>
      <w:szCs w:val="20"/>
    </w:rPr>
  </w:style>
  <w:style w:type="character" w:customStyle="1" w:styleId="CommentTextChar">
    <w:name w:val="Comment Text Char"/>
    <w:basedOn w:val="DefaultParagraphFont"/>
    <w:link w:val="CommentText"/>
    <w:uiPriority w:val="99"/>
    <w:semiHidden/>
    <w:rsid w:val="00AC02AF"/>
    <w:rPr>
      <w:sz w:val="20"/>
      <w:szCs w:val="20"/>
      <w:lang w:val="en-GB"/>
    </w:rPr>
  </w:style>
  <w:style w:type="paragraph" w:styleId="CommentSubject">
    <w:name w:val="annotation subject"/>
    <w:basedOn w:val="CommentText"/>
    <w:next w:val="CommentText"/>
    <w:link w:val="CommentSubjectChar"/>
    <w:uiPriority w:val="99"/>
    <w:semiHidden/>
    <w:unhideWhenUsed/>
    <w:rsid w:val="00AC02AF"/>
    <w:rPr>
      <w:b/>
      <w:bCs/>
    </w:rPr>
  </w:style>
  <w:style w:type="character" w:customStyle="1" w:styleId="CommentSubjectChar">
    <w:name w:val="Comment Subject Char"/>
    <w:basedOn w:val="CommentTextChar"/>
    <w:link w:val="CommentSubject"/>
    <w:uiPriority w:val="99"/>
    <w:semiHidden/>
    <w:rsid w:val="00AC02AF"/>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chart" Target="charts/chart3.xm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S-User\OneDrive\Radna%20povr&#353;ina\course%20materials\semester%207\Molecular%20Evolution\project\Elma_summary%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S-User\OneDrive\Radna%20povr&#353;ina\course%20materials\semester%207\Molecular%20Evolution\project\Elma_summary%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S-User\OneDrive\Radna%20povr&#353;ina\course%20materials\semester%207\Molecular%20Evolution\project\Elma_summary%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S-User\OneDrive\Radna%20povr&#353;ina\course%20materials\semester%207\Molecular%20Evolution\project\Elma_summary%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Figure 1: Similarity</a:t>
            </a:r>
          </a:p>
        </c:rich>
      </c:tx>
      <c:layout>
        <c:manualLayout>
          <c:xMode val="edge"/>
          <c:yMode val="edge"/>
          <c:x val="0.45383962421363994"/>
          <c:y val="3.52475092312227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'Elma summary analysis'!$A$9</c:f>
              <c:strCache>
                <c:ptCount val="1"/>
                <c:pt idx="0">
                  <c:v>similarity</c:v>
                </c:pt>
              </c:strCache>
            </c:strRef>
          </c:tx>
          <c:spPr>
            <a:solidFill>
              <a:schemeClr val="accent1">
                <a:shade val="65000"/>
              </a:schemeClr>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analysis'!$A$10:$A$13</c:f>
              <c:numCache>
                <c:formatCode>General</c:formatCode>
                <c:ptCount val="4"/>
                <c:pt idx="0">
                  <c:v>1</c:v>
                </c:pt>
                <c:pt idx="1">
                  <c:v>0.85412570099999996</c:v>
                </c:pt>
                <c:pt idx="2">
                  <c:v>0.757774379</c:v>
                </c:pt>
                <c:pt idx="3">
                  <c:v>0.75340470500000001</c:v>
                </c:pt>
              </c:numCache>
            </c:numRef>
          </c:val>
          <c:extLst>
            <c:ext xmlns:c16="http://schemas.microsoft.com/office/drawing/2014/chart" uri="{C3380CC4-5D6E-409C-BE32-E72D297353CC}">
              <c16:uniqueId val="{00000000-2936-43D5-984D-D883196945B2}"/>
            </c:ext>
          </c:extLst>
        </c:ser>
        <c:ser>
          <c:idx val="1"/>
          <c:order val="1"/>
          <c:tx>
            <c:strRef>
              <c:f>'Elma summary analysis'!$B$9</c:f>
              <c:strCache>
                <c:ptCount val="1"/>
                <c:pt idx="0">
                  <c:v>CDS similarity</c:v>
                </c:pt>
              </c:strCache>
            </c:strRef>
          </c:tx>
          <c:spPr>
            <a:solidFill>
              <a:schemeClr val="accent1"/>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analysis'!$B$10:$B$13</c:f>
              <c:numCache>
                <c:formatCode>General</c:formatCode>
                <c:ptCount val="4"/>
                <c:pt idx="0">
                  <c:v>1</c:v>
                </c:pt>
                <c:pt idx="1">
                  <c:v>0.93021239700000002</c:v>
                </c:pt>
                <c:pt idx="2">
                  <c:v>0.83745123499999996</c:v>
                </c:pt>
                <c:pt idx="3">
                  <c:v>0.81317728700000003</c:v>
                </c:pt>
              </c:numCache>
            </c:numRef>
          </c:val>
          <c:extLst>
            <c:ext xmlns:c16="http://schemas.microsoft.com/office/drawing/2014/chart" uri="{C3380CC4-5D6E-409C-BE32-E72D297353CC}">
              <c16:uniqueId val="{00000001-2936-43D5-984D-D883196945B2}"/>
            </c:ext>
          </c:extLst>
        </c:ser>
        <c:ser>
          <c:idx val="2"/>
          <c:order val="2"/>
          <c:tx>
            <c:strRef>
              <c:f>'Elma summary analysis'!$C$9</c:f>
              <c:strCache>
                <c:ptCount val="1"/>
                <c:pt idx="0">
                  <c:v>nonCDS similarity</c:v>
                </c:pt>
              </c:strCache>
            </c:strRef>
          </c:tx>
          <c:spPr>
            <a:solidFill>
              <a:schemeClr val="accent1">
                <a:tint val="65000"/>
              </a:schemeClr>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analysis'!$C$10:$C$13</c:f>
              <c:numCache>
                <c:formatCode>General</c:formatCode>
                <c:ptCount val="4"/>
                <c:pt idx="0">
                  <c:v>1</c:v>
                </c:pt>
                <c:pt idx="1">
                  <c:v>0.83876050400000002</c:v>
                </c:pt>
                <c:pt idx="2">
                  <c:v>0.74168417399999997</c:v>
                </c:pt>
                <c:pt idx="3">
                  <c:v>0.74133403399999998</c:v>
                </c:pt>
              </c:numCache>
            </c:numRef>
          </c:val>
          <c:extLst>
            <c:ext xmlns:c16="http://schemas.microsoft.com/office/drawing/2014/chart" uri="{C3380CC4-5D6E-409C-BE32-E72D297353CC}">
              <c16:uniqueId val="{00000002-2936-43D5-984D-D883196945B2}"/>
            </c:ext>
          </c:extLst>
        </c:ser>
        <c:dLbls>
          <c:showLegendKey val="0"/>
          <c:showVal val="0"/>
          <c:showCatName val="0"/>
          <c:showSerName val="0"/>
          <c:showPercent val="0"/>
          <c:showBubbleSize val="0"/>
        </c:dLbls>
        <c:gapWidth val="219"/>
        <c:overlap val="-27"/>
        <c:axId val="-1077735680"/>
        <c:axId val="-1077730240"/>
      </c:barChart>
      <c:catAx>
        <c:axId val="-10777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730240"/>
        <c:crosses val="autoZero"/>
        <c:auto val="1"/>
        <c:lblAlgn val="ctr"/>
        <c:lblOffset val="100"/>
        <c:noMultiLvlLbl val="0"/>
      </c:catAx>
      <c:valAx>
        <c:axId val="-107773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735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Figure 2: Mutations</a:t>
            </a:r>
          </a:p>
        </c:rich>
      </c:tx>
      <c:layout>
        <c:manualLayout>
          <c:xMode val="edge"/>
          <c:yMode val="edge"/>
          <c:x val="0.43619877376439053"/>
          <c:y val="2.77779234500682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'Elma summary analysis'!$G$9</c:f>
              <c:strCache>
                <c:ptCount val="1"/>
                <c:pt idx="0">
                  <c:v>CDS mutations</c:v>
                </c:pt>
              </c:strCache>
            </c:strRef>
          </c:tx>
          <c:spPr>
            <a:solidFill>
              <a:schemeClr val="accent1">
                <a:shade val="76000"/>
              </a:schemeClr>
            </a:solidFill>
            <a:ln>
              <a:noFill/>
            </a:ln>
            <a:effectLst/>
          </c:spPr>
          <c:invertIfNegative val="0"/>
          <c:dLbls>
            <c:dLbl>
              <c:idx val="0"/>
              <c:tx>
                <c:rich>
                  <a:bodyPr/>
                  <a:lstStyle/>
                  <a:p>
                    <a:fld id="{99E72357-1390-4661-BB05-4F35E374C02F}"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DF59-4D21-B199-B9B1CF18731D}"/>
                </c:ext>
              </c:extLst>
            </c:dLbl>
            <c:dLbl>
              <c:idx val="1"/>
              <c:layout>
                <c:manualLayout>
                  <c:x val="-2.6666666666667646E-3"/>
                  <c:y val="-0.321775019555813"/>
                </c:manualLayout>
              </c:layout>
              <c:tx>
                <c:rich>
                  <a:bodyPr/>
                  <a:lstStyle/>
                  <a:p>
                    <a:fld id="{2BC02C9F-76F1-4A2D-97CD-7AA73C8AE3FC}"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DF59-4D21-B199-B9B1CF18731D}"/>
                </c:ext>
              </c:extLst>
            </c:dLbl>
            <c:dLbl>
              <c:idx val="2"/>
              <c:layout>
                <c:manualLayout>
                  <c:x val="0"/>
                  <c:y val="-0.51794625788895177"/>
                </c:manualLayout>
              </c:layout>
              <c:tx>
                <c:rich>
                  <a:bodyPr/>
                  <a:lstStyle/>
                  <a:p>
                    <a:fld id="{7AF17B53-5100-4597-8C64-5C4921D9C3B8}"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DF59-4D21-B199-B9B1CF18731D}"/>
                </c:ext>
              </c:extLst>
            </c:dLbl>
            <c:dLbl>
              <c:idx val="3"/>
              <c:layout>
                <c:manualLayout>
                  <c:x val="-9.7776648253593543E-17"/>
                  <c:y val="-0.51637199694021751"/>
                </c:manualLayout>
              </c:layout>
              <c:tx>
                <c:rich>
                  <a:bodyPr/>
                  <a:lstStyle/>
                  <a:p>
                    <a:fld id="{209630EA-A574-4C35-AFFB-766D1C4C81F0}"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DF59-4D21-B199-B9B1CF18731D}"/>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strRef>
              <c:f>'Elma summary analysis'!$A$2:$A$5</c:f>
              <c:strCache>
                <c:ptCount val="4"/>
                <c:pt idx="0">
                  <c:v>Korea 1968</c:v>
                </c:pt>
                <c:pt idx="1">
                  <c:v>New York 2004</c:v>
                </c:pt>
                <c:pt idx="2">
                  <c:v>California 2009</c:v>
                </c:pt>
                <c:pt idx="3">
                  <c:v>Shanghai 2013</c:v>
                </c:pt>
              </c:strCache>
            </c:strRef>
          </c:cat>
          <c:val>
            <c:numRef>
              <c:f>'Elma summary analysis'!$G$10:$G$13</c:f>
              <c:numCache>
                <c:formatCode>General</c:formatCode>
                <c:ptCount val="4"/>
                <c:pt idx="0">
                  <c:v>0</c:v>
                </c:pt>
                <c:pt idx="1">
                  <c:v>161</c:v>
                </c:pt>
                <c:pt idx="2">
                  <c:v>375</c:v>
                </c:pt>
                <c:pt idx="3">
                  <c:v>431</c:v>
                </c:pt>
              </c:numCache>
            </c:numRef>
          </c:val>
          <c:extLst>
            <c:ext xmlns:c15="http://schemas.microsoft.com/office/drawing/2012/chart" uri="{02D57815-91ED-43cb-92C2-25804820EDAC}">
              <c15:datalabelsRange>
                <c15:f>'Elma summary analysis'!$C$2:$C$5</c15:f>
                <c15:dlblRangeCache>
                  <c:ptCount val="4"/>
                  <c:pt idx="0">
                    <c:v>0</c:v>
                  </c:pt>
                  <c:pt idx="1">
                    <c:v>2003</c:v>
                  </c:pt>
                  <c:pt idx="2">
                    <c:v>3326</c:v>
                  </c:pt>
                  <c:pt idx="3">
                    <c:v>3386</c:v>
                  </c:pt>
                </c15:dlblRangeCache>
              </c15:datalabelsRange>
            </c:ext>
            <c:ext xmlns:c16="http://schemas.microsoft.com/office/drawing/2014/chart" uri="{C3380CC4-5D6E-409C-BE32-E72D297353CC}">
              <c16:uniqueId val="{00000004-DF59-4D21-B199-B9B1CF18731D}"/>
            </c:ext>
          </c:extLst>
        </c:ser>
        <c:ser>
          <c:idx val="1"/>
          <c:order val="1"/>
          <c:tx>
            <c:strRef>
              <c:f>'Elma summary analysis'!$H$9</c:f>
              <c:strCache>
                <c:ptCount val="1"/>
                <c:pt idx="0">
                  <c:v>nonCDS mutations</c:v>
                </c:pt>
              </c:strCache>
            </c:strRef>
          </c:tx>
          <c:spPr>
            <a:solidFill>
              <a:schemeClr val="accent1">
                <a:tint val="77000"/>
              </a:schemeClr>
            </a:solidFill>
            <a:ln>
              <a:noFill/>
            </a:ln>
            <a:effectLst/>
          </c:spPr>
          <c:invertIfNegative val="0"/>
          <c:dLbls>
            <c:delete val="1"/>
          </c:dLbls>
          <c:cat>
            <c:strRef>
              <c:f>'Elma summary analysis'!$A$2:$A$5</c:f>
              <c:strCache>
                <c:ptCount val="4"/>
                <c:pt idx="0">
                  <c:v>Korea 1968</c:v>
                </c:pt>
                <c:pt idx="1">
                  <c:v>New York 2004</c:v>
                </c:pt>
                <c:pt idx="2">
                  <c:v>California 2009</c:v>
                </c:pt>
                <c:pt idx="3">
                  <c:v>Shanghai 2013</c:v>
                </c:pt>
              </c:strCache>
            </c:strRef>
          </c:cat>
          <c:val>
            <c:numRef>
              <c:f>'Elma summary analysis'!$H$10:$H$13</c:f>
              <c:numCache>
                <c:formatCode>General</c:formatCode>
                <c:ptCount val="4"/>
                <c:pt idx="0">
                  <c:v>0</c:v>
                </c:pt>
                <c:pt idx="1">
                  <c:v>1842</c:v>
                </c:pt>
                <c:pt idx="2">
                  <c:v>2951</c:v>
                </c:pt>
                <c:pt idx="3">
                  <c:v>2955</c:v>
                </c:pt>
              </c:numCache>
            </c:numRef>
          </c:val>
          <c:extLst>
            <c:ext xmlns:c16="http://schemas.microsoft.com/office/drawing/2014/chart" uri="{C3380CC4-5D6E-409C-BE32-E72D297353CC}">
              <c16:uniqueId val="{00000005-DF59-4D21-B199-B9B1CF18731D}"/>
            </c:ext>
          </c:extLst>
        </c:ser>
        <c:dLbls>
          <c:showLegendKey val="0"/>
          <c:showVal val="1"/>
          <c:showCatName val="0"/>
          <c:showSerName val="0"/>
          <c:showPercent val="0"/>
          <c:showBubbleSize val="0"/>
        </c:dLbls>
        <c:gapWidth val="150"/>
        <c:overlap val="100"/>
        <c:axId val="-1077740032"/>
        <c:axId val="-1077738944"/>
      </c:barChart>
      <c:catAx>
        <c:axId val="-107774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738944"/>
        <c:crosses val="autoZero"/>
        <c:auto val="1"/>
        <c:lblAlgn val="ctr"/>
        <c:lblOffset val="100"/>
        <c:noMultiLvlLbl val="0"/>
      </c:catAx>
      <c:valAx>
        <c:axId val="-107773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740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Figure 3: Gaps and Indels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'Elma summary analysis'!$E$1</c:f>
              <c:strCache>
                <c:ptCount val="1"/>
                <c:pt idx="0">
                  <c:v>Gaps</c:v>
                </c:pt>
              </c:strCache>
            </c:strRef>
          </c:tx>
          <c:spPr>
            <a:solidFill>
              <a:schemeClr val="accent1">
                <a:shade val="65000"/>
              </a:schemeClr>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analysis'!$E$2:$E$5</c:f>
              <c:numCache>
                <c:formatCode>General</c:formatCode>
                <c:ptCount val="4"/>
                <c:pt idx="0">
                  <c:v>0</c:v>
                </c:pt>
                <c:pt idx="1">
                  <c:v>237</c:v>
                </c:pt>
                <c:pt idx="2">
                  <c:v>466</c:v>
                </c:pt>
                <c:pt idx="3">
                  <c:v>367</c:v>
                </c:pt>
              </c:numCache>
            </c:numRef>
          </c:val>
          <c:extLst>
            <c:ext xmlns:c16="http://schemas.microsoft.com/office/drawing/2014/chart" uri="{C3380CC4-5D6E-409C-BE32-E72D297353CC}">
              <c16:uniqueId val="{00000000-961B-47BC-B695-9A32F48DC655}"/>
            </c:ext>
          </c:extLst>
        </c:ser>
        <c:ser>
          <c:idx val="1"/>
          <c:order val="1"/>
          <c:tx>
            <c:strRef>
              <c:f>'Elma summary analysis'!$F$1</c:f>
              <c:strCache>
                <c:ptCount val="1"/>
                <c:pt idx="0">
                  <c:v>Insertions</c:v>
                </c:pt>
              </c:strCache>
            </c:strRef>
          </c:tx>
          <c:spPr>
            <a:solidFill>
              <a:schemeClr val="accent1"/>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analysis'!$F$2:$F$5</c:f>
              <c:numCache>
                <c:formatCode>General</c:formatCode>
                <c:ptCount val="4"/>
                <c:pt idx="0">
                  <c:v>0</c:v>
                </c:pt>
                <c:pt idx="1">
                  <c:v>35</c:v>
                </c:pt>
                <c:pt idx="2">
                  <c:v>384</c:v>
                </c:pt>
                <c:pt idx="3">
                  <c:v>318</c:v>
                </c:pt>
              </c:numCache>
            </c:numRef>
          </c:val>
          <c:extLst>
            <c:ext xmlns:c16="http://schemas.microsoft.com/office/drawing/2014/chart" uri="{C3380CC4-5D6E-409C-BE32-E72D297353CC}">
              <c16:uniqueId val="{00000001-961B-47BC-B695-9A32F48DC655}"/>
            </c:ext>
          </c:extLst>
        </c:ser>
        <c:ser>
          <c:idx val="2"/>
          <c:order val="2"/>
          <c:tx>
            <c:strRef>
              <c:f>'Elma summary analysis'!$G$1</c:f>
              <c:strCache>
                <c:ptCount val="1"/>
                <c:pt idx="0">
                  <c:v>Deletions</c:v>
                </c:pt>
              </c:strCache>
            </c:strRef>
          </c:tx>
          <c:spPr>
            <a:solidFill>
              <a:schemeClr val="accent1">
                <a:tint val="65000"/>
              </a:schemeClr>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analysis'!$G$2:$G$5</c:f>
              <c:numCache>
                <c:formatCode>General</c:formatCode>
                <c:ptCount val="4"/>
                <c:pt idx="0">
                  <c:v>0</c:v>
                </c:pt>
                <c:pt idx="1">
                  <c:v>202</c:v>
                </c:pt>
                <c:pt idx="2">
                  <c:v>82</c:v>
                </c:pt>
                <c:pt idx="3">
                  <c:v>49</c:v>
                </c:pt>
              </c:numCache>
            </c:numRef>
          </c:val>
          <c:extLst>
            <c:ext xmlns:c16="http://schemas.microsoft.com/office/drawing/2014/chart" uri="{C3380CC4-5D6E-409C-BE32-E72D297353CC}">
              <c16:uniqueId val="{00000002-961B-47BC-B695-9A32F48DC655}"/>
            </c:ext>
          </c:extLst>
        </c:ser>
        <c:dLbls>
          <c:showLegendKey val="0"/>
          <c:showVal val="0"/>
          <c:showCatName val="0"/>
          <c:showSerName val="0"/>
          <c:showPercent val="0"/>
          <c:showBubbleSize val="0"/>
        </c:dLbls>
        <c:gapWidth val="219"/>
        <c:overlap val="-27"/>
        <c:axId val="-1077734592"/>
        <c:axId val="-1077733504"/>
      </c:barChart>
      <c:catAx>
        <c:axId val="-107773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733504"/>
        <c:crosses val="autoZero"/>
        <c:auto val="1"/>
        <c:lblAlgn val="ctr"/>
        <c:lblOffset val="100"/>
        <c:noMultiLvlLbl val="0"/>
      </c:catAx>
      <c:valAx>
        <c:axId val="-107773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7345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Figure 4: Transition-transversion</a:t>
            </a:r>
            <a:r>
              <a:rPr lang="hr-HR" baseline="0"/>
              <a:t> ratio</a:t>
            </a:r>
            <a:endParaRPr lang="hr-HR"/>
          </a:p>
        </c:rich>
      </c:tx>
      <c:layout>
        <c:manualLayout>
          <c:xMode val="edge"/>
          <c:yMode val="edge"/>
          <c:x val="0.31944531239150659"/>
          <c:y val="3.61240420626593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'Elma summary analysis'!$K$9</c:f>
              <c:strCache>
                <c:ptCount val="1"/>
                <c:pt idx="0">
                  <c:v>TT ratio</c:v>
                </c:pt>
              </c:strCache>
            </c:strRef>
          </c:tx>
          <c:spPr>
            <a:solidFill>
              <a:schemeClr val="accent1">
                <a:shade val="65000"/>
              </a:schemeClr>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analysis'!$K$10:$K$13</c:f>
              <c:numCache>
                <c:formatCode>General</c:formatCode>
                <c:ptCount val="4"/>
                <c:pt idx="0">
                  <c:v>0</c:v>
                </c:pt>
                <c:pt idx="1">
                  <c:v>1.5337159250000001</c:v>
                </c:pt>
                <c:pt idx="2">
                  <c:v>1.4196277500000001</c:v>
                </c:pt>
                <c:pt idx="3">
                  <c:v>1.329475309</c:v>
                </c:pt>
              </c:numCache>
            </c:numRef>
          </c:val>
          <c:extLst>
            <c:ext xmlns:c16="http://schemas.microsoft.com/office/drawing/2014/chart" uri="{C3380CC4-5D6E-409C-BE32-E72D297353CC}">
              <c16:uniqueId val="{00000000-83EE-4930-A223-9F4D8D44C8D3}"/>
            </c:ext>
          </c:extLst>
        </c:ser>
        <c:ser>
          <c:idx val="1"/>
          <c:order val="1"/>
          <c:tx>
            <c:strRef>
              <c:f>'Elma summary analysis'!$L$9</c:f>
              <c:strCache>
                <c:ptCount val="1"/>
                <c:pt idx="0">
                  <c:v>CDS TT ratio</c:v>
                </c:pt>
              </c:strCache>
            </c:strRef>
          </c:tx>
          <c:spPr>
            <a:solidFill>
              <a:schemeClr val="accent1"/>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analysis'!$L$10:$L$13</c:f>
              <c:numCache>
                <c:formatCode>General</c:formatCode>
                <c:ptCount val="4"/>
                <c:pt idx="0">
                  <c:v>0</c:v>
                </c:pt>
                <c:pt idx="1">
                  <c:v>7.4736842110000001</c:v>
                </c:pt>
                <c:pt idx="2">
                  <c:v>4.3384615379999998</c:v>
                </c:pt>
                <c:pt idx="3">
                  <c:v>2.950980392</c:v>
                </c:pt>
              </c:numCache>
            </c:numRef>
          </c:val>
          <c:extLst>
            <c:ext xmlns:c16="http://schemas.microsoft.com/office/drawing/2014/chart" uri="{C3380CC4-5D6E-409C-BE32-E72D297353CC}">
              <c16:uniqueId val="{00000001-83EE-4930-A223-9F4D8D44C8D3}"/>
            </c:ext>
          </c:extLst>
        </c:ser>
        <c:ser>
          <c:idx val="2"/>
          <c:order val="2"/>
          <c:tx>
            <c:strRef>
              <c:f>'Elma summary analysis'!$M$9</c:f>
              <c:strCache>
                <c:ptCount val="1"/>
                <c:pt idx="0">
                  <c:v>nonCDS TT ratio</c:v>
                </c:pt>
              </c:strCache>
            </c:strRef>
          </c:tx>
          <c:spPr>
            <a:solidFill>
              <a:schemeClr val="accent1">
                <a:tint val="65000"/>
              </a:schemeClr>
            </a:solidFill>
            <a:ln>
              <a:noFill/>
            </a:ln>
            <a:effectLst/>
          </c:spPr>
          <c:invertIfNegative val="0"/>
          <c:cat>
            <c:strRef>
              <c:f>'Elma summary analysis'!$A$2:$A$5</c:f>
              <c:strCache>
                <c:ptCount val="4"/>
                <c:pt idx="0">
                  <c:v>Korea 1968</c:v>
                </c:pt>
                <c:pt idx="1">
                  <c:v>New York 2004</c:v>
                </c:pt>
                <c:pt idx="2">
                  <c:v>California 2009</c:v>
                </c:pt>
                <c:pt idx="3">
                  <c:v>Shanghai 2013</c:v>
                </c:pt>
              </c:strCache>
            </c:strRef>
          </c:cat>
          <c:val>
            <c:numRef>
              <c:f>'Elma summary analysis'!$M$10:$M$13</c:f>
              <c:numCache>
                <c:formatCode>General</c:formatCode>
                <c:ptCount val="4"/>
                <c:pt idx="0">
                  <c:v>0</c:v>
                </c:pt>
                <c:pt idx="1">
                  <c:v>1.3672566370000001</c:v>
                </c:pt>
                <c:pt idx="2">
                  <c:v>1.2497761860000001</c:v>
                </c:pt>
                <c:pt idx="3">
                  <c:v>1.1909547739999999</c:v>
                </c:pt>
              </c:numCache>
            </c:numRef>
          </c:val>
          <c:extLst>
            <c:ext xmlns:c16="http://schemas.microsoft.com/office/drawing/2014/chart" uri="{C3380CC4-5D6E-409C-BE32-E72D297353CC}">
              <c16:uniqueId val="{00000002-83EE-4930-A223-9F4D8D44C8D3}"/>
            </c:ext>
          </c:extLst>
        </c:ser>
        <c:dLbls>
          <c:showLegendKey val="0"/>
          <c:showVal val="0"/>
          <c:showCatName val="0"/>
          <c:showSerName val="0"/>
          <c:showPercent val="0"/>
          <c:showBubbleSize val="0"/>
        </c:dLbls>
        <c:gapWidth val="219"/>
        <c:overlap val="-27"/>
        <c:axId val="-1203200016"/>
        <c:axId val="-1137507056"/>
      </c:barChart>
      <c:catAx>
        <c:axId val="-120320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507056"/>
        <c:crosses val="autoZero"/>
        <c:auto val="1"/>
        <c:lblAlgn val="ctr"/>
        <c:lblOffset val="100"/>
        <c:noMultiLvlLbl val="0"/>
      </c:catAx>
      <c:valAx>
        <c:axId val="-113750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2000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3210-D5C5-4C5A-A796-AF12E697A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DS-User</dc:creator>
  <cp:keywords/>
  <dc:description/>
  <cp:lastModifiedBy>Muhamed Adilovic</cp:lastModifiedBy>
  <cp:revision>6</cp:revision>
  <dcterms:created xsi:type="dcterms:W3CDTF">2022-01-09T23:08:00Z</dcterms:created>
  <dcterms:modified xsi:type="dcterms:W3CDTF">2022-01-11T10:53:00Z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id="Kbue4Ksv"/&gt;&lt;style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