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40" w:lineRule="auto"/>
        <w:jc w:val="center"/>
      </w:pPr>
      <w:r>
        <w:rPr>
          <w:rFonts w:ascii="Arial" w:hAnsi="Arial" w:eastAsia="Arial" w:cs="Arial"/>
          <w:b/>
          <w:i w:val="0"/>
          <w:color w:val="D9691F"/>
          <w:sz w:val="28"/>
        </w:rPr>
        <w:t>CARGO TRANSPORTATION ORDER (APPLICATION-AGREEMENT)</w:t>
      </w:r>
    </w:p>
    <w:p>
      <w:pPr>
        <w:spacing w:before="0" w:after="160" w:line="240" w:lineRule="auto"/>
        <w:jc w:val="center"/>
      </w:pPr>
      <w:r>
        <w:rPr>
          <w:rFonts w:ascii="Calibri" w:hAnsi="Calibri" w:eastAsia="Calibri" w:cs="Calibri"/>
          <w:b/>
          <w:i w:val="0"/>
          <w:color w:val="1B1D21"/>
          <w:sz w:val="21"/>
        </w:rPr>
        <w:t>No. {{application_number}}  dated  {{application_date}}</w:t>
      </w:r>
    </w:p>
    <w:p>
      <w:pPr>
        <w:spacing w:before="0" w:after="160" w:line="240" w:lineRule="auto"/>
        <w:pBdr>
          <w:bottom w:val="single" w:sz="8" w:space="1" w:color="D9691F"/>
        </w:pBdr>
      </w:pPr>
    </w:p>
    <w:p>
      <w:pPr>
        <w:keepNext/>
        <w:spacing w:before="160" w:after="50" w:line="240" w:lineRule="auto"/>
        <w:pBdr>
          <w:bottom w:val="single" w:sz="6" w:space="2" w:color="D9691F"/>
        </w:pBdr>
      </w:pPr>
      <w:r>
        <w:rPr>
          <w:rFonts w:ascii="Consolas" w:hAnsi="Consolas" w:eastAsia="Consolas" w:cs="Consolas"/>
          <w:b/>
          <w:i w:val="0"/>
          <w:color w:val="D9691F"/>
          <w:sz w:val="21"/>
        </w:rPr>
        <w:t>PARTIES</w:t>
      </w:r>
    </w:p>
    <w:tbl>
      <w:tblPr>
        <w:tblW w:type="auto" w:w="0"/>
        <w:tblLayout w:type="fixed"/>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819"/>
        <w:gridCol w:w="4819"/>
      </w:tblGrid>
      <w:tr>
        <w:trPr>
          <w:cantSplit/>
        </w:trPr>
        <w:tc>
          <w:tcPr>
            <w:tcW w:type="dxa" w:w="4819"/>
            <w:tcMar>
              <w:top w:w="28" w:type="dxa"/>
              <w:bottom w:w="28" w:type="dxa"/>
              <w:left w:w="110" w:type="dxa"/>
              <w:right w:w="110" w:type="dxa"/>
            </w:tcMar>
            <w:shd w:val="clear" w:color="auto" w:fill="FBEEE3"/>
          </w:tcPr>
          <w:p>
            <w:pPr>
              <w:spacing w:before="0" w:after="0" w:line="240" w:lineRule="auto"/>
            </w:pPr>
            <w:r/>
            <w:r>
              <w:rPr>
                <w:rFonts w:ascii="Consolas" w:hAnsi="Consolas" w:eastAsia="Consolas" w:cs="Consolas"/>
                <w:b/>
                <w:i w:val="0"/>
                <w:color w:val="D9691F"/>
                <w:sz w:val="20"/>
              </w:rPr>
              <w:t>CUSTOMER</w:t>
            </w:r>
          </w:p>
        </w:tc>
        <w:tc>
          <w:tcPr>
            <w:tcW w:type="dxa" w:w="4819"/>
            <w:tcMar>
              <w:top w:w="28" w:type="dxa"/>
              <w:bottom w:w="28" w:type="dxa"/>
              <w:left w:w="110" w:type="dxa"/>
              <w:right w:w="110" w:type="dxa"/>
            </w:tcMar>
            <w:shd w:val="clear" w:color="auto" w:fill="FBEEE3"/>
          </w:tcPr>
          <w:p>
            <w:pPr>
              <w:spacing w:before="0" w:after="0" w:line="240" w:lineRule="auto"/>
            </w:pPr>
            <w:r/>
            <w:r>
              <w:rPr>
                <w:rFonts w:ascii="Consolas" w:hAnsi="Consolas" w:eastAsia="Consolas" w:cs="Consolas"/>
                <w:b/>
                <w:i w:val="0"/>
                <w:color w:val="D9691F"/>
                <w:sz w:val="20"/>
              </w:rPr>
              <w:t>CARRIER</w:t>
            </w:r>
          </w:p>
        </w:tc>
      </w:tr>
      <w:tr>
        <w:trPr>
          <w:cantSplit/>
        </w:trPr>
        <w:tc>
          <w:tcPr>
            <w:tcW w:type="dxa" w:w="4819"/>
            <w:tcMar>
              <w:top w:w="50" w:type="dxa"/>
              <w:bottom w:w="50" w:type="dxa"/>
              <w:left w:w="110" w:type="dxa"/>
              <w:right w:w="110" w:type="dxa"/>
            </w:tcMar>
            <w:vAlign w:val="top"/>
          </w:tcPr>
          <w:p>
            <w:pPr>
              <w:spacing w:before="0" w:after="40" w:line="240" w:lineRule="auto"/>
            </w:pPr>
            <w:r/>
            <w:r>
              <w:rPr>
                <w:rFonts w:ascii="Calibri" w:hAnsi="Calibri" w:eastAsia="Calibri" w:cs="Calibri"/>
                <w:b/>
                <w:i w:val="0"/>
                <w:color w:val="1B1D21"/>
                <w:sz w:val="19"/>
              </w:rPr>
              <w:t>LEV&amp;AV LLC (ООО «ЛЕВ ЭНД АВ»)</w:t>
            </w:r>
          </w:p>
          <w:p>
            <w:pPr>
              <w:spacing w:before="0" w:after="40" w:line="240" w:lineRule="auto"/>
            </w:pPr>
            <w:r>
              <w:rPr>
                <w:rFonts w:ascii="Calibri" w:hAnsi="Calibri" w:eastAsia="Calibri" w:cs="Calibri"/>
                <w:b w:val="0"/>
                <w:i w:val="0"/>
                <w:color w:val="1B1D21"/>
                <w:sz w:val="19"/>
              </w:rPr>
              <w:t>Legal Address: RA, 0046, Yerevan, S. Tarontsi St. 3/1, Apt. 18</w:t>
            </w:r>
          </w:p>
          <w:p>
            <w:pPr>
              <w:spacing w:before="0" w:after="40" w:line="240" w:lineRule="auto"/>
            </w:pPr>
            <w:r>
              <w:rPr>
                <w:rFonts w:ascii="Calibri" w:hAnsi="Calibri" w:eastAsia="Calibri" w:cs="Calibri"/>
                <w:b w:val="0"/>
                <w:i w:val="0"/>
                <w:color w:val="1B1D21"/>
                <w:sz w:val="19"/>
              </w:rPr>
              <w:t>TIN: {{company_inn}}</w:t>
            </w:r>
          </w:p>
          <w:p>
            <w:pPr>
              <w:spacing w:before="0" w:after="40" w:line="240" w:lineRule="auto"/>
            </w:pPr>
            <w:r>
              <w:rPr>
                <w:rFonts w:ascii="Calibri" w:hAnsi="Calibri" w:eastAsia="Calibri" w:cs="Calibri"/>
                <w:b w:val="0"/>
                <w:i w:val="0"/>
                <w:color w:val="1B1D21"/>
                <w:sz w:val="19"/>
              </w:rPr>
              <w:t>E-mail: levavlogistics@gmail.com</w:t>
            </w:r>
          </w:p>
          <w:p>
            <w:pPr>
              <w:spacing w:before="0" w:after="40" w:line="240" w:lineRule="auto"/>
            </w:pPr>
            <w:r>
              <w:rPr>
                <w:rFonts w:ascii="Calibri" w:hAnsi="Calibri" w:eastAsia="Calibri" w:cs="Calibri"/>
                <w:b w:val="0"/>
                <w:i w:val="0"/>
                <w:color w:val="1B1D21"/>
                <w:sz w:val="19"/>
              </w:rPr>
              <w:t>Phone: {{company_phone}}</w:t>
            </w:r>
          </w:p>
          <w:p>
            <w:pPr>
              <w:spacing w:before="0" w:after="40" w:line="240" w:lineRule="auto"/>
            </w:pPr>
            <w:r>
              <w:rPr>
                <w:rFonts w:ascii="Calibri" w:hAnsi="Calibri" w:eastAsia="Calibri" w:cs="Calibri"/>
                <w:b w:val="0"/>
                <w:i w:val="0"/>
                <w:color w:val="D9691F"/>
                <w:sz w:val="19"/>
              </w:rPr>
              <w:t>Responsible manager: {{issued_by}}</w:t>
            </w:r>
          </w:p>
        </w:tc>
        <w:tc>
          <w:tcPr>
            <w:tcW w:type="dxa" w:w="4819"/>
            <w:tcMar>
              <w:top w:w="50" w:type="dxa"/>
              <w:bottom w:w="50" w:type="dxa"/>
              <w:left w:w="110" w:type="dxa"/>
              <w:right w:w="110" w:type="dxa"/>
            </w:tcMar>
            <w:vAlign w:val="top"/>
          </w:tcPr>
          <w:p>
            <w:pPr>
              <w:spacing w:before="0" w:after="40" w:line="240" w:lineRule="auto"/>
            </w:pPr>
            <w:r/>
            <w:r>
              <w:rPr>
                <w:rFonts w:ascii="Calibri" w:hAnsi="Calibri" w:eastAsia="Calibri" w:cs="Calibri"/>
                <w:b/>
                <w:i w:val="0"/>
                <w:color w:val="1B1D21"/>
                <w:sz w:val="19"/>
              </w:rPr>
              <w:t>{{carrier_name}}</w:t>
            </w:r>
          </w:p>
          <w:p>
            <w:pPr>
              <w:spacing w:before="0" w:after="40" w:line="240" w:lineRule="auto"/>
            </w:pPr>
            <w:r>
              <w:rPr>
                <w:rFonts w:ascii="Calibri" w:hAnsi="Calibri" w:eastAsia="Calibri" w:cs="Calibri"/>
                <w:b w:val="0"/>
                <w:i w:val="0"/>
                <w:color w:val="1B1D21"/>
                <w:sz w:val="19"/>
              </w:rPr>
              <w:t>Address: {{carrier_address}}</w:t>
            </w:r>
          </w:p>
          <w:p>
            <w:pPr>
              <w:spacing w:before="0" w:after="40" w:line="240" w:lineRule="auto"/>
            </w:pPr>
            <w:r>
              <w:rPr>
                <w:rFonts w:ascii="Calibri" w:hAnsi="Calibri" w:eastAsia="Calibri" w:cs="Calibri"/>
                <w:b w:val="0"/>
                <w:i w:val="0"/>
                <w:color w:val="1B1D21"/>
                <w:sz w:val="19"/>
              </w:rPr>
              <w:t>TIN: {{carrier_tin}}</w:t>
            </w:r>
          </w:p>
          <w:p>
            <w:pPr>
              <w:spacing w:before="0" w:after="40" w:line="240" w:lineRule="auto"/>
            </w:pPr>
            <w:r>
              <w:rPr>
                <w:rFonts w:ascii="Calibri" w:hAnsi="Calibri" w:eastAsia="Calibri" w:cs="Calibri"/>
                <w:b w:val="0"/>
                <w:i w:val="0"/>
                <w:color w:val="1B1D21"/>
                <w:sz w:val="19"/>
              </w:rPr>
              <w:t>Phone: {{carrier_phone}}</w:t>
            </w:r>
          </w:p>
          <w:p>
            <w:pPr>
              <w:spacing w:before="0" w:after="40" w:line="240" w:lineRule="auto"/>
            </w:pPr>
            <w:r>
              <w:rPr>
                <w:rFonts w:ascii="Calibri" w:hAnsi="Calibri" w:eastAsia="Calibri" w:cs="Calibri"/>
                <w:b w:val="0"/>
                <w:i w:val="0"/>
                <w:color w:val="1B1D21"/>
                <w:sz w:val="19"/>
              </w:rPr>
              <w:t>Contact person: {{carrier_contact_person}}</w:t>
            </w:r>
          </w:p>
        </w:tc>
      </w:tr>
    </w:tbl>
    <w:p>
      <w:pPr>
        <w:keepNext/>
        <w:spacing w:before="160" w:after="50" w:line="240" w:lineRule="auto"/>
        <w:pBdr>
          <w:bottom w:val="single" w:sz="6" w:space="2" w:color="D9691F"/>
        </w:pBdr>
      </w:pPr>
      <w:r>
        <w:rPr>
          <w:rFonts w:ascii="Consolas" w:hAnsi="Consolas" w:eastAsia="Consolas" w:cs="Consolas"/>
          <w:b/>
          <w:i w:val="0"/>
          <w:color w:val="D9691F"/>
          <w:sz w:val="21"/>
        </w:rPr>
        <w:t>ROUTE AND SCHEDULE</w:t>
      </w:r>
    </w:p>
    <w:p>
      <w:pPr>
        <w:spacing w:before="40" w:after="100" w:line="240" w:lineRule="auto"/>
      </w:pPr>
      <w:r>
        <w:rPr>
          <w:rFonts w:ascii="Calibri" w:hAnsi="Calibri" w:eastAsia="Calibri" w:cs="Calibri"/>
          <w:b w:val="0"/>
          <w:i w:val="0"/>
          <w:color w:val="1B1D21"/>
          <w:sz w:val="20"/>
        </w:rPr>
        <w:t>Route: {{route}}</w:t>
      </w:r>
    </w:p>
    <w:tbl>
      <w:tblPr>
        <w:tblW w:type="auto" w:w="0"/>
        <w:tblLayout w:type="fixed"/>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928"/>
        <w:gridCol w:w="1928"/>
        <w:gridCol w:w="1928"/>
        <w:gridCol w:w="1928"/>
        <w:gridCol w:w="1928"/>
      </w:tblGrid>
      <w:tr>
        <w:trPr>
          <w:cantSplit/>
        </w:trPr>
        <w:tc>
          <w:tcPr>
            <w:tcW w:type="dxa" w:w="1300"/>
            <w:tcMar>
              <w:top w:w="28" w:type="dxa"/>
              <w:bottom w:w="28" w:type="dxa"/>
              <w:left w:w="110" w:type="dxa"/>
              <w:right w:w="110" w:type="dxa"/>
            </w:tcMar>
            <w:shd w:val="clear" w:color="auto" w:fill="FBEEE3"/>
            <w:vAlign w:val="center"/>
          </w:tcPr>
          <w:p>
            <w:pPr>
              <w:spacing w:before="0" w:after="0" w:line="240" w:lineRule="auto"/>
            </w:pPr>
            <w:r/>
            <w:r>
              <w:rPr>
                <w:rFonts w:ascii="Consolas" w:hAnsi="Consolas" w:eastAsia="Consolas" w:cs="Consolas"/>
                <w:b/>
                <w:i w:val="0"/>
                <w:color w:val="D9691F"/>
                <w:sz w:val="18"/>
              </w:rPr>
            </w:r>
          </w:p>
        </w:tc>
        <w:tc>
          <w:tcPr>
            <w:tcW w:type="dxa" w:w="3238"/>
            <w:tcMar>
              <w:top w:w="28" w:type="dxa"/>
              <w:bottom w:w="28" w:type="dxa"/>
              <w:left w:w="110" w:type="dxa"/>
              <w:right w:w="110" w:type="dxa"/>
            </w:tcMar>
            <w:shd w:val="clear" w:color="auto" w:fill="FBEEE3"/>
            <w:vAlign w:val="center"/>
          </w:tcPr>
          <w:p>
            <w:pPr>
              <w:spacing w:before="0" w:after="0" w:line="240" w:lineRule="auto"/>
              <w:jc w:val="center"/>
            </w:pPr>
            <w:r/>
            <w:r>
              <w:rPr>
                <w:rFonts w:ascii="Consolas" w:hAnsi="Consolas" w:eastAsia="Consolas" w:cs="Consolas"/>
                <w:b/>
                <w:i w:val="0"/>
                <w:color w:val="D9691F"/>
                <w:sz w:val="18"/>
              </w:rPr>
              <w:t>Address</w:t>
            </w:r>
          </w:p>
        </w:tc>
        <w:tc>
          <w:tcPr>
            <w:tcW w:type="dxa" w:w="1500"/>
            <w:tcMar>
              <w:top w:w="28" w:type="dxa"/>
              <w:bottom w:w="28" w:type="dxa"/>
              <w:left w:w="110" w:type="dxa"/>
              <w:right w:w="110" w:type="dxa"/>
            </w:tcMar>
            <w:shd w:val="clear" w:color="auto" w:fill="FBEEE3"/>
            <w:vAlign w:val="center"/>
          </w:tcPr>
          <w:p>
            <w:pPr>
              <w:spacing w:before="0" w:after="0" w:line="240" w:lineRule="auto"/>
              <w:jc w:val="center"/>
            </w:pPr>
            <w:r/>
            <w:r>
              <w:rPr>
                <w:rFonts w:ascii="Consolas" w:hAnsi="Consolas" w:eastAsia="Consolas" w:cs="Consolas"/>
                <w:b/>
                <w:i w:val="0"/>
                <w:color w:val="D9691F"/>
                <w:sz w:val="18"/>
              </w:rPr>
              <w:t>Date</w:t>
            </w:r>
          </w:p>
        </w:tc>
        <w:tc>
          <w:tcPr>
            <w:tcW w:type="dxa" w:w="1300"/>
            <w:tcMar>
              <w:top w:w="28" w:type="dxa"/>
              <w:bottom w:w="28" w:type="dxa"/>
              <w:left w:w="110" w:type="dxa"/>
              <w:right w:w="110" w:type="dxa"/>
            </w:tcMar>
            <w:shd w:val="clear" w:color="auto" w:fill="FBEEE3"/>
            <w:vAlign w:val="center"/>
          </w:tcPr>
          <w:p>
            <w:pPr>
              <w:spacing w:before="0" w:after="0" w:line="240" w:lineRule="auto"/>
              <w:jc w:val="center"/>
            </w:pPr>
            <w:r/>
            <w:r>
              <w:rPr>
                <w:rFonts w:ascii="Consolas" w:hAnsi="Consolas" w:eastAsia="Consolas" w:cs="Consolas"/>
                <w:b/>
                <w:i w:val="0"/>
                <w:color w:val="D9691F"/>
                <w:sz w:val="18"/>
              </w:rPr>
              <w:t>Time</w:t>
            </w:r>
          </w:p>
        </w:tc>
        <w:tc>
          <w:tcPr>
            <w:tcW w:type="dxa" w:w="2300"/>
            <w:tcMar>
              <w:top w:w="28" w:type="dxa"/>
              <w:bottom w:w="28" w:type="dxa"/>
              <w:left w:w="110" w:type="dxa"/>
              <w:right w:w="110" w:type="dxa"/>
            </w:tcMar>
            <w:shd w:val="clear" w:color="auto" w:fill="FBEEE3"/>
            <w:vAlign w:val="center"/>
          </w:tcPr>
          <w:p>
            <w:pPr>
              <w:spacing w:before="0" w:after="0" w:line="240" w:lineRule="auto"/>
              <w:jc w:val="center"/>
            </w:pPr>
            <w:r/>
            <w:r>
              <w:rPr>
                <w:rFonts w:ascii="Consolas" w:hAnsi="Consolas" w:eastAsia="Consolas" w:cs="Consolas"/>
                <w:b/>
                <w:i w:val="0"/>
                <w:color w:val="D9691F"/>
                <w:sz w:val="18"/>
              </w:rPr>
              <w:t>Contact person</w:t>
            </w:r>
          </w:p>
        </w:tc>
      </w:tr>
      <w:tr>
        <w:trPr>
          <w:cantSplit/>
        </w:trPr>
        <w:tc>
          <w:tcPr>
            <w:tcW w:type="dxa" w:w="13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Loading</w:t>
            </w:r>
          </w:p>
        </w:tc>
        <w:tc>
          <w:tcPr>
            <w:tcW w:type="dxa" w:w="32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19"/>
              </w:rPr>
              <w:t>{{loading_place}}</w:t>
            </w:r>
          </w:p>
        </w:tc>
        <w:tc>
          <w:tcPr>
            <w:tcW w:type="dxa" w:w="1500"/>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19"/>
              </w:rPr>
              <w:t>{{loading_date}}</w:t>
            </w:r>
          </w:p>
        </w:tc>
        <w:tc>
          <w:tcPr>
            <w:tcW w:type="dxa" w:w="1300"/>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19"/>
              </w:rPr>
              <w:t>{{loading_time}}</w:t>
            </w:r>
          </w:p>
        </w:tc>
        <w:tc>
          <w:tcPr>
            <w:tcW w:type="dxa" w:w="2300"/>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19"/>
              </w:rPr>
              <w:t>{{loading_contact}}</w:t>
            </w:r>
          </w:p>
        </w:tc>
      </w:tr>
      <w:tr>
        <w:trPr>
          <w:cantSplit/>
        </w:trPr>
        <w:tc>
          <w:tcPr>
            <w:tcW w:type="dxa" w:w="13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Unloading</w:t>
            </w:r>
          </w:p>
        </w:tc>
        <w:tc>
          <w:tcPr>
            <w:tcW w:type="dxa" w:w="32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19"/>
              </w:rPr>
              <w:t>{{unloading_place}}</w:t>
            </w:r>
          </w:p>
        </w:tc>
        <w:tc>
          <w:tcPr>
            <w:tcW w:type="dxa" w:w="1500"/>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19"/>
              </w:rPr>
              <w:t>{{unloading_date}}</w:t>
            </w:r>
          </w:p>
        </w:tc>
        <w:tc>
          <w:tcPr>
            <w:tcW w:type="dxa" w:w="1300"/>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19"/>
              </w:rPr>
              <w:t>{{unloading_time}}</w:t>
            </w:r>
          </w:p>
        </w:tc>
        <w:tc>
          <w:tcPr>
            <w:tcW w:type="dxa" w:w="2300"/>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19"/>
              </w:rPr>
              <w:t>{{unloading_contact}}</w:t>
            </w:r>
          </w:p>
        </w:tc>
      </w:tr>
    </w:tbl>
    <w:p>
      <w:pPr>
        <w:keepNext/>
        <w:spacing w:before="160" w:after="50" w:line="240" w:lineRule="auto"/>
        <w:pBdr>
          <w:bottom w:val="single" w:sz="6" w:space="2" w:color="D9691F"/>
        </w:pBdr>
      </w:pPr>
      <w:r>
        <w:rPr>
          <w:rFonts w:ascii="Consolas" w:hAnsi="Consolas" w:eastAsia="Consolas" w:cs="Consolas"/>
          <w:b/>
          <w:i w:val="0"/>
          <w:color w:val="D9691F"/>
          <w:sz w:val="21"/>
        </w:rPr>
        <w:t>CARGO</w:t>
      </w:r>
    </w:p>
    <w:tbl>
      <w:tblPr>
        <w:tblW w:type="auto" w:w="0"/>
        <w:tblLayout w:type="fixed"/>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819"/>
        <w:gridCol w:w="4819"/>
      </w:tblGrid>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Cargo name</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{{cargo}}</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Weight</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{{weight}}</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Volume</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{{volume}}</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Packaging type</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{{packaging_type}}</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Number of places</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{{places_count}}</w:t>
            </w:r>
          </w:p>
        </w:tc>
      </w:tr>
    </w:tbl>
    <w:p>
      <w:pPr>
        <w:keepNext/>
        <w:spacing w:before="160" w:after="50" w:line="240" w:lineRule="auto"/>
        <w:pBdr>
          <w:bottom w:val="single" w:sz="6" w:space="2" w:color="D9691F"/>
        </w:pBdr>
      </w:pPr>
      <w:r>
        <w:rPr>
          <w:rFonts w:ascii="Consolas" w:hAnsi="Consolas" w:eastAsia="Consolas" w:cs="Consolas"/>
          <w:b/>
          <w:i w:val="0"/>
          <w:color w:val="D9691F"/>
          <w:sz w:val="21"/>
        </w:rPr>
        <w:t>VEHICLE AND DRIVER</w:t>
      </w:r>
    </w:p>
    <w:tbl>
      <w:tblPr>
        <w:tblW w:type="auto" w:w="0"/>
        <w:tblLayout w:type="fixed"/>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819"/>
        <w:gridCol w:w="4819"/>
      </w:tblGrid>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Vehicle type</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{{vehicle_type}}</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Plate number (tractor)</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{{vehicle_number}}</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Plate number (trailer)</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{{trailer_number}}</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Driver (full name)</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{{driver}}</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Driver phone</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{{driver_phone}}</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Driver ID / passport details</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{{driver_passport}}</w:t>
            </w:r>
          </w:p>
        </w:tc>
      </w:tr>
    </w:tbl>
    <w:p>
      <w:pPr>
        <w:keepNext/>
        <w:spacing w:before="160" w:after="50" w:line="240" w:lineRule="auto"/>
        <w:pBdr>
          <w:bottom w:val="single" w:sz="6" w:space="2" w:color="D9691F"/>
        </w:pBdr>
      </w:pPr>
      <w:r>
        <w:rPr>
          <w:rFonts w:ascii="Consolas" w:hAnsi="Consolas" w:eastAsia="Consolas" w:cs="Consolas"/>
          <w:b/>
          <w:i w:val="0"/>
          <w:color w:val="D9691F"/>
          <w:sz w:val="21"/>
        </w:rPr>
        <w:t>FINANCIAL TERMS</w:t>
      </w:r>
    </w:p>
    <w:tbl>
      <w:tblPr>
        <w:tblW w:type="auto" w:w="0"/>
        <w:tblLayout w:type="fixed"/>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819"/>
        <w:gridCol w:w="4819"/>
      </w:tblGrid>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Freight price</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{{freight_price}}</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Currency</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{{currency}}</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Payment terms</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{{payment_terms}}</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Carrier's Bank Account Number</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{{carrier_bank_account}}</w:t>
            </w:r>
          </w:p>
        </w:tc>
      </w:tr>
      <w:tr>
        <w:trPr>
          <w:cantSplit/>
        </w:trPr>
        <w:tc>
          <w:tcPr>
            <w:tcW w:type="dxa" w:w="3000"/>
            <w:tcMar>
              <w:top w:w="28" w:type="dxa"/>
              <w:bottom w:w="28" w:type="dxa"/>
              <w:left w:w="110" w:type="dxa"/>
              <w:right w:w="110" w:type="dxa"/>
            </w:tcMar>
            <w:vAlign w:val="center"/>
          </w:tcPr>
          <w:p>
            <w:pPr>
              <w:spacing w:before="0" w:after="0" w:line="240" w:lineRule="auto"/>
            </w:pPr>
            <w:r/>
            <w:r>
              <w:rPr>
                <w:rFonts w:ascii="Consolas" w:hAnsi="Consolas" w:eastAsia="Consolas" w:cs="Consolas"/>
                <w:b/>
                <w:i w:val="0"/>
                <w:color w:val="D9691F"/>
                <w:sz w:val="19"/>
              </w:rPr>
              <w:t>Payment details (Carrier's bank details)</w:t>
            </w:r>
          </w:p>
        </w:tc>
        <w:tc>
          <w:tcPr>
            <w:tcW w:type="dxa" w:w="6638"/>
            <w:tcMar>
              <w:top w:w="28" w:type="dxa"/>
              <w:bottom w:w="28" w:type="dxa"/>
              <w:left w:w="110" w:type="dxa"/>
              <w:right w:w="110" w:type="dxa"/>
            </w:tcMar>
            <w:vAlign w:val="center"/>
          </w:tcPr>
          <w:p>
            <w:pPr>
              <w:spacing w:before="0" w:after="0" w:line="240" w:lineRule="auto"/>
            </w:pPr>
            <w:r/>
            <w:r>
              <w:rPr>
                <w:rFonts w:ascii="Calibri" w:hAnsi="Calibri" w:eastAsia="Calibri" w:cs="Calibri"/>
                <w:b w:val="0"/>
                <w:i w:val="0"/>
                <w:color w:val="1B1D21"/>
                <w:sz w:val="20"/>
              </w:rPr>
              <w:t>{{carrier_requisites}}</w:t>
            </w:r>
          </w:p>
        </w:tc>
      </w:tr>
    </w:tbl>
    <w:p>
      <w:pPr>
        <w:keepNext/>
        <w:spacing w:before="160" w:after="50" w:line="240" w:lineRule="auto"/>
        <w:pBdr>
          <w:bottom w:val="single" w:sz="6" w:space="2" w:color="D9691F"/>
        </w:pBdr>
      </w:pPr>
      <w:r>
        <w:rPr>
          <w:rFonts w:ascii="Consolas" w:hAnsi="Consolas" w:eastAsia="Consolas" w:cs="Consolas"/>
          <w:b/>
          <w:i w:val="0"/>
          <w:color w:val="D9691F"/>
          <w:sz w:val="21"/>
        </w:rPr>
        <w:t>ADDITIONAL TERMS AND NOTES</w:t>
      </w:r>
    </w:p>
    <w:p>
      <w:pPr>
        <w:spacing w:before="80" w:after="20" w:line="240" w:lineRule="auto"/>
      </w:pPr>
      <w:r>
        <w:rPr>
          <w:rFonts w:ascii="Consolas" w:hAnsi="Consolas" w:eastAsia="Consolas" w:cs="Consolas"/>
          <w:b/>
          <w:i w:val="0"/>
          <w:color w:val="D9691F"/>
          <w:sz w:val="19"/>
        </w:rPr>
        <w:t>Additional terms:</w:t>
      </w:r>
    </w:p>
    <w:p>
      <w:pPr>
        <w:spacing w:before="0" w:after="20" w:line="240" w:lineRule="auto"/>
      </w:pPr>
      <w:r>
        <w:rPr>
          <w:rFonts w:ascii="Calibri" w:hAnsi="Calibri" w:eastAsia="Calibri" w:cs="Calibri"/>
          <w:b w:val="0"/>
          <w:i w:val="0"/>
          <w:color w:val="1B1D21"/>
          <w:sz w:val="20"/>
        </w:rPr>
        <w:t>{{additional_terms}}</w:t>
      </w:r>
    </w:p>
    <w:p>
      <w:pPr>
        <w:spacing w:before="80" w:after="20" w:line="240" w:lineRule="auto"/>
      </w:pPr>
      <w:r>
        <w:rPr>
          <w:rFonts w:ascii="Consolas" w:hAnsi="Consolas" w:eastAsia="Consolas" w:cs="Consolas"/>
          <w:b/>
          <w:i w:val="0"/>
          <w:color w:val="D9691F"/>
          <w:sz w:val="19"/>
        </w:rPr>
        <w:t>Notes:</w:t>
      </w:r>
    </w:p>
    <w:p>
      <w:pPr>
        <w:spacing w:before="0" w:after="20" w:line="240" w:lineRule="auto"/>
      </w:pPr>
      <w:r>
        <w:rPr>
          <w:rFonts w:ascii="Calibri" w:hAnsi="Calibri" w:eastAsia="Calibri" w:cs="Calibri"/>
          <w:b w:val="0"/>
          <w:i w:val="0"/>
          <w:color w:val="1B1D21"/>
          <w:sz w:val="20"/>
        </w:rPr>
        <w:t>{{notes}}</w:t>
      </w:r>
    </w:p>
    <w:p>
      <w:pPr>
        <w:keepNext/>
        <w:spacing w:before="160" w:after="50" w:line="240" w:lineRule="auto"/>
        <w:pBdr>
          <w:bottom w:val="single" w:sz="6" w:space="2" w:color="D9691F"/>
        </w:pBdr>
      </w:pPr>
      <w:r>
        <w:rPr>
          <w:rFonts w:ascii="Consolas" w:hAnsi="Consolas" w:eastAsia="Consolas" w:cs="Consolas"/>
          <w:b/>
          <w:i w:val="0"/>
          <w:color w:val="D9691F"/>
          <w:sz w:val="21"/>
        </w:rPr>
        <w:t>TERMS OF CARRIAGE</w:t>
      </w:r>
    </w:p>
    <w:p>
      <w:pPr>
        <w:spacing w:before="0" w:after="40" w:line="240" w:lineRule="auto"/>
      </w:pPr>
      <w:r>
        <w:rPr>
          <w:rFonts w:ascii="Calibri" w:hAnsi="Calibri" w:eastAsia="Calibri" w:cs="Calibri"/>
          <w:b/>
          <w:i w:val="0"/>
          <w:color w:val="555555"/>
          <w:sz w:val="16"/>
        </w:rPr>
        <w:t xml:space="preserve">1. </w:t>
      </w:r>
      <w:r>
        <w:rPr>
          <w:rFonts w:ascii="Calibri" w:hAnsi="Calibri" w:eastAsia="Calibri" w:cs="Calibri"/>
          <w:b/>
          <w:i w:val="0"/>
          <w:color w:val="1B1D21"/>
          <w:sz w:val="16"/>
        </w:rPr>
        <w:t xml:space="preserve">Subject of Carriage — </w:t>
      </w:r>
      <w:r>
        <w:rPr>
          <w:rFonts w:ascii="Calibri" w:hAnsi="Calibri" w:eastAsia="Calibri" w:cs="Calibri"/>
          <w:b w:val="0"/>
          <w:i w:val="0"/>
          <w:color w:val="555555"/>
          <w:sz w:val="16"/>
        </w:rPr>
        <w:t>The Carrier undertakes to accept the cargo at the specified loading place and deliver it to the specified unloading place in accordance with the terms of this application.</w:t>
      </w:r>
    </w:p>
    <w:p>
      <w:pPr>
        <w:spacing w:before="0" w:after="40" w:line="240" w:lineRule="auto"/>
      </w:pPr>
      <w:r>
        <w:rPr>
          <w:rFonts w:ascii="Calibri" w:hAnsi="Calibri" w:eastAsia="Calibri" w:cs="Calibri"/>
          <w:b/>
          <w:i w:val="0"/>
          <w:color w:val="555555"/>
          <w:sz w:val="16"/>
        </w:rPr>
        <w:t xml:space="preserve">2. </w:t>
      </w:r>
      <w:r>
        <w:rPr>
          <w:rFonts w:ascii="Calibri" w:hAnsi="Calibri" w:eastAsia="Calibri" w:cs="Calibri"/>
          <w:b/>
          <w:i w:val="0"/>
          <w:color w:val="1B1D21"/>
          <w:sz w:val="16"/>
        </w:rPr>
        <w:t xml:space="preserve">Vehicle — </w:t>
      </w:r>
      <w:r>
        <w:rPr>
          <w:rFonts w:ascii="Calibri" w:hAnsi="Calibri" w:eastAsia="Calibri" w:cs="Calibri"/>
          <w:b w:val="0"/>
          <w:i w:val="0"/>
          <w:color w:val="555555"/>
          <w:sz w:val="16"/>
        </w:rPr>
        <w:t>The Carrier shall provide a technically sound vehicle suitable for the nature, volume, weight and requirements of the cargo being transported.</w:t>
      </w:r>
    </w:p>
    <w:p>
      <w:pPr>
        <w:spacing w:before="0" w:after="40" w:line="240" w:lineRule="auto"/>
      </w:pPr>
      <w:r>
        <w:rPr>
          <w:rFonts w:ascii="Calibri" w:hAnsi="Calibri" w:eastAsia="Calibri" w:cs="Calibri"/>
          <w:b/>
          <w:i w:val="0"/>
          <w:color w:val="555555"/>
          <w:sz w:val="16"/>
        </w:rPr>
        <w:t xml:space="preserve">3. </w:t>
      </w:r>
      <w:r>
        <w:rPr>
          <w:rFonts w:ascii="Calibri" w:hAnsi="Calibri" w:eastAsia="Calibri" w:cs="Calibri"/>
          <w:b/>
          <w:i w:val="0"/>
          <w:color w:val="1B1D21"/>
          <w:sz w:val="16"/>
        </w:rPr>
        <w:t xml:space="preserve">Vehicle Submission — </w:t>
      </w:r>
      <w:r>
        <w:rPr>
          <w:rFonts w:ascii="Calibri" w:hAnsi="Calibri" w:eastAsia="Calibri" w:cs="Calibri"/>
          <w:b w:val="0"/>
          <w:i w:val="0"/>
          <w:color w:val="555555"/>
          <w:sz w:val="16"/>
        </w:rPr>
        <w:t>The Carrier shall submit the vehicle for loading on the agreed date and time.</w:t>
      </w:r>
    </w:p>
    <w:p>
      <w:pPr>
        <w:spacing w:before="0" w:after="40" w:line="240" w:lineRule="auto"/>
      </w:pPr>
      <w:r>
        <w:rPr>
          <w:rFonts w:ascii="Calibri" w:hAnsi="Calibri" w:eastAsia="Calibri" w:cs="Calibri"/>
          <w:b/>
          <w:i w:val="0"/>
          <w:color w:val="555555"/>
          <w:sz w:val="16"/>
        </w:rPr>
        <w:t xml:space="preserve">4. </w:t>
      </w:r>
      <w:r>
        <w:rPr>
          <w:rFonts w:ascii="Calibri" w:hAnsi="Calibri" w:eastAsia="Calibri" w:cs="Calibri"/>
          <w:b/>
          <w:i w:val="0"/>
          <w:color w:val="1B1D21"/>
          <w:sz w:val="16"/>
        </w:rPr>
        <w:t xml:space="preserve">Loading and Unloading — </w:t>
      </w:r>
      <w:r>
        <w:rPr>
          <w:rFonts w:ascii="Calibri" w:hAnsi="Calibri" w:eastAsia="Calibri" w:cs="Calibri"/>
          <w:b w:val="0"/>
          <w:i w:val="0"/>
          <w:color w:val="555555"/>
          <w:sz w:val="16"/>
        </w:rPr>
        <w:t>Loading and unloading take place at the locations specified in this application. 48 hours are allotted for loading operations, and 48 hours are allotted for unloading operations. The time of vehicle arrival, loading and unloading is recorded by the Carrier in the transport documents.</w:t>
      </w:r>
    </w:p>
    <w:p>
      <w:pPr>
        <w:spacing w:before="0" w:after="40" w:line="240" w:lineRule="auto"/>
      </w:pPr>
      <w:r>
        <w:rPr>
          <w:rFonts w:ascii="Calibri" w:hAnsi="Calibri" w:eastAsia="Calibri" w:cs="Calibri"/>
          <w:b/>
          <w:i w:val="0"/>
          <w:color w:val="555555"/>
          <w:sz w:val="16"/>
        </w:rPr>
        <w:t xml:space="preserve">5. </w:t>
      </w:r>
      <w:r>
        <w:rPr>
          <w:rFonts w:ascii="Calibri" w:hAnsi="Calibri" w:eastAsia="Calibri" w:cs="Calibri"/>
          <w:b/>
          <w:i w:val="0"/>
          <w:color w:val="1B1D21"/>
          <w:sz w:val="16"/>
        </w:rPr>
        <w:t xml:space="preserve">Cargo Documents — </w:t>
      </w:r>
      <w:r>
        <w:rPr>
          <w:rFonts w:ascii="Calibri" w:hAnsi="Calibri" w:eastAsia="Calibri" w:cs="Calibri"/>
          <w:b w:val="0"/>
          <w:i w:val="0"/>
          <w:color w:val="555555"/>
          <w:sz w:val="16"/>
        </w:rPr>
        <w:t>The Customer provides the Carrier with the documents and information required to perform the carriage, customs clearance and border-crossing procedures.</w:t>
      </w:r>
    </w:p>
    <w:p>
      <w:pPr>
        <w:spacing w:before="0" w:after="40" w:line="240" w:lineRule="auto"/>
      </w:pPr>
      <w:r>
        <w:rPr>
          <w:rFonts w:ascii="Calibri" w:hAnsi="Calibri" w:eastAsia="Calibri" w:cs="Calibri"/>
          <w:b/>
          <w:i w:val="0"/>
          <w:color w:val="555555"/>
          <w:sz w:val="16"/>
        </w:rPr>
        <w:t xml:space="preserve">6. </w:t>
      </w:r>
      <w:r>
        <w:rPr>
          <w:rFonts w:ascii="Calibri" w:hAnsi="Calibri" w:eastAsia="Calibri" w:cs="Calibri"/>
          <w:b/>
          <w:i w:val="0"/>
          <w:color w:val="1B1D21"/>
          <w:sz w:val="16"/>
        </w:rPr>
        <w:t xml:space="preserve">Liability for Cargo — </w:t>
      </w:r>
      <w:r>
        <w:rPr>
          <w:rFonts w:ascii="Calibri" w:hAnsi="Calibri" w:eastAsia="Calibri" w:cs="Calibri"/>
          <w:b w:val="0"/>
          <w:i w:val="0"/>
          <w:color w:val="555555"/>
          <w:sz w:val="16"/>
        </w:rPr>
        <w:t>From the moment the cargo is accepted until it is handed over to the consignee, the Carrier is liable for the safety of the cargo in accordance with applicable law and the terms of carriage.</w:t>
      </w:r>
    </w:p>
    <w:p>
      <w:pPr>
        <w:spacing w:before="0" w:after="40" w:line="240" w:lineRule="auto"/>
      </w:pPr>
      <w:r>
        <w:rPr>
          <w:rFonts w:ascii="Calibri" w:hAnsi="Calibri" w:eastAsia="Calibri" w:cs="Calibri"/>
          <w:b/>
          <w:i w:val="0"/>
          <w:color w:val="555555"/>
          <w:sz w:val="16"/>
        </w:rPr>
        <w:t xml:space="preserve">7. </w:t>
      </w:r>
      <w:r>
        <w:rPr>
          <w:rFonts w:ascii="Calibri" w:hAnsi="Calibri" w:eastAsia="Calibri" w:cs="Calibri"/>
          <w:b/>
          <w:i w:val="0"/>
          <w:color w:val="1B1D21"/>
          <w:sz w:val="16"/>
        </w:rPr>
        <w:t xml:space="preserve">Seal — </w:t>
      </w:r>
      <w:r>
        <w:rPr>
          <w:rFonts w:ascii="Calibri" w:hAnsi="Calibri" w:eastAsia="Calibri" w:cs="Calibri"/>
          <w:b w:val="0"/>
          <w:i w:val="0"/>
          <w:color w:val="555555"/>
          <w:sz w:val="16"/>
        </w:rPr>
        <w:t>If a seal is present, the Carrier must check its integrity upon accepting the cargo and upon unloading. Any breach or damage to the seal must be recorded immediately.</w:t>
      </w:r>
    </w:p>
    <w:p>
      <w:pPr>
        <w:spacing w:before="0" w:after="40" w:line="240" w:lineRule="auto"/>
      </w:pPr>
      <w:r>
        <w:rPr>
          <w:rFonts w:ascii="Calibri" w:hAnsi="Calibri" w:eastAsia="Calibri" w:cs="Calibri"/>
          <w:b/>
          <w:i w:val="0"/>
          <w:color w:val="555555"/>
          <w:sz w:val="16"/>
        </w:rPr>
        <w:t xml:space="preserve">8. </w:t>
      </w:r>
      <w:r>
        <w:rPr>
          <w:rFonts w:ascii="Calibri" w:hAnsi="Calibri" w:eastAsia="Calibri" w:cs="Calibri"/>
          <w:b/>
          <w:i w:val="0"/>
          <w:color w:val="1B1D21"/>
          <w:sz w:val="16"/>
        </w:rPr>
        <w:t xml:space="preserve">Customs Clearance — </w:t>
      </w:r>
      <w:r>
        <w:rPr>
          <w:rFonts w:ascii="Calibri" w:hAnsi="Calibri" w:eastAsia="Calibri" w:cs="Calibri"/>
          <w:b w:val="0"/>
          <w:i w:val="0"/>
          <w:color w:val="555555"/>
          <w:sz w:val="16"/>
        </w:rPr>
        <w:t>The Parties perform customs and other mandatory procedures in accordance with the allocation of responsibilities specified in this application.</w:t>
      </w:r>
    </w:p>
    <w:p>
      <w:pPr>
        <w:spacing w:before="0" w:after="40" w:line="240" w:lineRule="auto"/>
      </w:pPr>
      <w:r>
        <w:rPr>
          <w:rFonts w:ascii="Calibri" w:hAnsi="Calibri" w:eastAsia="Calibri" w:cs="Calibri"/>
          <w:b/>
          <w:i w:val="0"/>
          <w:color w:val="555555"/>
          <w:sz w:val="16"/>
        </w:rPr>
        <w:t xml:space="preserve">9. </w:t>
      </w:r>
      <w:r>
        <w:rPr>
          <w:rFonts w:ascii="Calibri" w:hAnsi="Calibri" w:eastAsia="Calibri" w:cs="Calibri"/>
          <w:b/>
          <w:i w:val="0"/>
          <w:color w:val="1B1D21"/>
          <w:sz w:val="16"/>
        </w:rPr>
        <w:t xml:space="preserve">Route — </w:t>
      </w:r>
      <w:r>
        <w:rPr>
          <w:rFonts w:ascii="Calibri" w:hAnsi="Calibri" w:eastAsia="Calibri" w:cs="Calibri"/>
          <w:b w:val="0"/>
          <w:i w:val="0"/>
          <w:color w:val="555555"/>
          <w:sz w:val="16"/>
        </w:rPr>
        <w:t>Carriage is performed along the agreed route, taking into account the legal requirements of the countries of transit.</w:t>
      </w:r>
    </w:p>
    <w:p>
      <w:pPr>
        <w:spacing w:before="0" w:after="40" w:line="240" w:lineRule="auto"/>
      </w:pPr>
      <w:r>
        <w:rPr>
          <w:rFonts w:ascii="Calibri" w:hAnsi="Calibri" w:eastAsia="Calibri" w:cs="Calibri"/>
          <w:b/>
          <w:i w:val="0"/>
          <w:color w:val="555555"/>
          <w:sz w:val="16"/>
        </w:rPr>
        <w:t xml:space="preserve">10. </w:t>
      </w:r>
      <w:r>
        <w:rPr>
          <w:rFonts w:ascii="Calibri" w:hAnsi="Calibri" w:eastAsia="Calibri" w:cs="Calibri"/>
          <w:b/>
          <w:i w:val="0"/>
          <w:color w:val="1B1D21"/>
          <w:sz w:val="16"/>
        </w:rPr>
        <w:t xml:space="preserve">Route Changes — </w:t>
      </w:r>
      <w:r>
        <w:rPr>
          <w:rFonts w:ascii="Calibri" w:hAnsi="Calibri" w:eastAsia="Calibri" w:cs="Calibri"/>
          <w:b w:val="0"/>
          <w:i w:val="0"/>
          <w:color w:val="555555"/>
          <w:sz w:val="16"/>
        </w:rPr>
        <w:t>A material change of route affecting the cost or timing of carriage is agreed with the other Party in advance.</w:t>
      </w:r>
    </w:p>
    <w:p>
      <w:pPr>
        <w:spacing w:before="0" w:after="40" w:line="240" w:lineRule="auto"/>
      </w:pPr>
      <w:r>
        <w:rPr>
          <w:rFonts w:ascii="Calibri" w:hAnsi="Calibri" w:eastAsia="Calibri" w:cs="Calibri"/>
          <w:b/>
          <w:i w:val="0"/>
          <w:color w:val="555555"/>
          <w:sz w:val="16"/>
        </w:rPr>
        <w:t xml:space="preserve">11. </w:t>
      </w:r>
      <w:r>
        <w:rPr>
          <w:rFonts w:ascii="Calibri" w:hAnsi="Calibri" w:eastAsia="Calibri" w:cs="Calibri"/>
          <w:b/>
          <w:i w:val="0"/>
          <w:color w:val="1B1D21"/>
          <w:sz w:val="16"/>
        </w:rPr>
        <w:t xml:space="preserve">Demurrage — </w:t>
      </w:r>
      <w:r>
        <w:rPr>
          <w:rFonts w:ascii="Calibri" w:hAnsi="Calibri" w:eastAsia="Calibri" w:cs="Calibri"/>
          <w:b w:val="0"/>
          <w:i w:val="0"/>
          <w:color w:val="555555"/>
          <w:sz w:val="16"/>
        </w:rPr>
        <w:t>The standard loading/unloading time is {{free_time_hours}} hours. Demurrage beyond the set time is payable at the rate of {{demurrage_rate}} for each additional day/hour of downtime, unless otherwise specified in the application.</w:t>
      </w:r>
    </w:p>
    <w:p>
      <w:pPr>
        <w:spacing w:before="0" w:after="40" w:line="240" w:lineRule="auto"/>
      </w:pPr>
      <w:r>
        <w:rPr>
          <w:rFonts w:ascii="Calibri" w:hAnsi="Calibri" w:eastAsia="Calibri" w:cs="Calibri"/>
          <w:b/>
          <w:i w:val="0"/>
          <w:color w:val="555555"/>
          <w:sz w:val="16"/>
        </w:rPr>
        <w:t xml:space="preserve">12. </w:t>
      </w:r>
      <w:r>
        <w:rPr>
          <w:rFonts w:ascii="Calibri" w:hAnsi="Calibri" w:eastAsia="Calibri" w:cs="Calibri"/>
          <w:b/>
          <w:i w:val="0"/>
          <w:color w:val="1B1D21"/>
          <w:sz w:val="16"/>
        </w:rPr>
        <w:t xml:space="preserve">Payment for Carriage — </w:t>
      </w:r>
      <w:r>
        <w:rPr>
          <w:rFonts w:ascii="Calibri" w:hAnsi="Calibri" w:eastAsia="Calibri" w:cs="Calibri"/>
          <w:b w:val="0"/>
          <w:i w:val="0"/>
          <w:color w:val="555555"/>
          <w:sz w:val="16"/>
        </w:rPr>
        <w:t>The freight price, currency of settlement and payment procedure are specified in this application.</w:t>
      </w:r>
    </w:p>
    <w:p>
      <w:pPr>
        <w:spacing w:before="0" w:after="40" w:line="240" w:lineRule="auto"/>
      </w:pPr>
      <w:r>
        <w:rPr>
          <w:rFonts w:ascii="Calibri" w:hAnsi="Calibri" w:eastAsia="Calibri" w:cs="Calibri"/>
          <w:b/>
          <w:i w:val="0"/>
          <w:color w:val="555555"/>
          <w:sz w:val="16"/>
        </w:rPr>
        <w:t xml:space="preserve">13. </w:t>
      </w:r>
      <w:r>
        <w:rPr>
          <w:rFonts w:ascii="Calibri" w:hAnsi="Calibri" w:eastAsia="Calibri" w:cs="Calibri"/>
          <w:b/>
          <w:i w:val="0"/>
          <w:color w:val="1B1D21"/>
          <w:sz w:val="16"/>
        </w:rPr>
        <w:t xml:space="preserve">Additional Expenses — </w:t>
      </w:r>
      <w:r>
        <w:rPr>
          <w:rFonts w:ascii="Calibri" w:hAnsi="Calibri" w:eastAsia="Calibri" w:cs="Calibri"/>
          <w:b w:val="0"/>
          <w:i w:val="0"/>
          <w:color w:val="555555"/>
          <w:sz w:val="16"/>
        </w:rPr>
        <w:t>Expenses for toll roads, ferries, permits, transit documents, customs procedures and other costs are paid by the Party to whom they are allocated under this application.</w:t>
      </w:r>
    </w:p>
    <w:p>
      <w:pPr>
        <w:spacing w:before="0" w:after="40" w:line="240" w:lineRule="auto"/>
      </w:pPr>
      <w:r>
        <w:rPr>
          <w:rFonts w:ascii="Calibri" w:hAnsi="Calibri" w:eastAsia="Calibri" w:cs="Calibri"/>
          <w:b/>
          <w:i w:val="0"/>
          <w:color w:val="555555"/>
          <w:sz w:val="16"/>
        </w:rPr>
        <w:t xml:space="preserve">14. </w:t>
      </w:r>
      <w:r>
        <w:rPr>
          <w:rFonts w:ascii="Calibri" w:hAnsi="Calibri" w:eastAsia="Calibri" w:cs="Calibri"/>
          <w:b/>
          <w:i w:val="0"/>
          <w:color w:val="1B1D21"/>
          <w:sz w:val="16"/>
        </w:rPr>
        <w:t xml:space="preserve">Unapproved Additional Expenses — </w:t>
      </w:r>
      <w:r>
        <w:rPr>
          <w:rFonts w:ascii="Calibri" w:hAnsi="Calibri" w:eastAsia="Calibri" w:cs="Calibri"/>
          <w:b w:val="0"/>
          <w:i w:val="0"/>
          <w:color w:val="555555"/>
          <w:sz w:val="16"/>
        </w:rPr>
        <w:t>The Carrier may not bill the Customer for additional expenses that have not been agreed with the Customer in advance, except for expenses directly provided for in this application or mandatory by law.</w:t>
      </w:r>
    </w:p>
    <w:p>
      <w:pPr>
        <w:spacing w:before="0" w:after="40" w:line="240" w:lineRule="auto"/>
      </w:pPr>
      <w:r>
        <w:rPr>
          <w:rFonts w:ascii="Calibri" w:hAnsi="Calibri" w:eastAsia="Calibri" w:cs="Calibri"/>
          <w:b/>
          <w:i w:val="0"/>
          <w:color w:val="555555"/>
          <w:sz w:val="16"/>
        </w:rPr>
        <w:t xml:space="preserve">15. </w:t>
      </w:r>
      <w:r>
        <w:rPr>
          <w:rFonts w:ascii="Calibri" w:hAnsi="Calibri" w:eastAsia="Calibri" w:cs="Calibri"/>
          <w:b/>
          <w:i w:val="0"/>
          <w:color w:val="1B1D21"/>
          <w:sz w:val="16"/>
        </w:rPr>
        <w:t xml:space="preserve">Delivery Time — </w:t>
      </w:r>
      <w:r>
        <w:rPr>
          <w:rFonts w:ascii="Calibri" w:hAnsi="Calibri" w:eastAsia="Calibri" w:cs="Calibri"/>
          <w:b w:val="0"/>
          <w:i w:val="0"/>
          <w:color w:val="555555"/>
          <w:sz w:val="16"/>
        </w:rPr>
        <w:t>The Carrier must deliver the cargo within the agreed timeframe, taking into account the actual road, border, customs and other conditions.</w:t>
      </w:r>
    </w:p>
    <w:p>
      <w:pPr>
        <w:spacing w:before="0" w:after="40" w:line="240" w:lineRule="auto"/>
      </w:pPr>
      <w:r>
        <w:rPr>
          <w:rFonts w:ascii="Calibri" w:hAnsi="Calibri" w:eastAsia="Calibri" w:cs="Calibri"/>
          <w:b/>
          <w:i w:val="0"/>
          <w:color w:val="555555"/>
          <w:sz w:val="16"/>
        </w:rPr>
        <w:t xml:space="preserve">16. </w:t>
      </w:r>
      <w:r>
        <w:rPr>
          <w:rFonts w:ascii="Calibri" w:hAnsi="Calibri" w:eastAsia="Calibri" w:cs="Calibri"/>
          <w:b/>
          <w:i w:val="0"/>
          <w:color w:val="1B1D21"/>
          <w:sz w:val="16"/>
        </w:rPr>
        <w:t xml:space="preserve">Delays — </w:t>
      </w:r>
      <w:r>
        <w:rPr>
          <w:rFonts w:ascii="Calibri" w:hAnsi="Calibri" w:eastAsia="Calibri" w:cs="Calibri"/>
          <w:b w:val="0"/>
          <w:i w:val="0"/>
          <w:color w:val="555555"/>
          <w:sz w:val="16"/>
        </w:rPr>
        <w:t>Should circumstances arise that prevent timely carriage, the Carrier must immediately notify the Customer and provide information on the vehicle's location and the reason for the delay.</w:t>
      </w:r>
    </w:p>
    <w:p>
      <w:pPr>
        <w:spacing w:before="0" w:after="40" w:line="240" w:lineRule="auto"/>
      </w:pPr>
      <w:r>
        <w:rPr>
          <w:rFonts w:ascii="Calibri" w:hAnsi="Calibri" w:eastAsia="Calibri" w:cs="Calibri"/>
          <w:b/>
          <w:i w:val="0"/>
          <w:color w:val="555555"/>
          <w:sz w:val="16"/>
        </w:rPr>
        <w:t xml:space="preserve">17. </w:t>
      </w:r>
      <w:r>
        <w:rPr>
          <w:rFonts w:ascii="Calibri" w:hAnsi="Calibri" w:eastAsia="Calibri" w:cs="Calibri"/>
          <w:b/>
          <w:i w:val="0"/>
          <w:color w:val="1B1D21"/>
          <w:sz w:val="16"/>
        </w:rPr>
        <w:t xml:space="preserve">Communication — </w:t>
      </w:r>
      <w:r>
        <w:rPr>
          <w:rFonts w:ascii="Calibri" w:hAnsi="Calibri" w:eastAsia="Calibri" w:cs="Calibri"/>
          <w:b w:val="0"/>
          <w:i w:val="0"/>
          <w:color w:val="555555"/>
          <w:sz w:val="16"/>
        </w:rPr>
        <w:t>The driver must remain reachable by the dispatcher/Customer throughout the carriage.</w:t>
      </w:r>
    </w:p>
    <w:p>
      <w:pPr>
        <w:spacing w:before="0" w:after="40" w:line="240" w:lineRule="auto"/>
      </w:pPr>
      <w:r>
        <w:rPr>
          <w:rFonts w:ascii="Calibri" w:hAnsi="Calibri" w:eastAsia="Calibri" w:cs="Calibri"/>
          <w:b/>
          <w:i w:val="0"/>
          <w:color w:val="555555"/>
          <w:sz w:val="16"/>
        </w:rPr>
        <w:t xml:space="preserve">18. </w:t>
      </w:r>
      <w:r>
        <w:rPr>
          <w:rFonts w:ascii="Calibri" w:hAnsi="Calibri" w:eastAsia="Calibri" w:cs="Calibri"/>
          <w:b/>
          <w:i w:val="0"/>
          <w:color w:val="1B1D21"/>
          <w:sz w:val="16"/>
        </w:rPr>
        <w:t xml:space="preserve">Photo Evidence — </w:t>
      </w:r>
      <w:r>
        <w:rPr>
          <w:rFonts w:ascii="Calibri" w:hAnsi="Calibri" w:eastAsia="Calibri" w:cs="Calibri"/>
          <w:b w:val="0"/>
          <w:i w:val="0"/>
          <w:color w:val="555555"/>
          <w:sz w:val="16"/>
        </w:rPr>
        <w:t>At the Customer's request, the Carrier shall provide photographs of the cargo, the loading process, the seals and the transport documents.</w:t>
      </w:r>
    </w:p>
    <w:p>
      <w:pPr>
        <w:spacing w:before="0" w:after="40" w:line="240" w:lineRule="auto"/>
      </w:pPr>
      <w:r>
        <w:rPr>
          <w:rFonts w:ascii="Calibri" w:hAnsi="Calibri" w:eastAsia="Calibri" w:cs="Calibri"/>
          <w:b/>
          <w:i w:val="0"/>
          <w:color w:val="555555"/>
          <w:sz w:val="16"/>
        </w:rPr>
        <w:t xml:space="preserve">19. </w:t>
      </w:r>
      <w:r>
        <w:rPr>
          <w:rFonts w:ascii="Calibri" w:hAnsi="Calibri" w:eastAsia="Calibri" w:cs="Calibri"/>
          <w:b/>
          <w:i w:val="0"/>
          <w:color w:val="1B1D21"/>
          <w:sz w:val="16"/>
        </w:rPr>
        <w:t xml:space="preserve">Accident or Cargo Damage — </w:t>
      </w:r>
      <w:r>
        <w:rPr>
          <w:rFonts w:ascii="Calibri" w:hAnsi="Calibri" w:eastAsia="Calibri" w:cs="Calibri"/>
          <w:b w:val="0"/>
          <w:i w:val="0"/>
          <w:color w:val="555555"/>
          <w:sz w:val="16"/>
        </w:rPr>
        <w:t>In the event of a traffic accident, damage, loss of cargo or other emergency, the Carrier must immediately notify the Customer and take the necessary measures to preserve the cargo and document the incident.</w:t>
      </w:r>
    </w:p>
    <w:p>
      <w:pPr>
        <w:spacing w:before="0" w:after="40" w:line="240" w:lineRule="auto"/>
      </w:pPr>
      <w:r>
        <w:rPr>
          <w:rFonts w:ascii="Calibri" w:hAnsi="Calibri" w:eastAsia="Calibri" w:cs="Calibri"/>
          <w:b/>
          <w:i w:val="0"/>
          <w:color w:val="555555"/>
          <w:sz w:val="16"/>
        </w:rPr>
        <w:t xml:space="preserve">20. </w:t>
      </w:r>
      <w:r>
        <w:rPr>
          <w:rFonts w:ascii="Calibri" w:hAnsi="Calibri" w:eastAsia="Calibri" w:cs="Calibri"/>
          <w:b/>
          <w:i w:val="0"/>
          <w:color w:val="1B1D21"/>
          <w:sz w:val="16"/>
        </w:rPr>
        <w:t xml:space="preserve">Handover of Documents after Unloading — </w:t>
      </w:r>
      <w:r>
        <w:rPr>
          <w:rFonts w:ascii="Calibri" w:hAnsi="Calibri" w:eastAsia="Calibri" w:cs="Calibri"/>
          <w:b w:val="0"/>
          <w:i w:val="0"/>
          <w:color w:val="555555"/>
          <w:sz w:val="16"/>
        </w:rPr>
        <w:t>Upon completion of carriage, the Carrier must provide the Customer with the signed transport and other documents confirming that the carriage has been performed.</w:t>
      </w:r>
    </w:p>
    <w:p>
      <w:pPr>
        <w:spacing w:before="0" w:after="40" w:line="240" w:lineRule="auto"/>
      </w:pPr>
      <w:r>
        <w:rPr>
          <w:rFonts w:ascii="Calibri" w:hAnsi="Calibri" w:eastAsia="Calibri" w:cs="Calibri"/>
          <w:b/>
          <w:i w:val="0"/>
          <w:color w:val="555555"/>
          <w:sz w:val="16"/>
        </w:rPr>
        <w:t xml:space="preserve">21. </w:t>
      </w:r>
      <w:r>
        <w:rPr>
          <w:rFonts w:ascii="Calibri" w:hAnsi="Calibri" w:eastAsia="Calibri" w:cs="Calibri"/>
          <w:b/>
          <w:i w:val="0"/>
          <w:color w:val="1B1D21"/>
          <w:sz w:val="16"/>
        </w:rPr>
        <w:t xml:space="preserve">Electronic Documents — </w:t>
      </w:r>
      <w:r>
        <w:rPr>
          <w:rFonts w:ascii="Calibri" w:hAnsi="Calibri" w:eastAsia="Calibri" w:cs="Calibri"/>
          <w:b w:val="0"/>
          <w:i w:val="0"/>
          <w:color w:val="555555"/>
          <w:sz w:val="16"/>
        </w:rPr>
        <w:t>The Parties accept the exchange of documents in electronic form, provided this does not conflict with legal requirements or the terms of a specific carriage.</w:t>
      </w:r>
    </w:p>
    <w:p>
      <w:pPr>
        <w:spacing w:before="0" w:after="40" w:line="240" w:lineRule="auto"/>
      </w:pPr>
      <w:r>
        <w:rPr>
          <w:rFonts w:ascii="Calibri" w:hAnsi="Calibri" w:eastAsia="Calibri" w:cs="Calibri"/>
          <w:b/>
          <w:i w:val="0"/>
          <w:color w:val="555555"/>
          <w:sz w:val="16"/>
        </w:rPr>
        <w:t xml:space="preserve">22. </w:t>
      </w:r>
      <w:r>
        <w:rPr>
          <w:rFonts w:ascii="Calibri" w:hAnsi="Calibri" w:eastAsia="Calibri" w:cs="Calibri"/>
          <w:b/>
          <w:i w:val="0"/>
          <w:color w:val="1B1D21"/>
          <w:sz w:val="16"/>
        </w:rPr>
        <w:t xml:space="preserve">Liability of the Parties — </w:t>
      </w:r>
      <w:r>
        <w:rPr>
          <w:rFonts w:ascii="Calibri" w:hAnsi="Calibri" w:eastAsia="Calibri" w:cs="Calibri"/>
          <w:b w:val="0"/>
          <w:i w:val="0"/>
          <w:color w:val="555555"/>
          <w:sz w:val="16"/>
        </w:rPr>
        <w:t>For non-performance or improper performance of obligations, the Parties are liable in accordance with this application, the agreement and applicable law.</w:t>
      </w:r>
    </w:p>
    <w:p>
      <w:pPr>
        <w:spacing w:before="0" w:after="40" w:line="240" w:lineRule="auto"/>
      </w:pPr>
      <w:r>
        <w:rPr>
          <w:rFonts w:ascii="Calibri" w:hAnsi="Calibri" w:eastAsia="Calibri" w:cs="Calibri"/>
          <w:b/>
          <w:i w:val="0"/>
          <w:color w:val="555555"/>
          <w:sz w:val="16"/>
        </w:rPr>
        <w:t xml:space="preserve">23. </w:t>
      </w:r>
      <w:r>
        <w:rPr>
          <w:rFonts w:ascii="Calibri" w:hAnsi="Calibri" w:eastAsia="Calibri" w:cs="Calibri"/>
          <w:b/>
          <w:i w:val="0"/>
          <w:color w:val="1B1D21"/>
          <w:sz w:val="16"/>
        </w:rPr>
        <w:t xml:space="preserve">Force Majeure — </w:t>
      </w:r>
      <w:r>
        <w:rPr>
          <w:rFonts w:ascii="Calibri" w:hAnsi="Calibri" w:eastAsia="Calibri" w:cs="Calibri"/>
          <w:b w:val="0"/>
          <w:i w:val="0"/>
          <w:color w:val="555555"/>
          <w:sz w:val="16"/>
        </w:rPr>
        <w:t>The Parties are released from liability for non-performance of obligations if it is caused by circumstances of insurmountable force that the Parties could not reasonably foresee or prevent.</w:t>
      </w:r>
    </w:p>
    <w:p>
      <w:pPr>
        <w:spacing w:before="0" w:after="40" w:line="240" w:lineRule="auto"/>
      </w:pPr>
      <w:r>
        <w:rPr>
          <w:rFonts w:ascii="Calibri" w:hAnsi="Calibri" w:eastAsia="Calibri" w:cs="Calibri"/>
          <w:b/>
          <w:i w:val="0"/>
          <w:color w:val="555555"/>
          <w:sz w:val="16"/>
        </w:rPr>
        <w:t xml:space="preserve">24. </w:t>
      </w:r>
      <w:r>
        <w:rPr>
          <w:rFonts w:ascii="Calibri" w:hAnsi="Calibri" w:eastAsia="Calibri" w:cs="Calibri"/>
          <w:b/>
          <w:i w:val="0"/>
          <w:color w:val="1B1D21"/>
          <w:sz w:val="16"/>
        </w:rPr>
        <w:t xml:space="preserve">Special Conditions — </w:t>
      </w:r>
      <w:r>
        <w:rPr>
          <w:rFonts w:ascii="Calibri" w:hAnsi="Calibri" w:eastAsia="Calibri" w:cs="Calibri"/>
          <w:b w:val="0"/>
          <w:i w:val="0"/>
          <w:color w:val="555555"/>
          <w:sz w:val="16"/>
        </w:rPr>
        <w:t>Additional conditions for a specific carriage are specified in the “Additional Terms” section of this application and take priority for that carriage.</w:t>
      </w:r>
    </w:p>
    <w:p>
      <w:pPr>
        <w:keepNext/>
        <w:spacing w:before="160" w:after="50" w:line="240" w:lineRule="auto"/>
        <w:pBdr>
          <w:bottom w:val="single" w:sz="6" w:space="2" w:color="D9691F"/>
        </w:pBdr>
      </w:pPr>
      <w:r>
        <w:rPr>
          <w:rFonts w:ascii="Consolas" w:hAnsi="Consolas" w:eastAsia="Consolas" w:cs="Consolas"/>
          <w:b/>
          <w:i w:val="0"/>
          <w:color w:val="D9691F"/>
          <w:sz w:val="21"/>
        </w:rPr>
        <w:t>SIGNATURES OF THE PARTIES</w:t>
      </w:r>
    </w:p>
    <w:p>
      <w:pPr>
        <w:keepNext/>
        <w:spacing w:before="80" w:after="0" w:line="240" w:lineRule="auto"/>
      </w:pPr>
    </w:p>
    <w:tbl>
      <w:tblPr>
        <w:tblW w:type="auto" w:w="0"/>
        <w:tblLayout w:type="fixed"/>
      </w:tblPr>
      <w:tblGrid>
        <w:gridCol w:w="4819"/>
        <w:gridCol w:w="4819"/>
      </w:tblGrid>
      <w:tr>
        <w:trPr>
          <w:cantSplit/>
        </w:trPr>
        <w:tc>
          <w:tcPr>
            <w:tcW w:type="dxa" w:w="4819"/>
            <w:tcMar>
              <w:top w:w="55" w:type="dxa"/>
              <w:bottom w:w="55" w:type="dxa"/>
              <w:left w:w="100" w:type="dxa"/>
              <w:right w:w="250" w:type="dxa"/>
            </w:tcMar>
            <w:vAlign w:val="top"/>
          </w:tcPr>
          <w:p>
            <w:pPr>
              <w:spacing w:before="0" w:after="120" w:line="240" w:lineRule="auto"/>
            </w:pPr>
            <w:r/>
            <w:r>
              <w:rPr>
                <w:rFonts w:ascii="Consolas" w:hAnsi="Consolas" w:eastAsia="Consolas" w:cs="Consolas"/>
                <w:b/>
                <w:i w:val="0"/>
                <w:color w:val="D9691F"/>
                <w:sz w:val="20"/>
              </w:rPr>
              <w:t>CUSTOMER</w:t>
            </w:r>
          </w:p>
          <w:p>
            <w:pPr>
              <w:spacing w:before="0" w:after="40" w:line="240" w:lineRule="auto"/>
            </w:pPr>
            <w:r>
              <w:rPr>
                <w:rFonts w:ascii="Calibri" w:hAnsi="Calibri" w:eastAsia="Calibri" w:cs="Calibri"/>
                <w:b/>
                <w:i w:val="0"/>
                <w:color w:val="1B1D21"/>
                <w:sz w:val="19"/>
              </w:rPr>
              <w:t>LEV&amp;AV LLC</w:t>
            </w:r>
          </w:p>
          <w:p>
            <w:pPr>
              <w:spacing w:before="0" w:after="200" w:line="240" w:lineRule="auto"/>
            </w:pPr>
            <w:r>
              <w:rPr>
                <w:rFonts w:ascii="Calibri" w:hAnsi="Calibri" w:eastAsia="Calibri" w:cs="Calibri"/>
                <w:b w:val="0"/>
                <w:i w:val="0"/>
                <w:color w:val="1B1D21"/>
                <w:sz w:val="19"/>
              </w:rPr>
              <w:t>{{issued_by}}</w:t>
            </w:r>
          </w:p>
          <w:p>
            <w:pPr>
              <w:spacing w:before="0" w:after="120" w:line="240" w:lineRule="auto"/>
            </w:pPr>
            <w:r>
              <w:rPr>
                <w:rFonts w:ascii="Calibri" w:hAnsi="Calibri" w:eastAsia="Calibri" w:cs="Calibri"/>
                <w:b w:val="0"/>
                <w:i w:val="0"/>
                <w:color w:val="1B1D21"/>
                <w:sz w:val="19"/>
              </w:rPr>
              <w:t>Signature: _______________________</w:t>
            </w:r>
          </w:p>
          <w:p>
            <w:pPr>
              <w:spacing w:before="0" w:after="0" w:line="240" w:lineRule="auto"/>
            </w:pPr>
            <w:r>
              <w:rPr>
                <w:rFonts w:ascii="Calibri" w:hAnsi="Calibri" w:eastAsia="Calibri" w:cs="Calibri"/>
                <w:b w:val="0"/>
                <w:i w:val="0"/>
                <w:color w:val="1B1D21"/>
                <w:sz w:val="19"/>
              </w:rPr>
              <w:t>Stamp (M.P.):</w:t>
            </w:r>
          </w:p>
        </w:tc>
        <w:tc>
          <w:tcPr>
            <w:tcW w:type="dxa" w:w="4819"/>
            <w:tcMar>
              <w:top w:w="55" w:type="dxa"/>
              <w:bottom w:w="55" w:type="dxa"/>
              <w:left w:w="100" w:type="dxa"/>
              <w:right w:w="250" w:type="dxa"/>
            </w:tcMar>
            <w:vAlign w:val="top"/>
          </w:tcPr>
          <w:p>
            <w:pPr>
              <w:spacing w:before="0" w:after="120" w:line="240" w:lineRule="auto"/>
            </w:pPr>
            <w:r/>
            <w:r>
              <w:rPr>
                <w:rFonts w:ascii="Consolas" w:hAnsi="Consolas" w:eastAsia="Consolas" w:cs="Consolas"/>
                <w:b/>
                <w:i w:val="0"/>
                <w:color w:val="D9691F"/>
                <w:sz w:val="20"/>
              </w:rPr>
              <w:t>CARRIER</w:t>
            </w:r>
          </w:p>
          <w:p>
            <w:pPr>
              <w:spacing w:before="0" w:after="240" w:line="240" w:lineRule="auto"/>
            </w:pPr>
            <w:r>
              <w:rPr>
                <w:rFonts w:ascii="Calibri" w:hAnsi="Calibri" w:eastAsia="Calibri" w:cs="Calibri"/>
                <w:b/>
                <w:i w:val="0"/>
                <w:color w:val="1B1D21"/>
                <w:sz w:val="19"/>
              </w:rPr>
              <w:t>{{carrier_name}}</w:t>
            </w:r>
          </w:p>
          <w:p>
            <w:pPr>
              <w:spacing w:before="0" w:after="120" w:line="240" w:lineRule="auto"/>
            </w:pPr>
            <w:r>
              <w:rPr>
                <w:rFonts w:ascii="Calibri" w:hAnsi="Calibri" w:eastAsia="Calibri" w:cs="Calibri"/>
                <w:b w:val="0"/>
                <w:i w:val="0"/>
                <w:color w:val="1B1D21"/>
                <w:sz w:val="19"/>
              </w:rPr>
              <w:t>Signature: _______________________</w:t>
            </w:r>
          </w:p>
          <w:p>
            <w:pPr>
              <w:spacing w:before="0" w:after="0" w:line="240" w:lineRule="auto"/>
            </w:pPr>
            <w:r>
              <w:rPr>
                <w:rFonts w:ascii="Calibri" w:hAnsi="Calibri" w:eastAsia="Calibri" w:cs="Calibri"/>
                <w:b w:val="0"/>
                <w:i w:val="0"/>
                <w:color w:val="1B1D21"/>
                <w:sz w:val="19"/>
              </w:rPr>
              <w:t>Stamp (M.P.):</w:t>
            </w:r>
          </w:p>
        </w:tc>
      </w:tr>
    </w:tbl>
    <w:sectPr w:rsidR="00FC693F" w:rsidRPr="0006063C" w:rsidSect="00034616">
      <w:headerReference w:type="default" r:id="rId9"/>
      <w:footerReference w:type="default" r:id="rId10"/>
      <w:headerReference w:type="first" r:id="rId11"/>
      <w:footerReference w:type="first" r:id="rId12"/>
      <w:pgSz w:w="11906" w:h="16838"/>
      <w:pgMar w:top="567" w:right="1134" w:bottom="850" w:left="1134" w:header="283"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6" w:color="CCCCCC"/>
      </w:pBdr>
    </w:pPr>
    <w:r/>
    <w:r>
      <w:rPr>
        <w:rFonts w:ascii="Consolas" w:hAnsi="Consolas"/>
        <w:b/>
        <w:color w:val="D9691F"/>
        <w:sz w:val="16"/>
      </w:rPr>
      <w:t>www.levavlogistics.workers.dev</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6" w:color="CCCCCC"/>
      </w:pBdr>
    </w:pPr>
    <w:r/>
    <w:r>
      <w:rPr>
        <w:rFonts w:ascii="Consolas" w:hAnsi="Consolas"/>
        <w:b/>
        <w:color w:val="D9691F"/>
        <w:sz w:val="16"/>
      </w:rPr>
      <w:t>www.levavlogistics.workers.dev</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80" w:line="240" w:lineRule="auto"/>
      <w:jc w:val="center"/>
    </w:pPr>
    <w:r>
      <w:drawing>
        <wp:inline xmlns:a="http://schemas.openxmlformats.org/drawingml/2006/main" xmlns:pic="http://schemas.openxmlformats.org/drawingml/2006/picture">
          <wp:extent cx="1129284" cy="35290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29284" cy="352901"/>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type="dxa" w:w="0"/>
        <w:right w:type="dxa" w:w="0"/>
      </w:tblCellMar>
    </w:tblPr>
    <w:tblGrid>
      <w:gridCol w:w="3315"/>
      <w:gridCol w:w="2220"/>
      <w:gridCol w:w="4103"/>
    </w:tblGrid>
    <w:tr>
      <w:tc>
        <w:tcPr>
          <w:tcW w:type="dxa" w:w="3315"/>
          <w:vAlign w:val="top"/>
        </w:tcPr>
        <w:p>
          <w:pPr>
            <w:spacing w:after="40" w:before="0"/>
            <w:jc w:val="left"/>
          </w:pPr>
          <w:r/>
          <w:r>
            <w:rPr>
              <w:rFonts w:ascii="Consolas" w:hAnsi="Consolas"/>
              <w:b/>
              <w:color w:val="D9691F"/>
              <w:sz w:val="13"/>
            </w:rPr>
            <w:t xml:space="preserve">Legal Address: </w:t>
          </w:r>
          <w:r>
            <w:rPr>
              <w:rFonts w:ascii="Calibri" w:hAnsi="Calibri"/>
              <w:color w:val="1B1D21"/>
              <w:sz w:val="18"/>
            </w:rPr>
            <w:t>RA, 0046, Yerevan, S. Tarontsi St. 3/1, Apt. 18</w:t>
          </w:r>
        </w:p>
        <w:p>
          <w:pPr>
            <w:spacing w:after="40" w:before="0"/>
            <w:jc w:val="left"/>
          </w:pPr>
          <w:r>
            <w:rPr>
              <w:rFonts w:ascii="Consolas" w:hAnsi="Consolas"/>
              <w:b/>
              <w:color w:val="D9691F"/>
              <w:sz w:val="13"/>
            </w:rPr>
            <w:t xml:space="preserve">TIN: </w:t>
          </w:r>
          <w:r>
            <w:rPr>
              <w:rFonts w:ascii="Calibri" w:hAnsi="Calibri"/>
              <w:color w:val="1B1D21"/>
              <w:sz w:val="18"/>
            </w:rPr>
            <w:t>02248043</w:t>
          </w:r>
        </w:p>
        <w:p>
          <w:pPr>
            <w:spacing w:after="40" w:before="0"/>
            <w:jc w:val="left"/>
          </w:pPr>
          <w:r>
            <w:rPr>
              <w:rFonts w:ascii="Consolas" w:hAnsi="Consolas"/>
              <w:b/>
              <w:color w:val="D9691F"/>
              <w:sz w:val="13"/>
            </w:rPr>
            <w:t xml:space="preserve">E-mail: </w:t>
          </w:r>
          <w:r>
            <w:rPr>
              <w:rFonts w:ascii="Calibri" w:hAnsi="Calibri"/>
              <w:color w:val="1B1D21"/>
              <w:sz w:val="18"/>
            </w:rPr>
            <w:t>levavlogistics@gmail.com</w:t>
          </w:r>
        </w:p>
        <w:p>
          <w:pPr>
            <w:spacing w:after="40" w:before="0"/>
            <w:jc w:val="left"/>
          </w:pPr>
          <w:r>
            <w:rPr>
              <w:rFonts w:ascii="Consolas" w:hAnsi="Consolas"/>
              <w:b/>
              <w:color w:val="D9691F"/>
              <w:sz w:val="13"/>
            </w:rPr>
            <w:t xml:space="preserve">Website: </w:t>
          </w:r>
          <w:r>
            <w:rPr>
              <w:rFonts w:ascii="Calibri" w:hAnsi="Calibri"/>
              <w:color w:val="1B1D21"/>
              <w:sz w:val="18"/>
            </w:rPr>
            <w:t>www.levavlogistics.workers.dev</w:t>
          </w:r>
        </w:p>
      </w:tc>
      <w:tc>
        <w:tcPr>
          <w:tcW w:type="dxa" w:w="2220"/>
          <w:vAlign w:val="top"/>
        </w:tcPr>
        <w:p>
          <w:pPr>
            <w:jc w:val="center"/>
          </w:pPr>
          <w:r/>
          <w:r>
            <w:drawing>
              <wp:inline xmlns:a="http://schemas.openxmlformats.org/drawingml/2006/main" xmlns:pic="http://schemas.openxmlformats.org/drawingml/2006/picture">
                <wp:extent cx="1310400" cy="4095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10400" cy="409500"/>
                        </a:xfrm>
                        <a:prstGeom prst="rect"/>
                      </pic:spPr>
                    </pic:pic>
                  </a:graphicData>
                </a:graphic>
              </wp:inline>
            </w:drawing>
          </w:r>
        </w:p>
        <w:p>
          <w:pPr>
            <w:spacing w:before="40"/>
            <w:jc w:val="center"/>
          </w:pPr>
          <w:r>
            <w:rPr>
              <w:rFonts w:ascii="Arial" w:hAnsi="Arial"/>
              <w:b/>
              <w:color w:val="1B1D21"/>
              <w:sz w:val="15"/>
            </w:rPr>
            <w:t>LEV&amp;AV LLC (ООО «ЛЕВ ЭНД АВ»)</w:t>
          </w:r>
        </w:p>
      </w:tc>
      <w:tc>
        <w:tcPr>
          <w:tcW w:type="dxa" w:w="4103"/>
          <w:vAlign w:val="top"/>
        </w:tcPr>
        <w:p>
          <w:pPr>
            <w:spacing w:after="40" w:before="0"/>
            <w:jc w:val="right"/>
          </w:pPr>
          <w:r/>
          <w:r>
            <w:rPr>
              <w:rFonts w:ascii="Consolas" w:hAnsi="Consolas"/>
              <w:b/>
              <w:color w:val="D9691F"/>
              <w:sz w:val="13"/>
            </w:rPr>
            <w:t xml:space="preserve">Director: </w:t>
          </w:r>
          <w:r>
            <w:rPr>
              <w:rFonts w:ascii="Calibri" w:hAnsi="Calibri"/>
              <w:color w:val="1B1D21"/>
              <w:sz w:val="18"/>
            </w:rPr>
            <w:t>+374 94 902007</w:t>
          </w:r>
        </w:p>
        <w:p>
          <w:pPr>
            <w:spacing w:after="40" w:before="0"/>
            <w:jc w:val="right"/>
          </w:pPr>
          <w:r>
            <w:rPr>
              <w:rFonts w:ascii="Consolas" w:hAnsi="Consolas"/>
              <w:b/>
              <w:color w:val="D9691F"/>
              <w:sz w:val="13"/>
            </w:rPr>
            <w:t xml:space="preserve">Sales Dept.: </w:t>
          </w:r>
          <w:r>
            <w:rPr>
              <w:rFonts w:ascii="Calibri" w:hAnsi="Calibri"/>
              <w:color w:val="1B1D21"/>
              <w:sz w:val="18"/>
            </w:rPr>
            <w:t>+374 99 902007</w:t>
          </w:r>
        </w:p>
        <w:p>
          <w:pPr>
            <w:spacing w:after="40" w:before="0"/>
            <w:jc w:val="right"/>
          </w:pPr>
          <w:r>
            <w:rPr>
              <w:rFonts w:ascii="Consolas" w:hAnsi="Consolas"/>
              <w:b/>
              <w:color w:val="D9691F"/>
              <w:sz w:val="13"/>
            </w:rPr>
            <w:t xml:space="preserve">Backup Lines: </w:t>
          </w:r>
          <w:r>
            <w:rPr>
              <w:rFonts w:ascii="Calibri" w:hAnsi="Calibri"/>
              <w:color w:val="1B1D21"/>
              <w:sz w:val="18"/>
            </w:rPr>
            <w:t>+374 55 902007 / +374 95 902007</w:t>
          </w:r>
        </w:p>
      </w:tc>
    </w:tr>
  </w:tbl>
  <w:p>
    <w:pPr>
      <w:spacing w:before="100" w:after="80"/>
      <w:pBdr>
        <w:top w:val="single" w:sz="16" w:space="1" w:color="D9691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