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40" w:lineRule="auto"/>
        <w:jc w:val="center"/>
      </w:pPr>
      <w:r>
        <w:rPr>
          <w:rFonts w:ascii="Segoe UI" w:hAnsi="Segoe UI" w:eastAsia="Segoe UI" w:cs="Segoe UI"/>
          <w:b/>
          <w:i w:val="0"/>
          <w:color w:val="D9691F"/>
          <w:sz w:val="28"/>
        </w:rPr>
        <w:t>ԲԵՌՆԱՓՈԽԱԴՐՄԱՆ ՀԱՅՏ-ՊԱՅՄԱՆԱԳԻՐ</w:t>
      </w:r>
    </w:p>
    <w:p>
      <w:pPr>
        <w:spacing w:before="0" w:after="160" w:line="240" w:lineRule="auto"/>
        <w:jc w:val="center"/>
      </w:pPr>
      <w:r>
        <w:rPr>
          <w:rFonts w:ascii="Segoe UI" w:hAnsi="Segoe UI" w:eastAsia="Segoe UI" w:cs="Segoe UI"/>
          <w:b/>
          <w:i w:val="0"/>
          <w:color w:val="1B1D21"/>
          <w:sz w:val="21"/>
        </w:rPr>
        <w:t>Թիվ {{application_number}}, {{application_date}}</w:t>
      </w:r>
    </w:p>
    <w:p>
      <w:pPr>
        <w:spacing w:before="0" w:after="160" w:line="240" w:lineRule="auto"/>
        <w:pBdr>
          <w:bottom w:val="single" w:sz="8" w:space="1" w:color="D9691F"/>
        </w:pBdr>
      </w:pPr>
    </w:p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ԿՈՂՄԵՐ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20"/>
              </w:rPr>
              <w:t>ՊԱՏՎԻՐԱՏՈՒ</w:t>
            </w:r>
          </w:p>
        </w:tc>
        <w:tc>
          <w:tcPr>
            <w:tcW w:type="dxa" w:w="4819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20"/>
              </w:rPr>
              <w:t>ՓՈԽԱԴՐՈՂ</w:t>
            </w:r>
          </w:p>
        </w:tc>
      </w:tr>
      <w:tr>
        <w:trPr>
          <w:cantSplit/>
        </w:trPr>
        <w:tc>
          <w:tcPr>
            <w:tcW w:type="dxa" w:w="4819"/>
            <w:tcMar>
              <w:top w:w="50" w:type="dxa"/>
              <w:bottom w:w="50" w:type="dxa"/>
              <w:left w:w="110" w:type="dxa"/>
              <w:right w:w="110" w:type="dxa"/>
            </w:tcMar>
            <w:vAlign w:val="top"/>
          </w:tcPr>
          <w:p>
            <w:pPr>
              <w:spacing w:before="0" w:after="4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1B1D21"/>
                <w:sz w:val="19"/>
              </w:rPr>
              <w:t>«ԼԵՎ ԸՆԴ ԱՎ» ՍՊԸ (LEV&amp;AV LLC)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Իրավաբանական հասցե: ՀՀ, 0046, ք. Երևան, Ս. Տարոնցու փող. 3/1, բն. 18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ՀՎՀՀ: {{company_inn}}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Էլ. փոստ: levavlogistics@gmail.com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Հեռ.: {{company_phone}}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D9691F"/>
                <w:sz w:val="19"/>
              </w:rPr>
              <w:t>Պատասխանատու մենեջեր՝ {{issued_by}}</w:t>
            </w:r>
          </w:p>
        </w:tc>
        <w:tc>
          <w:tcPr>
            <w:tcW w:type="dxa" w:w="4819"/>
            <w:tcMar>
              <w:top w:w="50" w:type="dxa"/>
              <w:bottom w:w="50" w:type="dxa"/>
              <w:left w:w="110" w:type="dxa"/>
              <w:right w:w="110" w:type="dxa"/>
            </w:tcMar>
            <w:vAlign w:val="top"/>
          </w:tcPr>
          <w:p>
            <w:pPr>
              <w:spacing w:before="0" w:after="4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1B1D21"/>
                <w:sz w:val="19"/>
              </w:rPr>
              <w:t>{{carrier_name}}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Հասցե՝ {{carrier_address}}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ՀՎՀՀ՝ {{carrier_tin}}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Հեռ.՝ {{carrier_phone}}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Կոնտակտային անձ՝ {{carrier_contact_person}}</w:t>
            </w:r>
          </w:p>
        </w:tc>
      </w:tr>
    </w:tbl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ԵՐԹՈՒՂԻ ԵՎ ԺԱՄԿԵՏՆԵՐ</w:t>
      </w:r>
    </w:p>
    <w:p>
      <w:pPr>
        <w:spacing w:before="40" w:after="100" w:line="240" w:lineRule="auto"/>
      </w:pPr>
      <w:r>
        <w:rPr>
          <w:rFonts w:ascii="Segoe UI" w:hAnsi="Segoe UI" w:eastAsia="Segoe UI" w:cs="Segoe UI"/>
          <w:b w:val="0"/>
          <w:i w:val="0"/>
          <w:color w:val="1B1D21"/>
          <w:sz w:val="20"/>
        </w:rPr>
        <w:t>Երթուղի՝ {{route}}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300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8"/>
              </w:rPr>
            </w:r>
          </w:p>
        </w:tc>
        <w:tc>
          <w:tcPr>
            <w:tcW w:type="dxa" w:w="3238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8"/>
              </w:rPr>
              <w:t>Հասցե</w:t>
            </w:r>
          </w:p>
        </w:tc>
        <w:tc>
          <w:tcPr>
            <w:tcW w:type="dxa" w:w="1500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8"/>
              </w:rPr>
              <w:t>Ամսաթիվ</w:t>
            </w:r>
          </w:p>
        </w:tc>
        <w:tc>
          <w:tcPr>
            <w:tcW w:type="dxa" w:w="1300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8"/>
              </w:rPr>
              <w:t>Ժամ</w:t>
            </w:r>
          </w:p>
        </w:tc>
        <w:tc>
          <w:tcPr>
            <w:tcW w:type="dxa" w:w="2300"/>
            <w:tcMar>
              <w:top w:w="18" w:type="dxa"/>
              <w:bottom w:w="1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8"/>
              </w:rPr>
              <w:t>Կոնտակտային անձ</w:t>
            </w:r>
          </w:p>
        </w:tc>
      </w:tr>
      <w:tr>
        <w:trPr>
          <w:cantSplit/>
        </w:trPr>
        <w:tc>
          <w:tcPr>
            <w:tcW w:type="dxa" w:w="13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Բարձում</w:t>
            </w:r>
          </w:p>
        </w:tc>
        <w:tc>
          <w:tcPr>
            <w:tcW w:type="dxa" w:w="32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{{loading_place}}</w:t>
            </w:r>
          </w:p>
        </w:tc>
        <w:tc>
          <w:tcPr>
            <w:tcW w:type="dxa" w:w="15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{{loading_date}}</w:t>
            </w:r>
          </w:p>
        </w:tc>
        <w:tc>
          <w:tcPr>
            <w:tcW w:type="dxa" w:w="13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{{loading_time}}</w:t>
            </w:r>
          </w:p>
        </w:tc>
        <w:tc>
          <w:tcPr>
            <w:tcW w:type="dxa" w:w="23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{{loading_contact}}</w:t>
            </w:r>
          </w:p>
        </w:tc>
      </w:tr>
      <w:tr>
        <w:trPr>
          <w:cantSplit/>
        </w:trPr>
        <w:tc>
          <w:tcPr>
            <w:tcW w:type="dxa" w:w="13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Բեռնաթափում</w:t>
            </w:r>
          </w:p>
        </w:tc>
        <w:tc>
          <w:tcPr>
            <w:tcW w:type="dxa" w:w="32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{{unloading_place}}</w:t>
            </w:r>
          </w:p>
        </w:tc>
        <w:tc>
          <w:tcPr>
            <w:tcW w:type="dxa" w:w="15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{{unloading_date}}</w:t>
            </w:r>
          </w:p>
        </w:tc>
        <w:tc>
          <w:tcPr>
            <w:tcW w:type="dxa" w:w="13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{{unloading_time}}</w:t>
            </w:r>
          </w:p>
        </w:tc>
        <w:tc>
          <w:tcPr>
            <w:tcW w:type="dxa" w:w="23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{{unloading_contact}}</w:t>
            </w:r>
          </w:p>
        </w:tc>
      </w:tr>
    </w:tbl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ԲԵՌ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Բեռի անվանում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{{cargo}}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Քաշ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{{weight}}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Ծավալ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{{volume}}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Փաթեթավորման տեսակ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{{packaging_type}}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Տեղերի քանակ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{{places_count}}</w:t>
            </w:r>
          </w:p>
        </w:tc>
      </w:tr>
    </w:tbl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ՏՐԱՆՍՊՈՐՏ ԵՎ ՎԱՐՈՐԴ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Ավտոմեքենայի տեսակ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{{vehicle_type}}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Հաշվառման համարանիշ (քարշակ)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{{vehicle_number}}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Հաշվառման համարանիշ (կիսակցորդ)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{{trailer_number}}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Վարորդ (անուն ազգանուն)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{{driver}}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Վարորդի հեռախոս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{{driver_phone}}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Վարորդի անձնագրային տվյալներ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{{driver_passport}}</w:t>
            </w:r>
          </w:p>
        </w:tc>
      </w:tr>
    </w:tbl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ՖԻՆԱՆՍԱԿԱՆ ՊԱՅՄԱՆՆԵՐ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Փոխադրման արժեք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{{freight_price}}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Արժույթ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{{currency}}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Վճարման պայմաններ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{{payment_terms}}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Փոխադրողի հաշվեհամարը (հ/հ)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{{carrier_bank_account}}</w:t>
            </w:r>
          </w:p>
        </w:tc>
      </w:tr>
      <w:tr>
        <w:trPr>
          <w:cantSplit/>
        </w:trPr>
        <w:tc>
          <w:tcPr>
            <w:tcW w:type="dxa" w:w="3000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19"/>
              </w:rPr>
              <w:t>Վճարման ռեկվիզիտներ (Փոխադրողի բանկային տվյալներ)</w:t>
            </w:r>
          </w:p>
        </w:tc>
        <w:tc>
          <w:tcPr>
            <w:tcW w:type="dxa" w:w="6638"/>
            <w:tcMar>
              <w:top w:w="18" w:type="dxa"/>
              <w:bottom w:w="1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20"/>
              </w:rPr>
              <w:t>{{carrier_requisites}}</w:t>
            </w:r>
          </w:p>
        </w:tc>
      </w:tr>
    </w:tbl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ԼՐԱՑՈՒՑԻՉ ՊԱՅՄԱՆՆԵՐ ԵՎ ԾԱՆՈԹԱԳՐՈՒԹՅՈՒՆՆԵՐ</w:t>
      </w:r>
    </w:p>
    <w:p>
      <w:pPr>
        <w:spacing w:before="80" w:after="20" w:line="240" w:lineRule="auto"/>
      </w:pPr>
      <w:r>
        <w:rPr>
          <w:rFonts w:ascii="Segoe UI" w:hAnsi="Segoe UI" w:eastAsia="Segoe UI" w:cs="Segoe UI"/>
          <w:b/>
          <w:i w:val="0"/>
          <w:color w:val="D9691F"/>
          <w:sz w:val="19"/>
        </w:rPr>
        <w:t>Լրացուցիչ պայմաններ՝</w:t>
      </w:r>
    </w:p>
    <w:p>
      <w:pPr>
        <w:spacing w:before="0" w:after="20" w:line="240" w:lineRule="auto"/>
      </w:pPr>
      <w:r>
        <w:rPr>
          <w:rFonts w:ascii="Segoe UI" w:hAnsi="Segoe UI" w:eastAsia="Segoe UI" w:cs="Segoe UI"/>
          <w:b w:val="0"/>
          <w:i w:val="0"/>
          <w:color w:val="1B1D21"/>
          <w:sz w:val="20"/>
        </w:rPr>
        <w:t>{{additional_terms}}</w:t>
      </w:r>
    </w:p>
    <w:p>
      <w:pPr>
        <w:spacing w:before="80" w:after="20" w:line="240" w:lineRule="auto"/>
      </w:pPr>
      <w:r>
        <w:rPr>
          <w:rFonts w:ascii="Segoe UI" w:hAnsi="Segoe UI" w:eastAsia="Segoe UI" w:cs="Segoe UI"/>
          <w:b/>
          <w:i w:val="0"/>
          <w:color w:val="D9691F"/>
          <w:sz w:val="19"/>
        </w:rPr>
        <w:t>Ծանոթագրություններ՝</w:t>
      </w:r>
    </w:p>
    <w:p>
      <w:pPr>
        <w:spacing w:before="0" w:after="20" w:line="240" w:lineRule="auto"/>
      </w:pPr>
      <w:r>
        <w:rPr>
          <w:rFonts w:ascii="Segoe UI" w:hAnsi="Segoe UI" w:eastAsia="Segoe UI" w:cs="Segoe UI"/>
          <w:b w:val="0"/>
          <w:i w:val="0"/>
          <w:color w:val="1B1D21"/>
          <w:sz w:val="20"/>
        </w:rPr>
        <w:t>{{notes}}</w:t>
      </w:r>
    </w:p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ՓՈԽԱԴՐՄԱՆ ՊԱՅՄԱՆՆԵՐ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Փոխադրման առարկա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Փոխադրողը պարտավորվում է ընդունել բեռը սահմանված բարձման վայրում և առաքել այն սահմանված բեռնաթափման վայր՝ սույն հայտի պայմաններին համապատասխան: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2.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Տրանսպորտային միջոց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Փոխադրողը տրամադրում է տեխնիկապես սարքին տրանսպորտային միջոց, որը համապատասխանում է փոխադրվող բեռի բնույթին, ծավալին, քաշին և պահանջներին: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3.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Ավտոմեքենայի ներկայացում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Փոխադրողը պարտավոր է ժամանակին ներկայացնել տրանսպորտային միջոցը բարձման՝ համաձայնեցված ամսաթվին և ժամին: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4.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Բարձում և բեռնաթափում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Բարձումը և բեռնաթափումն իրականացվում են սույն հայտում նշված վայրերում: Բարձման աշխատանքների համար հատկացվում է 48 ժամ, բեռնաթափման աշխատանքների համար՝ 48 ժամ: Ավտոմեքենայի ներկայացման, բարձման և բեռնաթափման ժամանակը ամրագրվում է Փոխադրողի կողմից փոխադրման փաստաթղթերում: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5.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Բեռի փաստաթղթեր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Պատվիրատուն տրամադրում է Փոխադրողին փոխադրման, մաքսային ձևակերպման և սահմանային ընթացակարգերի իրականացման համար անհրաժեշտ փաստաթղթերն ու տվյալները: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6.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Բեռի համար պատասխանատվություն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Բեռն ընդունելու պահից մինչև այն ստացողին հանձնելը Փոխադրողը կրում է պատասխանատվություն բեռի պահպանության համար՝ կիրառելի օրենսդրությանը և փոխադրման պայմաններին համապատասխան: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7.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Կապարակնիք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Կապարակնիքի առկայության դեպքում Փոխադրողը պարտավոր է ստուգել դրա ամբողջականությունը բեռն ընդունելիս և բեռնաթափելիս: Կապարակնիքի խախտումը կամ վնասումը պետք է անհապաղ արձանագրվի: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8.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Մաքսային ձևակերպում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Կողմերն իրականացնում են մաքսային և այլ պարտադիր ընթացակարգեր՝ սույն հայտում նշված պարտականությունների բաշխմանը համապատասխան: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9.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Երթուղի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Փոխադրումն իրականացվում է համաձայնեցված երթուղով՝ հաշվի առնելով երթուղու երկրների օրենսդրության պահանջները: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10.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Երթուղու փոփոխություն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Փոխադրման արժեքի կամ ժամկետների վրա ազդող երթուղու էական փոփոխությունը նախապես համաձայնեցվում է Կողմերի միջև: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11.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Պարապուրդ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Բարձման/բեռնաթափման նորմատիվ ժամանակը կազմում է {{free_time_hours}} ժամ: Սահմանված ժամանակից ավել պարապուրդը վճարվում է {{demurrage_rate}} դրույքաչափով՝ յուրաքանչյուր հաջորդ օրվա/ժամվա համար, եթե հայտում այլ բան նշված չէ: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12.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Փոխադրման վճարում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Փոխադրման արժեքը, հաշվարկի արժույթը և վճարման կարգը նշվում են սույն հայտում: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13.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Լրացուցիչ ծախսեր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Վճարովի ճանապարհների, լաստանավերի, թույլտվությունների, տարանցիկ փաստաթղթերի, մաքսային ընթացակարգերի և այլ ծախսերը վճարվում են այն Կողմի կողմից, որին դրանք վերապահված են սույն հայտով: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14.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Չհամաձայնեցված լրացուցիչ ծախսեր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Փոխադրողը իրավունք չունի Պատվիրատուին ներկայացնել լրացուցիչ ծախսեր, որոնք նախապես համաձայնեցված չեն Պատվիրատուի հետ, բացառությամբ այն ծախսերի, որոնք ուղղակիորեն նախատեսված են սույն հայտով կամ պարտադիր են օրենքով: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15.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Առաքման ժամկետ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Փոխադրողը պարտավոր է առաքել բեռը համաձայնեցված ժամկետում՝ հաշվի առնելով ճանապարհային, սահմանային, մաքսային և այլ փաստացի իրավիճակը: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16.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Ուշացումներ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Ժամանակին փոխադրմանը խոչընդոտող հանգամանքների առաջացման դեպքում Փոխադրողը պարտավոր է անհապաղ տեղեկացնել Պատվիրատուին և տրամադրել տեղեկատվություն տրանսպորտային միջոցի գտնվելու վայրի և ուշացման պատճառի մասին: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17.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Կապ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Վարորդը պարտավոր է հասանելի լինել դիսպետչերի/Պատվիրատուի հետ կապի համար ողջ փոխադրման ընթացքում: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18.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Լուսանկարային ֆիքսում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Պատվիրատուի պահանջով Փոխադրողը տրամադրում է բեռի, բարձման գործընթացի, կապարակնիքների և փոխադրման փաստաթղթերի լուսանկարներ: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19.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Վթար կամ բեռի վնասում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Ավտովթարի, բեռի վնասման, կորստի կամ այլ արտակարգ իրավիճակների դեպքում Փոխադրողը պարտավոր է անհապաղ տեղեկացնել Պատվիրատուին և ձեռնարկել անհրաժեշտ միջոցներ բեռի պահպանման և դեպքի փաստագրման համար: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20.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Փաստաթղթերի հանձնում բեռնաթափումից հետո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Փոխադրման ավարտից հետո Փոխադրողը պարտավոր է Պատվիրատուին տրամադրել ստորագրված փոխադրման և այլ փաստաթղթեր, որոնք հաստատում են փոխադրման կատարումը: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21.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Էլեկտրոնային փաստաթղթեր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Կողմերը թույլատրելի են համարում փաստաթղթերի էլեկտրոնային փոխանակումը, եթե դա չի հակասում օրենսդրության պահանջներին կամ կոնկրետ փոխադրման պայմաններին: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22.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Կողմերի պատասխանատվություն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Պարտավորությունների չկատարման կամ ոչ պատշաճ կատարման համար Կողմերը պատասխանատվություն են կրում սույն հայտին, պայմանագրին և կիրառելի օրենսդրությանը համապատասխան: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23.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Անհաղթահարելի ուժ (ֆորս-մաժոր)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Կողմերն ազատվում են պարտավորությունների չկատարման համար պատասխանատվությունից, եթե այն առաջացել է անհաղթահարելի ուժի հանգամանքներից, որոնք Կողմերը չէին կարող ողջամտորեն կանխատեսել կամ կանխարգելել:</w:t>
      </w:r>
    </w:p>
    <w:p>
      <w:pPr>
        <w:spacing w:before="0" w:after="10" w:line="240" w:lineRule="auto"/>
      </w:pPr>
      <w:r>
        <w:rPr>
          <w:rFonts w:ascii="Segoe UI" w:hAnsi="Segoe UI" w:eastAsia="Segoe UI" w:cs="Segoe UI"/>
          <w:b/>
          <w:i w:val="0"/>
          <w:color w:val="555555"/>
          <w:sz w:val="13"/>
        </w:rPr>
        <w:t xml:space="preserve">24. </w:t>
      </w:r>
      <w:r>
        <w:rPr>
          <w:rFonts w:ascii="Segoe UI" w:hAnsi="Segoe UI" w:eastAsia="Segoe UI" w:cs="Segoe UI"/>
          <w:b/>
          <w:i w:val="0"/>
          <w:color w:val="1B1D21"/>
          <w:sz w:val="13"/>
        </w:rPr>
        <w:t xml:space="preserve">Հատուկ պայմաններ — </w:t>
      </w:r>
      <w:r>
        <w:rPr>
          <w:rFonts w:ascii="Segoe UI" w:hAnsi="Segoe UI" w:eastAsia="Segoe UI" w:cs="Segoe UI"/>
          <w:b w:val="0"/>
          <w:i w:val="0"/>
          <w:color w:val="555555"/>
          <w:sz w:val="13"/>
        </w:rPr>
        <w:t>Կոնկրետ փոխադրման լրացուցիչ պայմանները նշվում են սույն հայտի «Լրացուցիչ պայմաններ» բաժնում և առաջնահերթություն ունեն տվյալ փոխադրման համար:</w:t>
      </w:r>
    </w:p>
    <w:p>
      <w:pPr>
        <w:keepNext/>
        <w:spacing w:before="120" w:after="30" w:line="240" w:lineRule="auto"/>
        <w:pBdr>
          <w:bottom w:val="single" w:sz="6" w:space="2" w:color="D9691F"/>
        </w:pBdr>
      </w:pPr>
      <w:r>
        <w:rPr>
          <w:rFonts w:ascii="Segoe UI" w:hAnsi="Segoe UI" w:eastAsia="Segoe UI" w:cs="Segoe UI"/>
          <w:b/>
          <w:i w:val="0"/>
          <w:color w:val="D9691F"/>
          <w:sz w:val="21"/>
        </w:rPr>
        <w:t>ԿՈՂՄԵՐԻ ՍՏՈՐԱԳՐՈՒԹՅՈՒՆՆԵՐ</w:t>
      </w:r>
    </w:p>
    <w:p>
      <w:pPr>
        <w:keepNext/>
        <w:spacing w:before="80" w:after="0" w:line="240" w:lineRule="auto"/>
      </w:pPr>
    </w:p>
    <w:tbl>
      <w:tblPr>
        <w:tblW w:type="auto" w:w="0"/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55" w:type="dxa"/>
              <w:bottom w:w="55" w:type="dxa"/>
              <w:left w:w="100" w:type="dxa"/>
              <w:right w:w="250" w:type="dxa"/>
            </w:tcMar>
            <w:vAlign w:val="top"/>
          </w:tcPr>
          <w:p>
            <w:pPr>
              <w:spacing w:before="0" w:after="12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20"/>
              </w:rPr>
              <w:t>ՊԱՏՎԻՐԱՏՈՒ</w:t>
            </w:r>
          </w:p>
          <w:p>
            <w:pPr>
              <w:spacing w:before="0" w:after="40" w:line="240" w:lineRule="auto"/>
            </w:pPr>
            <w:r>
              <w:rPr>
                <w:rFonts w:ascii="Segoe UI" w:hAnsi="Segoe UI" w:eastAsia="Segoe UI" w:cs="Segoe UI"/>
                <w:b/>
                <w:i w:val="0"/>
                <w:color w:val="1B1D21"/>
                <w:sz w:val="19"/>
              </w:rPr>
              <w:t>«ԼԵՎ ԸՆԴ ԱՎ» ՍՊԸ</w:t>
            </w:r>
          </w:p>
          <w:p>
            <w:pPr>
              <w:spacing w:before="0" w:after="20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{{issued_by}}</w:t>
            </w:r>
          </w:p>
          <w:p>
            <w:pPr>
              <w:spacing w:before="0" w:after="12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Ստորագրություն՝ 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Կնիք (Կ.Տ.)՝</w:t>
            </w:r>
          </w:p>
        </w:tc>
        <w:tc>
          <w:tcPr>
            <w:tcW w:type="dxa" w:w="4819"/>
            <w:tcMar>
              <w:top w:w="55" w:type="dxa"/>
              <w:bottom w:w="55" w:type="dxa"/>
              <w:left w:w="100" w:type="dxa"/>
              <w:right w:w="250" w:type="dxa"/>
            </w:tcMar>
            <w:vAlign w:val="top"/>
          </w:tcPr>
          <w:p>
            <w:pPr>
              <w:spacing w:before="0" w:after="120" w:line="240" w:lineRule="auto"/>
            </w:pPr>
            <w:r/>
            <w:r>
              <w:rPr>
                <w:rFonts w:ascii="Segoe UI" w:hAnsi="Segoe UI" w:eastAsia="Segoe UI" w:cs="Segoe UI"/>
                <w:b/>
                <w:i w:val="0"/>
                <w:color w:val="D9691F"/>
                <w:sz w:val="20"/>
              </w:rPr>
              <w:t>ՓՈԽԱԴՐՈՂ</w:t>
            </w:r>
          </w:p>
          <w:p>
            <w:pPr>
              <w:spacing w:before="0" w:after="240" w:line="240" w:lineRule="auto"/>
            </w:pPr>
            <w:r>
              <w:rPr>
                <w:rFonts w:ascii="Segoe UI" w:hAnsi="Segoe UI" w:eastAsia="Segoe UI" w:cs="Segoe UI"/>
                <w:b/>
                <w:i w:val="0"/>
                <w:color w:val="1B1D21"/>
                <w:sz w:val="19"/>
              </w:rPr>
              <w:t>{{carrier_name}}</w:t>
            </w:r>
          </w:p>
          <w:p>
            <w:pPr>
              <w:spacing w:before="0" w:after="12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Ստորագրություն՝ 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Segoe UI" w:hAnsi="Segoe UI" w:eastAsia="Segoe UI" w:cs="Segoe UI"/>
                <w:b w:val="0"/>
                <w:i w:val="0"/>
                <w:color w:val="1B1D21"/>
                <w:sz w:val="19"/>
              </w:rPr>
              <w:t>Կնիք (Կ.Տ.)՝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567" w:right="1134" w:bottom="850" w:left="1134" w:header="283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CCCCC"/>
      </w:pBdr>
    </w:pPr>
    <w:r/>
    <w:r>
      <w:rPr>
        <w:rFonts w:ascii="Segoe UI" w:hAnsi="Segoe UI"/>
        <w:b/>
        <w:color w:val="D9691F"/>
        <w:sz w:val="16"/>
      </w:rPr>
      <w:t>www.levavlogistics.workers.dev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CCCCC"/>
      </w:pBdr>
    </w:pPr>
    <w:r/>
    <w:r>
      <w:rPr>
        <w:rFonts w:ascii="Segoe UI" w:hAnsi="Segoe UI"/>
        <w:b/>
        <w:color w:val="D9691F"/>
        <w:sz w:val="16"/>
      </w:rPr>
      <w:t>www.levavlogistics.workers.dev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8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868680" cy="27146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8680" cy="271462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515"/>
      <w:gridCol w:w="1701"/>
      <w:gridCol w:w="4422"/>
    </w:tblGrid>
    <w:tr>
      <w:tc>
        <w:tcPr>
          <w:tcW w:type="dxa" w:w="3515"/>
          <w:vAlign w:val="top"/>
        </w:tcPr>
        <w:p>
          <w:pPr>
            <w:spacing w:after="40" w:before="0"/>
            <w:jc w:val="left"/>
          </w:pPr>
          <w:r/>
          <w:r>
            <w:rPr>
              <w:rFonts w:ascii="Segoe UI" w:hAnsi="Segoe UI"/>
              <w:b/>
              <w:color w:val="D9691F"/>
              <w:sz w:val="13"/>
            </w:rPr>
            <w:t xml:space="preserve">Իրավաբանական հասցե: </w:t>
          </w:r>
          <w:r>
            <w:rPr>
              <w:rFonts w:ascii="Segoe UI" w:hAnsi="Segoe UI"/>
              <w:color w:val="1B1D21"/>
              <w:sz w:val="18"/>
            </w:rPr>
            <w:t>ՀՀ, 0046, ք. Երևան, Ս. Տարոնցու փող. 3/1, բն. 18</w:t>
          </w:r>
        </w:p>
        <w:p>
          <w:pPr>
            <w:spacing w:after="40" w:before="0"/>
            <w:jc w:val="left"/>
          </w:pPr>
          <w:r>
            <w:rPr>
              <w:rFonts w:ascii="Segoe UI" w:hAnsi="Segoe UI"/>
              <w:b/>
              <w:color w:val="D9691F"/>
              <w:sz w:val="13"/>
            </w:rPr>
            <w:t xml:space="preserve">ՀՎՀՀ: </w:t>
          </w:r>
          <w:r>
            <w:rPr>
              <w:rFonts w:ascii="Segoe UI" w:hAnsi="Segoe UI"/>
              <w:color w:val="1B1D21"/>
              <w:sz w:val="18"/>
            </w:rPr>
            <w:t>02248043</w:t>
          </w:r>
        </w:p>
        <w:p>
          <w:pPr>
            <w:spacing w:after="40" w:before="0"/>
            <w:jc w:val="left"/>
          </w:pPr>
          <w:r>
            <w:rPr>
              <w:rFonts w:ascii="Segoe UI" w:hAnsi="Segoe UI"/>
              <w:b/>
              <w:color w:val="D9691F"/>
              <w:sz w:val="13"/>
            </w:rPr>
            <w:t xml:space="preserve">Էլ. փոստ: </w:t>
          </w:r>
          <w:r>
            <w:rPr>
              <w:rFonts w:ascii="Segoe UI" w:hAnsi="Segoe UI"/>
              <w:color w:val="1B1D21"/>
              <w:sz w:val="18"/>
            </w:rPr>
            <w:t>levavlogistics@gmail.com</w:t>
          </w:r>
        </w:p>
        <w:p>
          <w:pPr>
            <w:spacing w:after="40" w:before="0"/>
            <w:jc w:val="left"/>
          </w:pPr>
          <w:r>
            <w:rPr>
              <w:rFonts w:ascii="Segoe UI" w:hAnsi="Segoe UI"/>
              <w:b/>
              <w:color w:val="D9691F"/>
              <w:sz w:val="13"/>
            </w:rPr>
            <w:t xml:space="preserve">Կայք: </w:t>
          </w:r>
          <w:r>
            <w:rPr>
              <w:rFonts w:ascii="Segoe UI" w:hAnsi="Segoe UI"/>
              <w:color w:val="1B1D21"/>
              <w:sz w:val="18"/>
            </w:rPr>
            <w:t>www.levavlogistics.workers.dev</w:t>
          </w:r>
        </w:p>
      </w:tc>
      <w:tc>
        <w:tcPr>
          <w:tcW w:type="dxa" w:w="1701"/>
          <w:vAlign w:val="top"/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07999" cy="315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315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spacing w:before="40"/>
            <w:jc w:val="center"/>
          </w:pPr>
          <w:r>
            <w:rPr>
              <w:rFonts w:ascii="Segoe UI" w:hAnsi="Segoe UI"/>
              <w:b/>
              <w:color w:val="1B1D21"/>
              <w:sz w:val="15"/>
            </w:rPr>
            <w:t>«ԼԵՎ ԸՆԴ ԱՎ» ՍՊԸ (LEV&amp;AV LLC)</w:t>
          </w:r>
        </w:p>
      </w:tc>
      <w:tc>
        <w:tcPr>
          <w:tcW w:type="dxa" w:w="4422"/>
          <w:vAlign w:val="top"/>
        </w:tcPr>
        <w:p>
          <w:pPr>
            <w:spacing w:after="40" w:before="0"/>
            <w:jc w:val="right"/>
          </w:pPr>
          <w:r/>
          <w:r>
            <w:rPr>
              <w:rFonts w:ascii="Segoe UI" w:hAnsi="Segoe UI"/>
              <w:b/>
              <w:color w:val="D9691F"/>
              <w:sz w:val="13"/>
            </w:rPr>
            <w:t xml:space="preserve">Տնօրեն: </w:t>
          </w:r>
          <w:r>
            <w:rPr>
              <w:rFonts w:ascii="Segoe UI" w:hAnsi="Segoe UI"/>
              <w:color w:val="1B1D21"/>
              <w:sz w:val="18"/>
            </w:rPr>
            <w:t>+374 94 902007</w:t>
          </w:r>
        </w:p>
        <w:p>
          <w:pPr>
            <w:spacing w:after="40" w:before="0"/>
            <w:jc w:val="right"/>
          </w:pPr>
          <w:r>
            <w:rPr>
              <w:rFonts w:ascii="Segoe UI" w:hAnsi="Segoe UI"/>
              <w:b/>
              <w:color w:val="D9691F"/>
              <w:sz w:val="13"/>
            </w:rPr>
            <w:t xml:space="preserve">Վաճառքի բաժին: </w:t>
          </w:r>
          <w:r>
            <w:rPr>
              <w:rFonts w:ascii="Segoe UI" w:hAnsi="Segoe UI"/>
              <w:color w:val="1B1D21"/>
              <w:sz w:val="18"/>
            </w:rPr>
            <w:t>+374 99 902007</w:t>
          </w:r>
        </w:p>
        <w:p>
          <w:pPr>
            <w:spacing w:after="40" w:before="0"/>
            <w:jc w:val="right"/>
          </w:pPr>
          <w:r>
            <w:rPr>
              <w:rFonts w:ascii="Segoe UI" w:hAnsi="Segoe UI"/>
              <w:b/>
              <w:color w:val="D9691F"/>
              <w:sz w:val="13"/>
            </w:rPr>
            <w:t xml:space="preserve">Լրացուցիչ գծեր: </w:t>
          </w:r>
          <w:r>
            <w:rPr>
              <w:rFonts w:ascii="Segoe UI" w:hAnsi="Segoe UI"/>
              <w:color w:val="1B1D21"/>
              <w:sz w:val="18"/>
            </w:rPr>
            <w:t>+374 55 902007 / +374 95 902007</w:t>
          </w:r>
        </w:p>
      </w:tc>
    </w:tr>
  </w:tbl>
  <w:p>
    <w:pPr>
      <w:spacing w:before="100" w:after="80"/>
      <w:pBdr>
        <w:top w:val="single" w:sz="16" w:space="1" w:color="D9691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