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olor w:val="1F4E79"/>
          <w:sz w:val="48"/>
          <w:szCs w:val="48"/>
        </w:rPr>
        <w:t xml:space="preserve">Data Warehouse de Contrataciones Publicas</w:t>
      </w:r>
    </w:p>
    <w:p>
      <w:pPr>
        <w:spacing w:after="120"/>
        <w:jc w:val="center"/>
      </w:pPr>
      <w:r>
        <w:rPr>
          <w:color w:val="404040"/>
          <w:sz w:val="28"/>
          <w:szCs w:val="28"/>
        </w:rPr>
        <w:t xml:space="preserve">Convocatorias y adjudicaciones del Estado Argentino - 2020</w:t>
      </w:r>
    </w:p>
    <w:p>
      <w:pPr>
        <w:spacing w:after="600"/>
        <w:jc w:val="center"/>
      </w:pPr>
      <w:r>
        <w:rPr>
          <w:i/>
          <w:iCs/>
          <w:color w:val="606060"/>
          <w:sz w:val="24"/>
          <w:szCs w:val="24"/>
        </w:rPr>
        <w:t xml:space="preserve">Informe tecnico integral del proyecto</w:t>
      </w:r>
    </w:p>
    <w:p>
      <w:pPr>
        <w:spacing w:after="80"/>
        <w:jc w:val="center"/>
      </w:pPr>
      <w:r>
        <w:rPr>
          <w:sz w:val="24"/>
          <w:szCs w:val="24"/>
        </w:rPr>
        <w:t xml:space="preserve">Materia: Base de Datos 2</w:t>
      </w:r>
    </w:p>
    <w:p>
      <w:pPr>
        <w:spacing w:after="80"/>
        <w:jc w:val="center"/>
      </w:pPr>
      <w:r>
        <w:rPr>
          <w:color w:val="404040"/>
          <w:sz w:val="22"/>
          <w:szCs w:val="22"/>
        </w:rPr>
        <w:t xml:space="preserve">Stack: Python - PostgreSQL (Neon) - Dagster - Power BI</w:t>
      </w:r>
    </w:p>
    <w:p>
      <w:pPr>
        <w:jc w:val="center"/>
      </w:pPr>
      <w:r>
        <w:rPr>
          <w:color w:val="404040"/>
          <w:sz w:val="22"/>
          <w:szCs w:val="22"/>
        </w:rPr>
        <w:t xml:space="preserve">Junio 2026</w:t>
      </w:r>
    </w:p>
    <w:p>
      <w:r>
        <w:br w:type="page"/>
      </w:r>
    </w:p>
    <w:p>
      <w:pPr>
        <w:pStyle w:val="Heading1"/>
      </w:pPr>
      <w:r>
        <w:t xml:space="preserve">Indice</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Introduccion y objetivos</w:t>
      </w:r>
    </w:p>
    <w:p>
      <w:pPr>
        <w:spacing w:after="120" w:line="276"/>
      </w:pPr>
      <w:r>
        <w:t xml:space="preserve">Este proyecto consistio en disenar e implementar un Data Warehouse (DW) sobre datos de contrataciones publicas del Estado Argentino del ano 2020, a partir de dos fuentes: convocatorias y adjudicaciones. El objetivo fue centralizar la informacion en un modelo dimensional (esquema estrella) que permita realizar consultas analiticas, definir metricas (KPIs) y construir tableros de visualizacion en Power BI.</w:t>
      </w:r>
    </w:p>
    <w:p>
      <w:pPr>
        <w:spacing w:after="120" w:line="276"/>
      </w:pPr>
      <w:r>
        <w:t xml:space="preserve">El trabajo abarco el ciclo completo: modelado dimensional, desarrollo de procesos ETL en Python, carga sobre PostgreSQL hosteado en Neon, automatizacion del pipeline con un orquestador (Dagster), implementacion de una dimension de cambios lentos (SCD Tipo 2) y la capa de analisis y visualizacion.</w:t>
      </w:r>
    </w:p>
    <w:p>
      <w:pPr>
        <w:pStyle w:val="Heading2"/>
      </w:pPr>
      <w:r>
        <w:t xml:space="preserve">1.1 Stack tecnologico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Componente</w:t>
            </w:r>
          </w:p>
        </w:tc>
        <w:tc>
          <w:tcPr>
            <w:tcW w:type="dxa" w:w="53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Tecnologia</w:t>
            </w:r>
          </w:p>
        </w:tc>
      </w:tr>
      <w:tr>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Base de datos</w:t>
            </w:r>
          </w:p>
        </w:tc>
        <w:tc>
          <w:tcPr>
            <w:tcW w:type="dxa" w:w="5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PostgreSQL</w:t>
            </w:r>
          </w:p>
        </w:tc>
      </w:tr>
      <w:tr>
        <w:tc>
          <w:tcPr>
            <w:tcW w:type="dxa" w:w="40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Hosting de la base</w:t>
            </w:r>
          </w:p>
        </w:tc>
        <w:tc>
          <w:tcPr>
            <w:tcW w:type="dxa" w:w="53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Neon (PostgreSQL en la nube)</w:t>
            </w:r>
          </w:p>
        </w:tc>
      </w:tr>
      <w:tr>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ETL</w:t>
            </w:r>
          </w:p>
        </w:tc>
        <w:tc>
          <w:tcPr>
            <w:tcW w:type="dxa" w:w="5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Python + pandas + SQLAlchemy</w:t>
            </w:r>
          </w:p>
        </w:tc>
      </w:tr>
      <w:tr>
        <w:tc>
          <w:tcPr>
            <w:tcW w:type="dxa" w:w="40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Orquestacion</w:t>
            </w:r>
          </w:p>
        </w:tc>
        <w:tc>
          <w:tcPr>
            <w:tcW w:type="dxa" w:w="53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Dagster</w:t>
            </w:r>
          </w:p>
        </w:tc>
      </w:tr>
      <w:tr>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Fuente de datos</w:t>
            </w:r>
          </w:p>
        </w:tc>
        <w:tc>
          <w:tcPr>
            <w:tcW w:type="dxa" w:w="5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Google Sheets (exportadas a CSV)</w:t>
            </w:r>
          </w:p>
        </w:tc>
      </w:tr>
      <w:tr>
        <w:tc>
          <w:tcPr>
            <w:tcW w:type="dxa" w:w="40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Cliente SQL</w:t>
            </w:r>
          </w:p>
        </w:tc>
        <w:tc>
          <w:tcPr>
            <w:tcW w:type="dxa" w:w="53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DBeaver</w:t>
            </w:r>
          </w:p>
        </w:tc>
      </w:tr>
      <w:tr>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Visualizacion</w:t>
            </w:r>
          </w:p>
        </w:tc>
        <w:tc>
          <w:tcPr>
            <w:tcW w:type="dxa" w:w="5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Power BI</w:t>
            </w:r>
          </w:p>
        </w:tc>
      </w:tr>
      <w:tr>
        <w:tc>
          <w:tcPr>
            <w:tcW w:type="dxa" w:w="40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Versionado</w:t>
            </w:r>
          </w:p>
        </w:tc>
        <w:tc>
          <w:tcPr>
            <w:tcW w:type="dxa" w:w="53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Git + GitHub</w:t>
            </w:r>
          </w:p>
        </w:tc>
      </w:tr>
    </w:tbl>
    <w:p>
      <w:pPr>
        <w:pStyle w:val="Heading1"/>
      </w:pPr>
      <w:r>
        <w:t xml:space="preserve">2. Arquitectura general</w:t>
      </w:r>
    </w:p>
    <w:p>
      <w:pPr>
        <w:spacing w:after="120" w:line="276"/>
      </w:pPr>
      <w:r>
        <w:t xml:space="preserve">El flujo de datos parte de dos planillas de Google Sheets (la version editable de la fuente), que se descargan como CSV a la carpeta local data/raw, se transforman y cargan en el esquema dw de Neon mediante procesos ETL en Python, y finalmente se consumen desde Power BI. Todo el pipeline esta orquestado con Dagster, que ademas detecta cambios en las fuentes (por hash) y reconstruye el DW automaticamente.</w:t>
      </w:r>
    </w:p>
    <w:p>
      <w:pPr>
        <w:pStyle w:val="Heading2"/>
      </w:pPr>
      <w:r>
        <w:t xml:space="preserve">2.1 Diagrama de flujo de datos</w:t>
      </w:r>
    </w:p>
    <w:p>
      <w:pPr>
        <w:spacing w:after="60"/>
        <w:jc w:val="center"/>
      </w:pPr>
      <w:r>
        <w:drawing>
          <wp:inline distT="0" distB="0" distL="0" distR="0">
            <wp:extent cx="3429000" cy="4495800"/>
            <wp:effectExtent t="0" r="0" b="0" l="0"/>
            <wp:docPr id="1" name="flujo_datos" descr="Diagrama de flujo de datos del Data Warehouse" title="Flujo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4495800"/>
                    </a:xfrm>
                    <a:prstGeom prst="rect">
                      <a:avLst/>
                    </a:prstGeom>
                  </pic:spPr>
                </pic:pic>
              </a:graphicData>
            </a:graphic>
          </wp:inline>
        </w:drawing>
      </w:r>
    </w:p>
    <w:p>
      <w:pPr>
        <w:spacing w:after="160"/>
        <w:jc w:val="center"/>
      </w:pPr>
      <w:r>
        <w:rPr>
          <w:i/>
          <w:iCs/>
          <w:color w:val="707070"/>
          <w:sz w:val="18"/>
          <w:szCs w:val="18"/>
        </w:rPr>
        <w:t xml:space="preserve">Figura 1. Flujo de datos del Data Warehouse, orquestado por Dagster.</w:t>
      </w:r>
    </w:p>
    <w:p>
      <w:pPr>
        <w:pStyle w:val="Heading1"/>
      </w:pPr>
      <w:r>
        <w:t xml:space="preserve">3. Modelo dimensional (esquema estrella)</w:t>
      </w:r>
    </w:p>
    <w:p>
      <w:pPr>
        <w:spacing w:after="120" w:line="276"/>
      </w:pPr>
      <w:r>
        <w:t xml:space="preserve">El DW sigue un esquema estrella con cinco dimensiones, dos tablas de hechos y una tabla puente que resuelve una relacion muchos-a-muchos entre adjudicaciones y rubros.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Tipo</w:t>
            </w:r>
          </w:p>
        </w:tc>
        <w:tc>
          <w:tcPr>
            <w:tcW w:type="dxa" w:w="6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Tablas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Dimensiones</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dim_fecha, dim_organismo, dim_proveedor, dim_rubro, dim_procedimiento</w:t>
            </w:r>
          </w:p>
        </w:tc>
      </w:tr>
      <w:tr>
        <w:tc>
          <w:tcPr>
            <w:tcW w:type="dxa" w:w="26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Hechos</w:t>
            </w:r>
          </w:p>
        </w:tc>
        <w:tc>
          <w:tcPr>
            <w:tcW w:type="dxa" w:w="67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fact_convocatoria, fact_adjudicacion</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Puente (bridge)</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bridge_adjudicacion_rubro</w:t>
            </w:r>
          </w:p>
        </w:tc>
      </w:tr>
    </w:tbl>
    <w:p>
      <w:pPr>
        <w:pStyle w:val="Heading2"/>
      </w:pPr>
      <w:r>
        <w:t xml:space="preserve">3.1 Diagrama dimensional (diseno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6A6A6" w:sz="1"/>
              <w:left w:val="dashed" w:color="A6A6A6" w:sz="1"/>
              <w:bottom w:val="dashed" w:color="A6A6A6" w:sz="1"/>
              <w:right w:val="dashed" w:color="A6A6A6" w:sz="1"/>
            </w:tcBorders>
            <w:shd w:fill="FAFAFA" w:val="clear"/>
            <w:tcMar>
              <w:top w:type="dxa" w:w="80"/>
              <w:left w:type="dxa" w:w="120"/>
              <w:bottom w:type="dxa" w:w="80"/>
              <w:right w:type="dxa" w:w="120"/>
            </w:tcMar>
          </w:tcPr>
          <w:p>
            <w:pPr>
              <w:spacing w:after="60" w:before="200"/>
              <w:jc w:val="center"/>
            </w:pPr>
            <w:r>
              <w:rPr>
                <w:i/>
                <w:iCs/>
                <w:color w:val="808080"/>
                <w:sz w:val="22"/>
                <w:szCs w:val="22"/>
              </w:rPr>
              <w:t xml:space="preserve">[ Pega aqui el diagrama dimensional original (modelo estrella de diseno) ]</w:t>
            </w:r>
          </w:p>
          <w:p/>
          <w:p/>
          <w:p/>
          <w:p/>
          <w:p/>
          <w:p/>
          <w:p/>
          <w:p/>
          <w:p/>
          <w:p/>
          <w:p/>
          <w:p/>
          <w:p/>
          <w:p/>
        </w:tc>
      </w:tr>
    </w:tbl>
    <w:p>
      <w:pPr>
        <w:spacing w:after="160"/>
        <w:jc w:val="center"/>
      </w:pPr>
      <w:r>
        <w:rPr>
          <w:i/>
          <w:iCs/>
          <w:color w:val="707070"/>
          <w:sz w:val="18"/>
          <w:szCs w:val="18"/>
        </w:rPr>
        <w:t xml:space="preserve">Figura 2. Modelo dimensional - diseno original.</w:t>
      </w:r>
    </w:p>
    <w:p>
      <w:pPr>
        <w:pStyle w:val="Heading2"/>
      </w:pPr>
      <w:r>
        <w:t xml:space="preserve">3.2 Estructura de las tablas</w:t>
      </w:r>
    </w:p>
    <w:p>
      <w:pPr>
        <w:pStyle w:val="Heading3"/>
      </w:pPr>
      <w:r>
        <w:t xml:space="preserve">dim_fecha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Campo</w:t>
            </w:r>
          </w:p>
        </w:tc>
        <w:tc>
          <w:tcPr>
            <w:tcW w:type="dxa" w:w="61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Rol / descripcion</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fecha_id (PK)</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Clave entera YYYYMMDD (ej. 2020-01-02 -&gt; 20200102)</w:t>
            </w:r>
          </w:p>
        </w:tc>
      </w:tr>
      <w:tr>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fecha</w:t>
            </w:r>
          </w:p>
        </w:tc>
        <w:tc>
          <w:tcPr>
            <w:tcW w:type="dxa" w:w="61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Fecha (date)</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dia, mes, anio, trimestre, semana</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Atributos de calendario</w:t>
            </w:r>
          </w:p>
        </w:tc>
      </w:tr>
      <w:tr>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nombre_mes, nombre_dia</w:t>
            </w:r>
          </w:p>
        </w:tc>
        <w:tc>
          <w:tcPr>
            <w:tcW w:type="dxa" w:w="61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Nombres en texto</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es_feriado, es_fin_semana</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Banderas booleanas</w:t>
            </w:r>
          </w:p>
        </w:tc>
      </w:tr>
    </w:tbl>
    <w:p>
      <w:pPr>
        <w:pStyle w:val="Heading3"/>
      </w:pPr>
      <w:r>
        <w:t xml:space="preserve">dim_organismo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Campo</w:t>
            </w:r>
          </w:p>
        </w:tc>
        <w:tc>
          <w:tcPr>
            <w:tcW w:type="dxa" w:w="61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Rol / descripcion</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organismo_id (PK)</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Clave subrogada (serial)</w:t>
            </w:r>
          </w:p>
        </w:tc>
      </w:tr>
      <w:tr>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nro_saf, descripcion_saf</w:t>
            </w:r>
          </w:p>
        </w:tc>
        <w:tc>
          <w:tcPr>
            <w:tcW w:type="dxa" w:w="61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Servicio Administrativo Financiero</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nro_uoc, descripcion_uoc</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Unidad Operativa de Contrataciones</w:t>
            </w:r>
          </w:p>
        </w:tc>
      </w:tr>
    </w:tbl>
    <w:p>
      <w:pPr>
        <w:pStyle w:val="Heading3"/>
      </w:pPr>
      <w:r>
        <w:t xml:space="preserve">dim_procedimiento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Campo</w:t>
            </w:r>
          </w:p>
        </w:tc>
        <w:tc>
          <w:tcPr>
            <w:tcW w:type="dxa" w:w="61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Rol / descripcion</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procedimiento_id (PK)</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Numero de procedimiento (clave de negocio)</w:t>
            </w:r>
          </w:p>
        </w:tc>
      </w:tr>
      <w:tr>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nombre_procedimiento, objeto_procedimiento</w:t>
            </w:r>
          </w:p>
        </w:tc>
        <w:tc>
          <w:tcPr>
            <w:tcW w:type="dxa" w:w="61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Descripcion</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ejercicio, modalidad, tipo_procedimiento</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Atributos</w:t>
            </w:r>
          </w:p>
        </w:tc>
      </w:tr>
    </w:tbl>
    <w:p>
      <w:pPr>
        <w:pStyle w:val="Heading3"/>
      </w:pPr>
      <w:r>
        <w:t xml:space="preserve">dim_rubro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Campo</w:t>
            </w:r>
          </w:p>
        </w:tc>
        <w:tc>
          <w:tcPr>
            <w:tcW w:type="dxa" w:w="61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Rol / descripcion</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rubro_id (PK)</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Clave subrogada (serial)</w:t>
            </w:r>
          </w:p>
        </w:tc>
      </w:tr>
      <w:tr>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descripcion_rubro</w:t>
            </w:r>
          </w:p>
        </w:tc>
        <w:tc>
          <w:tcPr>
            <w:tcW w:type="dxa" w:w="61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Nombre del rubro</w:t>
            </w:r>
          </w:p>
        </w:tc>
      </w:tr>
    </w:tbl>
    <w:p>
      <w:pPr>
        <w:pStyle w:val="Heading3"/>
      </w:pPr>
      <w:r>
        <w:t xml:space="preserve">dim_proveedor (SCD Tipo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Campo</w:t>
            </w:r>
          </w:p>
        </w:tc>
        <w:tc>
          <w:tcPr>
            <w:tcW w:type="dxa" w:w="61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Rol / descripcion</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proveedor_id (PK)</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Clave subrogada (surrogate) - identifica la VERSION</w:t>
            </w:r>
          </w:p>
        </w:tc>
      </w:tr>
      <w:tr>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cuit</w:t>
            </w:r>
          </w:p>
        </w:tc>
        <w:tc>
          <w:tcPr>
            <w:tcW w:type="dxa" w:w="61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Clave de negocio (no unica: varias versiones por CUIT)</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razon_social, provincia</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Atributos versionados</w:t>
            </w:r>
          </w:p>
        </w:tc>
      </w:tr>
      <w:tr>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fecha_desde, fecha_hasta, es_vigente</w:t>
            </w:r>
          </w:p>
        </w:tc>
        <w:tc>
          <w:tcPr>
            <w:tcW w:type="dxa" w:w="61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Control de vigencia de cada version</w:t>
            </w:r>
          </w:p>
        </w:tc>
      </w:tr>
    </w:tbl>
    <w:p>
      <w:pPr>
        <w:pStyle w:val="Heading3"/>
      </w:pPr>
      <w:r>
        <w:t xml:space="preserve">fact_convocatoria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Campo</w:t>
            </w:r>
          </w:p>
        </w:tc>
        <w:tc>
          <w:tcPr>
            <w:tcW w:type="dxa" w:w="61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Rol / descripcion</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fact_convocatoria_id (PK)</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Secuencia autogenerada</w:t>
            </w:r>
          </w:p>
        </w:tc>
      </w:tr>
      <w:tr>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procedimiento_id (FK)</w:t>
            </w:r>
          </w:p>
        </w:tc>
        <w:tc>
          <w:tcPr>
            <w:tcW w:type="dxa" w:w="61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-&gt; dim_procedimiento</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organismo_id (FK)</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-&gt; dim_organismo</w:t>
            </w:r>
          </w:p>
        </w:tc>
      </w:tr>
      <w:tr>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fecha_publicacion_id (FK)</w:t>
            </w:r>
          </w:p>
        </w:tc>
        <w:tc>
          <w:tcPr>
            <w:tcW w:type="dxa" w:w="61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-&gt; dim_fecha</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monto_estimado, etapa, tipo_operacion</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Medidas y atributos</w:t>
            </w:r>
          </w:p>
        </w:tc>
      </w:tr>
    </w:tbl>
    <w:p>
      <w:pPr>
        <w:pStyle w:val="Heading3"/>
      </w:pPr>
      <w:r>
        <w:t xml:space="preserve">fact_adjudicacion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Campo</w:t>
            </w:r>
          </w:p>
        </w:tc>
        <w:tc>
          <w:tcPr>
            <w:tcW w:type="dxa" w:w="61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Rol / descripcion</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fact_adjudicacion_id (PK)</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Secuencia autogenerada</w:t>
            </w:r>
          </w:p>
        </w:tc>
      </w:tr>
      <w:tr>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nro_orden_compra</w:t>
            </w:r>
          </w:p>
        </w:tc>
        <w:tc>
          <w:tcPr>
            <w:tcW w:type="dxa" w:w="61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Documento Contractual (clave de negocio, UNIQUE)</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procedimiento_id (FK)</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-&gt; dim_procedimiento</w:t>
            </w:r>
          </w:p>
        </w:tc>
      </w:tr>
      <w:tr>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proveedor_id (FK)</w:t>
            </w:r>
          </w:p>
        </w:tc>
        <w:tc>
          <w:tcPr>
            <w:tcW w:type="dxa" w:w="61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-&gt; dim_proveedor (version as-was, ver seccion 9)</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fecha_adjudicacion_id (FK)</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-&gt; dim_fecha</w:t>
            </w:r>
          </w:p>
        </w:tc>
      </w:tr>
      <w:tr>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monto_adjudicado, moneda, tipo_orden</w:t>
            </w:r>
          </w:p>
        </w:tc>
        <w:tc>
          <w:tcPr>
            <w:tcW w:type="dxa" w:w="61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Medidas y atributos</w:t>
            </w:r>
          </w:p>
        </w:tc>
      </w:tr>
    </w:tbl>
    <w:p>
      <w:pPr>
        <w:pStyle w:val="Heading3"/>
      </w:pPr>
      <w:r>
        <w:t xml:space="preserve">bridge_adjudicacion_rubro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Campo</w:t>
            </w:r>
          </w:p>
        </w:tc>
        <w:tc>
          <w:tcPr>
            <w:tcW w:type="dxa" w:w="61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Rol / descripcion</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bridge_adjudicacion_rubro_id (PK)</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Secuencia autogenerada</w:t>
            </w:r>
          </w:p>
        </w:tc>
      </w:tr>
      <w:tr>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fact_adjudicacion_id (FK)</w:t>
            </w:r>
          </w:p>
        </w:tc>
        <w:tc>
          <w:tcPr>
            <w:tcW w:type="dxa" w:w="61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-&gt; fact_adjudicacion</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rubro_id (FK)</w:t>
            </w:r>
          </w:p>
        </w:tc>
        <w:tc>
          <w:tcPr>
            <w:tcW w:type="dxa" w:w="6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-&gt; dim_rubro</w:t>
            </w:r>
          </w:p>
        </w:tc>
      </w:tr>
      <w:tr>
        <w:tc>
          <w:tcPr>
            <w:tcW w:type="dxa" w:w="3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UNIQUE(fact_adjudicacion_id, rubro_id)</w:t>
            </w:r>
          </w:p>
        </w:tc>
        <w:tc>
          <w:tcPr>
            <w:tcW w:type="dxa" w:w="61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Evita asociaciones duplicadas</w:t>
            </w:r>
          </w:p>
        </w:tc>
      </w:tr>
    </w:tbl>
    <w:p>
      <w:pPr>
        <w:pStyle w:val="Heading2"/>
      </w:pPr>
      <w:r>
        <w:t xml:space="preserve">3.3 Diagrama fisico del DW (DBeaver)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6A6A6" w:sz="1"/>
              <w:left w:val="dashed" w:color="A6A6A6" w:sz="1"/>
              <w:bottom w:val="dashed" w:color="A6A6A6" w:sz="1"/>
              <w:right w:val="dashed" w:color="A6A6A6" w:sz="1"/>
            </w:tcBorders>
            <w:shd w:fill="FAFAFA" w:val="clear"/>
            <w:tcMar>
              <w:top w:type="dxa" w:w="80"/>
              <w:left w:type="dxa" w:w="120"/>
              <w:bottom w:type="dxa" w:w="80"/>
              <w:right w:type="dxa" w:w="120"/>
            </w:tcMar>
          </w:tcPr>
          <w:p>
            <w:pPr>
              <w:spacing w:after="60" w:before="200"/>
              <w:jc w:val="center"/>
            </w:pPr>
            <w:r>
              <w:rPr>
                <w:i/>
                <w:iCs/>
                <w:color w:val="808080"/>
                <w:sz w:val="22"/>
                <w:szCs w:val="22"/>
              </w:rPr>
              <w:t xml:space="preserve">[ Pega aqui el diagrama final del DW visualizado en DBeaver (tablas + relaciones) ]</w:t>
            </w:r>
          </w:p>
          <w:p/>
          <w:p/>
          <w:p/>
          <w:p/>
          <w:p/>
          <w:p/>
          <w:p/>
          <w:p/>
          <w:p/>
          <w:p/>
          <w:p/>
          <w:p/>
          <w:p/>
          <w:p/>
        </w:tc>
      </w:tr>
    </w:tbl>
    <w:p>
      <w:pPr>
        <w:spacing w:after="160"/>
        <w:jc w:val="center"/>
      </w:pPr>
      <w:r>
        <w:rPr>
          <w:i/>
          <w:iCs/>
          <w:color w:val="707070"/>
          <w:sz w:val="18"/>
          <w:szCs w:val="18"/>
        </w:rPr>
        <w:t xml:space="preserve">Figura 3. Diagrama fisico del DW generado por DBeaver.</w:t>
      </w:r>
    </w:p>
    <w:p>
      <w:pPr>
        <w:pStyle w:val="Heading1"/>
      </w:pPr>
      <w:r>
        <w:t xml:space="preserve">4. Construccion de las dimensiones</w:t>
      </w:r>
    </w:p>
    <w:p>
      <w:pPr>
        <w:spacing w:after="120" w:line="276"/>
      </w:pPr>
      <w:r>
        <w:t xml:space="preserve">Se decidio poblar primero las dimensiones y luego las tablas de hechos. A continuacion, las decisiones de diseno relevantes de cada dimension.</w:t>
      </w:r>
    </w:p>
    <w:p>
      <w:pPr>
        <w:pStyle w:val="Heading2"/>
      </w:pPr>
      <w:r>
        <w:t xml:space="preserve">4.1 dim_fecha</w:t>
      </w:r>
    </w:p>
    <w:p>
      <w:pPr>
        <w:spacing w:after="120" w:line="276"/>
      </w:pPr>
      <w:r>
        <w:t xml:space="preserve">Decision: generar una dimension temporal reutilizable con una fila por fecha y clave fecha_id en formato YYYYMMDD (entero), que facilita los joins y el ordenamiento. Resultado: 4018 registros.</w:t>
      </w:r>
    </w:p>
    <w:p>
      <w:pPr>
        <w:pStyle w:val="Heading2"/>
      </w:pPr>
      <w:r>
        <w:t xml:space="preserve">4.2 dim_organismo</w:t>
      </w:r>
    </w:p>
    <w:p>
      <w:pPr>
        <w:spacing w:after="120" w:line="276"/>
      </w:pPr>
      <w:r>
        <w:t xml:space="preserve">Inicialmente se asumio que (Nro SAF, Nro UOC) identificaba un organismo. Se descubrio que esa combinacion correspondia a decenas de organismos distintos (por ejemplo SAF 107 / UOC 74 aparecia para Administracion Central, Parque Nacional Nahuel Huapi, Iguazu, Lanin, etc.). Por lo tanto la clave de negocio efectiva paso a ser (Nro SAF, Descripcion SAF, Nro UOC, Descripcion UOC). Resultado: 415 registros.</w:t>
      </w:r>
    </w:p>
    <w:p>
      <w:pPr>
        <w:pStyle w:val="Heading2"/>
      </w:pPr>
      <w:r>
        <w:t xml:space="preserve">4.3 dim_procedimiento</w:t>
      </w:r>
    </w:p>
    <w:p>
      <w:pPr>
        <w:spacing w:after="120" w:line="276"/>
      </w:pPr>
      <w:r>
        <w:t xml:space="preserve">Construida desde convocatorias-2020.csv con verificacion de conteos (Python vs PostgreSQL). Resultado inicial: 13.549 procedimientos. Posteriormente se ampliaron con procedimientos historicos faltantes (ver seccion 5.3), quedando en 15.708.</w:t>
      </w:r>
    </w:p>
    <w:p>
      <w:pPr>
        <w:pStyle w:val="Heading2"/>
      </w:pPr>
      <w:r>
        <w:t xml:space="preserve">4.4 dim_rubro</w:t>
      </w:r>
    </w:p>
    <w:p>
      <w:pPr>
        <w:spacing w:after="120" w:line="276"/>
      </w:pPr>
      <w:r>
        <w:t xml:space="preserve">Problema: la columna Rubros venia multivaluada, con varios rubros en una celda separados por punto y coma (ej. ALIMENTOS;ALQUILER;). Decision: dividir por ;, descartar vacios y generar una fila por rubro. Resultado: 49 rubros unicos.</w:t>
      </w:r>
    </w:p>
    <w:p>
      <w:pPr>
        <w:pStyle w:val="Heading2"/>
      </w:pPr>
      <w:r>
        <w:t xml:space="preserve">4.5 dim_proveedor</w:t>
      </w:r>
    </w:p>
    <w:p>
      <w:pPr>
        <w:spacing w:after="120" w:line="276"/>
      </w:pPr>
      <w:r>
        <w:t xml:space="preserve">El ETL fallo por la restriccion unica sobre cuit (duplicate key value violates unique constraint dim_proveedor_cuit_key). Se detecto que un mismo CUIT aparecia con distintas grafias de la razon social (ej. LYME S A vs LYME S.A.). Decision: el CUIT es la clave de negocio y la razon social un atributo descriptivo; se agrupo por CUIT conservando una razon social. Resultado: 4475 proveedores. Esta dimension luego evoluciono a SCD Tipo 2 (seccion 9).</w:t>
      </w:r>
    </w:p>
    <w:p>
      <w:pPr>
        <w:pStyle w:val="Heading1"/>
      </w:pPr>
      <w:r>
        <w:t xml:space="preserve">5. Construccion de las tablas de hechos</w:t>
      </w:r>
    </w:p>
    <w:p>
      <w:pPr>
        <w:pStyle w:val="Heading2"/>
      </w:pPr>
      <w:r>
        <w:t xml:space="preserve">5.1 fact_convocatoria y el problema de duplicacion</w:t>
      </w:r>
    </w:p>
    <w:p>
      <w:pPr>
        <w:spacing w:after="120" w:line="276"/>
      </w:pPr>
      <w:r>
        <w:t xml:space="preserve">Al hacer el merge de convocatorias con dim_organismo aparecian 14.630 filas para 13.549 convocatorias (1.081 de mas). La causa NO estaba en la dimension sino en la clave de busqueda de la fact: se vinculaba por (Nro SAF, Nro UOC, Descripcion UOC), ignorando Descripcion SAF. Dos organismos con igual SAF/UOC/Descripcion UOC pero distinta Descripcion SAF (ej. Hospital Nacional Dr. Alejandro Posadas vs Hospital Nacional Profesor Alejandro Posadas) generaban coincidencias multiples.</w:t>
      </w:r>
    </w:p>
    <w:p>
      <w:pPr>
        <w:spacing w:after="120" w:line="276"/>
      </w:pPr>
      <w:r>
        <w:t xml:space="preserve">Solucion: incorporar Descripcion SAF a la clave del merge. Resultado: 13.549 convocatorias = 13.549 filas, 0 organismos sin match, 0 duplicados: relacion uno a uno.</w:t>
      </w:r>
    </w:p>
    <w:p>
      <w:pPr>
        <w:pStyle w:val="Heading2"/>
      </w:pPr>
      <w:r>
        <w:t xml:space="preserve">5.2 fact_adjudicacion</w:t>
      </w:r>
    </w:p>
    <w:p>
      <w:pPr>
        <w:spacing w:after="120" w:line="276"/>
      </w:pPr>
      <w:r>
        <w:t xml:space="preserve">Granularidad: una fila por Documento Contractual (orden de compra / contrato) adjudicado a un proveedor dentro de un procedimiento. Por eso Documento Contractual se mapeo a nro_orden_compra (clave de negocio).</w:t>
      </w:r>
    </w:p>
    <w:p>
      <w:pPr>
        <w:pStyle w:val="ListParagraph"/>
        <w:numPr>
          <w:ilvl w:val="0"/>
          <w:numId w:val="2"/>
        </w:numPr>
        <w:spacing w:after="60"/>
      </w:pPr>
      <w:r>
        <w:t xml:space="preserve">Se detectaron 3 adjudicaciones sin Fecha de Adjudicacion; se excluyeron del ETL (22.281 -&gt; 22.278 cargadas).</w:t>
      </w:r>
    </w:p>
    <w:p>
      <w:pPr>
        <w:pStyle w:val="ListParagraph"/>
        <w:numPr>
          <w:ilvl w:val="0"/>
          <w:numId w:val="2"/>
        </w:numPr>
        <w:spacing w:after="60"/>
      </w:pPr>
      <w:r>
        <w:t xml:space="preserve">Se valido integridad referencial contra dim_proveedor, dim_procedimiento y dim_fecha (0 sin match).</w:t>
      </w:r>
    </w:p>
    <w:p>
      <w:pPr>
        <w:pStyle w:val="ListParagraph"/>
        <w:numPr>
          <w:ilvl w:val="0"/>
          <w:numId w:val="2"/>
        </w:numPr>
        <w:spacing w:after="60"/>
      </w:pPr>
      <w:r>
        <w:t xml:space="preserve">El campo moneda superaba los 20 caracteres (Euro - European Monetary Union, 30 chars); se amplio a VARCHAR(100).</w:t>
      </w:r>
    </w:p>
    <w:p>
      <w:pPr>
        <w:spacing w:after="120" w:line="276"/>
      </w:pPr>
      <w:r>
        <w:t xml:space="preserve">Resultado: 22.278 filas cargadas sin errores.</w:t>
      </w:r>
    </w:p>
    <w:p>
      <w:pPr>
        <w:pStyle w:val="Heading2"/>
      </w:pPr>
      <w:r>
        <w:t xml:space="preserve">5.3 Procedimientos historicos faltantes</w:t>
      </w:r>
    </w:p>
    <w:p>
      <w:pPr>
        <w:spacing w:after="120" w:line="276"/>
      </w:pPr>
      <w:r>
        <w:t xml:space="preserve">Las adjudicaciones referenciaban procedimientos que no existian en dim_procedimiento (construida solo desde convocatorias-2020). Se detectaron 3.776 adjudicaciones sin match, correspondientes a 2.159 procedimientos distintos, principalmente de los ejercicios 2017, 2018 y 2019. Como no se disponia de convocatorias historicas, se completo la dimension desde adjudicaciones-2020 (script etl_completar_procedimientos_faltantes.py), infiriendo el ejercicio desde el sufijo del codigo (ej. LPR19 -&gt; 2019) y marcando nombre/objeto como DESCONOCIDO. Resultado: 13.549 + 2.159 = 15.708 procedimientos, 0 sin match.</w:t>
      </w:r>
    </w:p>
    <w:p>
      <w:pPr>
        <w:pStyle w:val="Heading1"/>
      </w:pPr>
      <w:r>
        <w:t xml:space="preserve">6. Tabla puente: adjudicaciones y rubros</w:t>
      </w:r>
    </w:p>
    <w:p>
      <w:pPr>
        <w:spacing w:after="120" w:line="276"/>
      </w:pPr>
      <w:r>
        <w:t xml:space="preserve">Como una adjudicacion puede pertenecer a varios rubros (columna Rubros multivaluada), modelar rubro_id dentro de fact_adjudicacion habria forzado una relacion 1:1 incorrecta y perderia informacion. Decision de modelado: eliminar rubro_id de la fact y crear la tabla puente bridge_adjudicacion_rubro (N:M).</w:t>
      </w:r>
    </w:p>
    <w:p>
      <w:pPr>
        <w:spacing w:after="120" w:line="276"/>
      </w:pPr>
      <w:r>
        <w:t xml:space="preserve">El ETL del bridge filtra las 3 fechas nulas, hace explode de la columna Rubros, mapea Documento Contractual -&gt; fact_adjudicacion_id y descripcion_rubro -&gt; rubro_id, y elimina duplicados. De 22.278 adjudicaciones, el explode produjo 66.909 filas en el bridge (0 sin match).</w:t>
      </w:r>
    </w:p>
    <w:p>
      <w:pPr>
        <w:pStyle w:val="Heading1"/>
      </w:pPr>
      <w:r>
        <w:t xml:space="preserve">7. Problemas encontrados y soluciones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Problema</w:t>
            </w:r>
          </w:p>
        </w:tc>
        <w:tc>
          <w:tcPr>
            <w:tcW w:type="dxa" w:w="49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Solucion</w:t>
            </w:r>
          </w:p>
        </w:tc>
      </w:tr>
      <w:tr>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Clave de organismo incorrecta (SAF/UOC)</w:t>
            </w:r>
          </w:p>
        </w:tc>
        <w:tc>
          <w:tcPr>
            <w:tcW w:type="dxa" w:w="4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Clave = SAF + Desc.SAF + UOC + Desc.UOC</w:t>
            </w:r>
          </w:p>
        </w:tc>
      </w:tr>
      <w:tr>
        <w:tc>
          <w:tcPr>
            <w:tcW w:type="dxa" w:w="4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Duplicacion 14.630 vs 13.549 en convocatorias</w:t>
            </w:r>
          </w:p>
        </w:tc>
        <w:tc>
          <w:tcPr>
            <w:tcW w:type="dxa" w:w="49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Incluir Descripcion SAF en el merge -&gt; 1:1</w:t>
            </w:r>
          </w:p>
        </w:tc>
      </w:tr>
      <w:tr>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Formato de fechas con a.m./p.m.</w:t>
            </w:r>
          </w:p>
        </w:tc>
        <w:tc>
          <w:tcPr>
            <w:tcW w:type="dxa" w:w="4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pd.to_datetime(format=mixed, dayfirst=True)</w:t>
            </w:r>
          </w:p>
        </w:tc>
      </w:tr>
      <w:tr>
        <w:tc>
          <w:tcPr>
            <w:tcW w:type="dxa" w:w="4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Rubros multivaluados en una celda</w:t>
            </w:r>
          </w:p>
        </w:tc>
        <w:tc>
          <w:tcPr>
            <w:tcW w:type="dxa" w:w="49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Split + tabla puente N:M (bridge)</w:t>
            </w:r>
          </w:p>
        </w:tc>
      </w:tr>
      <w:tr>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Procedimientos historicos faltantes (2.159)</w:t>
            </w:r>
          </w:p>
        </w:tc>
        <w:tc>
          <w:tcPr>
            <w:tcW w:type="dxa" w:w="4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Completar dim_procedimiento desde adjudicaciones</w:t>
            </w:r>
          </w:p>
        </w:tc>
      </w:tr>
      <w:tr>
        <w:tc>
          <w:tcPr>
            <w:tcW w:type="dxa" w:w="4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moneda &gt; 20 caracteres</w:t>
            </w:r>
          </w:p>
        </w:tc>
        <w:tc>
          <w:tcPr>
            <w:tcW w:type="dxa" w:w="49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ALTER a VARCHAR(100)</w:t>
            </w:r>
          </w:p>
        </w:tc>
      </w:tr>
      <w:tr>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3 adjudicaciones sin fecha</w:t>
            </w:r>
          </w:p>
        </w:tc>
        <w:tc>
          <w:tcPr>
            <w:tcW w:type="dxa" w:w="4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Excluidas en el ETL (22.281 -&gt; 22.278)</w:t>
            </w:r>
          </w:p>
        </w:tc>
      </w:tr>
      <w:tr>
        <w:tc>
          <w:tcPr>
            <w:tcW w:type="dxa" w:w="4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CUIT con razon social repetida (unique)</w:t>
            </w:r>
          </w:p>
        </w:tc>
        <w:tc>
          <w:tcPr>
            <w:tcW w:type="dxa" w:w="49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CUIT = clave de negocio; agrupar por CUIT</w:t>
            </w:r>
          </w:p>
        </w:tc>
      </w:tr>
      <w:tr>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.env faltante (URL None:None) en Dagster</w:t>
            </w:r>
          </w:p>
        </w:tc>
        <w:tc>
          <w:tcPr>
            <w:tcW w:type="dxa" w:w="4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Plantilla .env.example + chequeo previo claro</w:t>
            </w:r>
          </w:p>
        </w:tc>
      </w:tr>
      <w:tr>
        <w:tc>
          <w:tcPr>
            <w:tcW w:type="dxa" w:w="4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PK duplicada en completar_procedimientos</w:t>
            </w:r>
          </w:p>
        </w:tc>
        <w:tc>
          <w:tcPr>
            <w:tcW w:type="dxa" w:w="49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drop_duplicates por procedimiento_id + anti-join</w:t>
            </w:r>
          </w:p>
        </w:tc>
      </w:tr>
    </w:tbl>
    <w:p>
      <w:pPr>
        <w:pStyle w:val="Heading1"/>
      </w:pPr>
      <w:r>
        <w:t xml:space="preserve">8. Orquestacion y automatizacion con Dagster</w:t>
      </w:r>
    </w:p>
    <w:p>
      <w:pPr>
        <w:spacing w:after="120" w:line="276"/>
      </w:pPr>
      <w:r>
        <w:t xml:space="preserve">Se evaluo automatizar el pipeline. La primera idea fue GitHub Actions corriendo cada 5 minutos, y finalmente se eligio Dagster como orquestador por ser nativo de Python (envuelve los scripts existentes sin reescribirlos), con grafo de dependencias visible, logs y estados por paso, y soporte de sensores para disparo por cambios.</w:t>
      </w:r>
    </w:p>
    <w:p>
      <w:pPr>
        <w:pStyle w:val="Heading2"/>
      </w:pPr>
      <w:r>
        <w:t xml:space="preserve">8.1 Diseno</w:t>
      </w:r>
    </w:p>
    <w:p>
      <w:pPr>
        <w:pStyle w:val="ListParagraph"/>
        <w:numPr>
          <w:ilvl w:val="0"/>
          <w:numId w:val="2"/>
        </w:numPr>
        <w:spacing w:after="60"/>
      </w:pPr>
      <w:r>
        <w:t xml:space="preserve">Cada script de etl/ y automation/ se envuelve como un asset de Dagster que lo ejecuta como subproceso desde la raiz del proyecto.</w:t>
      </w:r>
    </w:p>
    <w:p>
      <w:pPr>
        <w:pStyle w:val="ListParagraph"/>
        <w:numPr>
          <w:ilvl w:val="0"/>
          <w:numId w:val="2"/>
        </w:numPr>
        <w:spacing w:after="60"/>
      </w:pPr>
      <w:r>
        <w:t xml:space="preserve">Las dependencias entre assets reproducen el modelo estrella (sincronizar -&gt; reset -&gt; dimensiones -&gt; hechos -&gt; bridge -&gt; control).</w:t>
      </w:r>
    </w:p>
    <w:p>
      <w:pPr>
        <w:pStyle w:val="ListParagraph"/>
        <w:numPr>
          <w:ilvl w:val="0"/>
          <w:numId w:val="2"/>
        </w:numPr>
        <w:spacing w:after="60"/>
      </w:pPr>
      <w:r>
        <w:t xml:space="preserve">Cada paso escribe su salida en la carpeta Dagster Logs/ (un archivo por paso + un log maestro etl.log).</w:t>
      </w:r>
    </w:p>
    <w:p>
      <w:pPr>
        <w:pStyle w:val="ListParagraph"/>
        <w:numPr>
          <w:ilvl w:val="0"/>
          <w:numId w:val="2"/>
        </w:numPr>
        <w:spacing w:after="60"/>
      </w:pPr>
      <w:r>
        <w:t xml:space="preserve">Un chequeo previo de credenciales (.env) falla con mensaje claro si faltan variables.</w:t>
      </w:r>
    </w:p>
    <w:p>
      <w:pPr>
        <w:pStyle w:val="Heading2"/>
      </w:pPr>
      <w:r>
        <w:t xml:space="preserve">8.2 Deteccion de cambios (sensor por hash)</w:t>
      </w:r>
    </w:p>
    <w:p>
      <w:pPr>
        <w:spacing w:after="120" w:line="276"/>
      </w:pPr>
      <w:r>
        <w:t xml:space="preserve">La fuente real son dos Google Sheets. Se calcula un hash MD5 del contenido de cada planilla y se compara contra el ultimo hash guardado en la tabla dw.etl_control. Si coinciden, no se hace nada; si difieren, alguien edito la fuente y se dispara la reconstruccion del DW. Esta logica vive en un sensor de Dagster, que cuando no hay cambios muestra un tick Skipped (sin reconstruir y sin marcar error).</w:t>
      </w:r>
    </w:p>
    <w:p>
      <w:pPr>
        <w:pStyle w:val="Heading2"/>
      </w:pPr>
      <w:r>
        <w:t xml:space="preserve">8.3 Rebuild manual y forzado</w:t>
      </w:r>
    </w:p>
    <w:p>
      <w:pPr>
        <w:spacing w:after="120" w:line="276"/>
      </w:pPr>
      <w:r>
        <w:t xml:space="preserve">El rebuild manual (Materialize all) reconstruye siempre. Ademas existe un job rebuild_forzado, lanzable desde la UI, para reconstruir a demanda (por ejemplo, para aplicar cambios ya guardados) sin esperar al sensor.</w:t>
      </w:r>
    </w:p>
    <w:p>
      <w:pPr>
        <w:pStyle w:val="Heading2"/>
      </w:pPr>
      <w:r>
        <w:t xml:space="preserve">8.4 Persistencia y arranque</w:t>
      </w:r>
    </w:p>
    <w:p>
      <w:pPr>
        <w:spacing w:after="120" w:line="276"/>
      </w:pPr>
      <w:r>
        <w:t xml:space="preserve">Como dagster dev usa una carpeta temporal por defecto, se documento fijar DAGSTER_HOME dentro del proyecto (carpeta dagster_home) para que el historial y el estado de sensores/schedules persistan entre reinicios. Se incluyo un lanzador run_dagster.bat que setea esa variable y levanta Dagster con doble clic. Limitacion conocida: el sensor solo evalua mientras dagster dev esta corriendo.</w:t>
      </w:r>
    </w:p>
    <w:p>
      <w:pPr>
        <w:pStyle w:val="Heading2"/>
      </w:pPr>
      <w:r>
        <w:t xml:space="preserve">8.5 Inventario de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Script</w:t>
            </w:r>
          </w:p>
        </w:tc>
        <w:tc>
          <w:tcPr>
            <w:tcW w:type="dxa" w:w="41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Funcion</w:t>
            </w:r>
          </w:p>
        </w:tc>
      </w:tr>
      <w:tr>
        <w:tc>
          <w:tcPr>
            <w:tcW w:type="dxa" w:w="5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Consolas" w:cs="Consolas" w:eastAsia="Consolas" w:hAnsi="Consolas"/>
                <w:b w:val="false"/>
                <w:bCs w:val="false"/>
                <w:color w:val="000000"/>
                <w:sz w:val="20"/>
                <w:szCs w:val="20"/>
              </w:rPr>
              <w:t xml:space="preserve">automation/download_sources.py</w:t>
            </w:r>
          </w:p>
        </w:tc>
        <w:tc>
          <w:tcPr>
            <w:tcW w:type="dxa" w:w="4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Descarga las Google Sheets a data/raw (CSV)</w:t>
            </w:r>
          </w:p>
        </w:tc>
      </w:tr>
      <w:tr>
        <w:tc>
          <w:tcPr>
            <w:tcW w:type="dxa" w:w="5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rFonts w:ascii="Consolas" w:cs="Consolas" w:eastAsia="Consolas" w:hAnsi="Consolas"/>
                <w:b w:val="false"/>
                <w:bCs w:val="false"/>
                <w:color w:val="000000"/>
                <w:sz w:val="20"/>
                <w:szCs w:val="20"/>
              </w:rPr>
              <w:t xml:space="preserve">automation/reset_dw.py</w:t>
            </w:r>
          </w:p>
        </w:tc>
        <w:tc>
          <w:tcPr>
            <w:tcW w:type="dxa" w:w="41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TRUNCATE del DW (excepto dim_proveedor)</w:t>
            </w:r>
          </w:p>
        </w:tc>
      </w:tr>
      <w:tr>
        <w:tc>
          <w:tcPr>
            <w:tcW w:type="dxa" w:w="5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Consolas" w:cs="Consolas" w:eastAsia="Consolas" w:hAnsi="Consolas"/>
                <w:b w:val="false"/>
                <w:bCs w:val="false"/>
                <w:color w:val="000000"/>
                <w:sz w:val="20"/>
                <w:szCs w:val="20"/>
              </w:rPr>
              <w:t xml:space="preserve">etl/load_dim_fecha.py</w:t>
            </w:r>
          </w:p>
        </w:tc>
        <w:tc>
          <w:tcPr>
            <w:tcW w:type="dxa" w:w="4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Genera dim_fecha</w:t>
            </w:r>
          </w:p>
        </w:tc>
      </w:tr>
      <w:tr>
        <w:tc>
          <w:tcPr>
            <w:tcW w:type="dxa" w:w="5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rFonts w:ascii="Consolas" w:cs="Consolas" w:eastAsia="Consolas" w:hAnsi="Consolas"/>
                <w:b w:val="false"/>
                <w:bCs w:val="false"/>
                <w:color w:val="000000"/>
                <w:sz w:val="20"/>
                <w:szCs w:val="20"/>
              </w:rPr>
              <w:t xml:space="preserve">etl/etl_dim_organismo.py</w:t>
            </w:r>
          </w:p>
        </w:tc>
        <w:tc>
          <w:tcPr>
            <w:tcW w:type="dxa" w:w="41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Carga dim_organismo</w:t>
            </w:r>
          </w:p>
        </w:tc>
      </w:tr>
      <w:tr>
        <w:tc>
          <w:tcPr>
            <w:tcW w:type="dxa" w:w="5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Consolas" w:cs="Consolas" w:eastAsia="Consolas" w:hAnsi="Consolas"/>
                <w:b w:val="false"/>
                <w:bCs w:val="false"/>
                <w:color w:val="000000"/>
                <w:sz w:val="20"/>
                <w:szCs w:val="20"/>
              </w:rPr>
              <w:t xml:space="preserve">etl/etl_dim_proveedor.py</w:t>
            </w:r>
          </w:p>
        </w:tc>
        <w:tc>
          <w:tcPr>
            <w:tcW w:type="dxa" w:w="4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Carga dim_proveedor (SCD Tipo 2, reconstruccion)</w:t>
            </w:r>
          </w:p>
        </w:tc>
      </w:tr>
      <w:tr>
        <w:tc>
          <w:tcPr>
            <w:tcW w:type="dxa" w:w="5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rFonts w:ascii="Consolas" w:cs="Consolas" w:eastAsia="Consolas" w:hAnsi="Consolas"/>
                <w:b w:val="false"/>
                <w:bCs w:val="false"/>
                <w:color w:val="000000"/>
                <w:sz w:val="20"/>
                <w:szCs w:val="20"/>
              </w:rPr>
              <w:t xml:space="preserve">etl/etl_dim_rubro.py</w:t>
            </w:r>
          </w:p>
        </w:tc>
        <w:tc>
          <w:tcPr>
            <w:tcW w:type="dxa" w:w="41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Carga dim_rubro (split de Rubros)</w:t>
            </w:r>
          </w:p>
        </w:tc>
      </w:tr>
      <w:tr>
        <w:tc>
          <w:tcPr>
            <w:tcW w:type="dxa" w:w="5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Consolas" w:cs="Consolas" w:eastAsia="Consolas" w:hAnsi="Consolas"/>
                <w:b w:val="false"/>
                <w:bCs w:val="false"/>
                <w:color w:val="000000"/>
                <w:sz w:val="20"/>
                <w:szCs w:val="20"/>
              </w:rPr>
              <w:t xml:space="preserve">etl/etl_dim_procedimiento.py</w:t>
            </w:r>
          </w:p>
        </w:tc>
        <w:tc>
          <w:tcPr>
            <w:tcW w:type="dxa" w:w="4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Carga dim_procedimiento (base)</w:t>
            </w:r>
          </w:p>
        </w:tc>
      </w:tr>
      <w:tr>
        <w:tc>
          <w:tcPr>
            <w:tcW w:type="dxa" w:w="5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rFonts w:ascii="Consolas" w:cs="Consolas" w:eastAsia="Consolas" w:hAnsi="Consolas"/>
                <w:b w:val="false"/>
                <w:bCs w:val="false"/>
                <w:color w:val="000000"/>
                <w:sz w:val="20"/>
                <w:szCs w:val="20"/>
              </w:rPr>
              <w:t xml:space="preserve">etl/etl_completar_procedimientos_faltantes.py</w:t>
            </w:r>
          </w:p>
        </w:tc>
        <w:tc>
          <w:tcPr>
            <w:tcW w:type="dxa" w:w="41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Agrega procedimientos historicos</w:t>
            </w:r>
          </w:p>
        </w:tc>
      </w:tr>
      <w:tr>
        <w:tc>
          <w:tcPr>
            <w:tcW w:type="dxa" w:w="5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Consolas" w:cs="Consolas" w:eastAsia="Consolas" w:hAnsi="Consolas"/>
                <w:b w:val="false"/>
                <w:bCs w:val="false"/>
                <w:color w:val="000000"/>
                <w:sz w:val="20"/>
                <w:szCs w:val="20"/>
              </w:rPr>
              <w:t xml:space="preserve">etl/etl_fact_convocatoria.py</w:t>
            </w:r>
          </w:p>
        </w:tc>
        <w:tc>
          <w:tcPr>
            <w:tcW w:type="dxa" w:w="4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Carga fact_convocatoria</w:t>
            </w:r>
          </w:p>
        </w:tc>
      </w:tr>
      <w:tr>
        <w:tc>
          <w:tcPr>
            <w:tcW w:type="dxa" w:w="5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rFonts w:ascii="Consolas" w:cs="Consolas" w:eastAsia="Consolas" w:hAnsi="Consolas"/>
                <w:b w:val="false"/>
                <w:bCs w:val="false"/>
                <w:color w:val="000000"/>
                <w:sz w:val="20"/>
                <w:szCs w:val="20"/>
              </w:rPr>
              <w:t xml:space="preserve">etl/etl_fact_adjudicacion.py</w:t>
            </w:r>
          </w:p>
        </w:tc>
        <w:tc>
          <w:tcPr>
            <w:tcW w:type="dxa" w:w="41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Carga fact_adjudicacion (linkage as-was)</w:t>
            </w:r>
          </w:p>
        </w:tc>
      </w:tr>
      <w:tr>
        <w:tc>
          <w:tcPr>
            <w:tcW w:type="dxa" w:w="5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Consolas" w:cs="Consolas" w:eastAsia="Consolas" w:hAnsi="Consolas"/>
                <w:b w:val="false"/>
                <w:bCs w:val="false"/>
                <w:color w:val="000000"/>
                <w:sz w:val="20"/>
                <w:szCs w:val="20"/>
              </w:rPr>
              <w:t xml:space="preserve">etl/etl_bridge_adjudicacion_rubro.py</w:t>
            </w:r>
          </w:p>
        </w:tc>
        <w:tc>
          <w:tcPr>
            <w:tcW w:type="dxa" w:w="4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Carga bridge_adjudicacion_rubro</w:t>
            </w:r>
          </w:p>
        </w:tc>
      </w:tr>
      <w:tr>
        <w:tc>
          <w:tcPr>
            <w:tcW w:type="dxa" w:w="52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rFonts w:ascii="Consolas" w:cs="Consolas" w:eastAsia="Consolas" w:hAnsi="Consolas"/>
                <w:b w:val="false"/>
                <w:bCs w:val="false"/>
                <w:color w:val="000000"/>
                <w:sz w:val="20"/>
                <w:szCs w:val="20"/>
              </w:rPr>
              <w:t xml:space="preserve">orchestration/definitions.py</w:t>
            </w:r>
          </w:p>
        </w:tc>
        <w:tc>
          <w:tcPr>
            <w:tcW w:type="dxa" w:w="41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Definiciones de Dagster (assets, sensor, jobs)</w:t>
            </w:r>
          </w:p>
        </w:tc>
      </w:tr>
    </w:tbl>
    <w:p>
      <w:pPr>
        <w:pStyle w:val="Heading2"/>
      </w:pPr>
      <w:r>
        <w:t xml:space="preserve">8.6 Vista de la orquestacion en Dagster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6A6A6" w:sz="1"/>
              <w:left w:val="dashed" w:color="A6A6A6" w:sz="1"/>
              <w:bottom w:val="dashed" w:color="A6A6A6" w:sz="1"/>
              <w:right w:val="dashed" w:color="A6A6A6" w:sz="1"/>
            </w:tcBorders>
            <w:shd w:fill="FAFAFA" w:val="clear"/>
            <w:tcMar>
              <w:top w:type="dxa" w:w="80"/>
              <w:left w:type="dxa" w:w="120"/>
              <w:bottom w:type="dxa" w:w="80"/>
              <w:right w:type="dxa" w:w="120"/>
            </w:tcMar>
          </w:tcPr>
          <w:p>
            <w:pPr>
              <w:spacing w:after="60" w:before="200"/>
              <w:jc w:val="center"/>
            </w:pPr>
            <w:r>
              <w:rPr>
                <w:i/>
                <w:iCs/>
                <w:color w:val="808080"/>
                <w:sz w:val="22"/>
                <w:szCs w:val="22"/>
              </w:rPr>
              <w:t xml:space="preserve">[ Pega aqui una captura de la UI de Dagster (grafo de assets o un run en verde) ]</w:t>
            </w:r>
          </w:p>
          <w:p/>
          <w:p/>
          <w:p/>
          <w:p/>
          <w:p/>
          <w:p/>
          <w:p/>
          <w:p/>
          <w:p/>
          <w:p/>
          <w:p/>
          <w:p/>
          <w:p/>
        </w:tc>
      </w:tr>
    </w:tbl>
    <w:p>
      <w:pPr>
        <w:spacing w:after="160"/>
        <w:jc w:val="center"/>
      </w:pPr>
      <w:r>
        <w:rPr>
          <w:i/>
          <w:iCs/>
          <w:color w:val="707070"/>
          <w:sz w:val="18"/>
          <w:szCs w:val="18"/>
        </w:rPr>
        <w:t xml:space="preserve">Figura 4. Grafo de assets / ejecucion del pipeline en Dagster.</w:t>
      </w:r>
    </w:p>
    <w:p>
      <w:pPr>
        <w:pStyle w:val="Heading1"/>
      </w:pPr>
      <w:r>
        <w:t xml:space="preserve">9. Dimension de cambios lentos: SCD Tipo 2 en dim_proveedor</w:t>
      </w:r>
    </w:p>
    <w:p>
      <w:pPr>
        <w:spacing w:after="120" w:line="276"/>
      </w:pPr>
      <w:r>
        <w:t xml:space="preserve">Por requisito de la catedra, al menos una dimension debia implementar Slowly Changing Dimensions (SCD). Se eligio dim_proveedor con SCD Tipo 2, por ser la dimension con la combinacion clasica: una clave de negocio estable (CUIT) y atributos descriptivos que cambian con el tiempo (razon social y provincia).</w:t>
      </w:r>
    </w:p>
    <w:p>
      <w:pPr>
        <w:pStyle w:val="Heading2"/>
      </w:pPr>
      <w:r>
        <w:t xml:space="preserve">9.1 Tipo 2 vs Tipo 3</w:t>
      </w:r>
    </w:p>
    <w:p>
      <w:pPr>
        <w:spacing w:after="120" w:line="276"/>
      </w:pPr>
      <w:r>
        <w:t xml:space="preserve">Tipo 3 guarda solo un valor anterior por columna (historia limitada). Tipo 2 agrega una fila nueva por cada cambio, con clave subrogada y vigencia (fecha_desde, fecha_hasta, es_vigente), conservando el historial completo. Se eligio Tipo 2 por ser el estandar y conservar toda la historia.</w:t>
      </w:r>
    </w:p>
    <w:p>
      <w:pPr>
        <w:pStyle w:val="Heading2"/>
      </w:pPr>
      <w:r>
        <w:t xml:space="preserve">9.2 Provincia como atributo versionable</w:t>
      </w:r>
    </w:p>
    <w:p>
      <w:pPr>
        <w:spacing w:after="120" w:line="276"/>
      </w:pPr>
      <w:r>
        <w:t xml:space="preserve">Al cruzar los CSV contra el diagrama se detecto que provincia no tenia fuente (quedaba siempre NULL). Se agrego al sheet de adjudicaciones la columna Provincia Operativa Proveedor para disponer de un segundo atributo versionable y poder demostrar el versionado por cambios de provincia.</w:t>
      </w:r>
    </w:p>
    <w:p>
      <w:pPr>
        <w:pStyle w:val="Heading2"/>
      </w:pPr>
      <w:r>
        <w:t xml:space="preserve">9.3 Reconstruccion del historial (effective-dated)</w:t>
      </w:r>
    </w:p>
    <w:p>
      <w:pPr>
        <w:spacing w:after="120" w:line="276"/>
      </w:pPr>
      <w:r>
        <w:t xml:space="preserve">Como adjudicaciones-2020 es un log con fechas, el historial de cambios ya esta embebido en los datos. Por eso el ETL no se queda con el estado mas reciente, sino que RECONSTRUYE la linea de tiempo: recorre cada CUIT por fecha y crea una version por cada periodo en que (razon social, provincia) se mantiene constante, con vigencia real tomada de las fechas de adjudicacion. La carga es un upsert idempotente por (cuit, fecha_desde) que NO trunca la tabla: inserta versiones nuevas y actualiza la vigencia de las existentes.</w:t>
      </w:r>
    </w:p>
    <w:p>
      <w:pPr>
        <w:spacing w:after="120" w:line="276"/>
      </w:pPr>
      <w:r>
        <w:t xml:space="preserve">Ejemplo (CUIT 20-18053177-8): con una adjudicacion en Tierra del Fuego el 05/11 entre adjudicaciones de San Luis, la reconstruccion produce 3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500"/>
        <w:gridCol w:w="1500"/>
        <w:gridCol w:w="13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razon_social</w:t>
            </w:r>
          </w:p>
        </w:tc>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provincia</w:t>
            </w:r>
          </w:p>
        </w:tc>
        <w:tc>
          <w:tcPr>
            <w:tcW w:type="dxa" w:w="1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fecha_desde</w:t>
            </w:r>
          </w:p>
        </w:tc>
        <w:tc>
          <w:tcPr>
            <w:tcW w:type="dxa" w:w="1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fecha_hasta</w:t>
            </w:r>
          </w:p>
        </w:tc>
        <w:tc>
          <w:tcPr>
            <w:tcW w:type="dxa" w:w="13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es_vigente</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F. P. Campolongo</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San Luis</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03/02/2020</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05/11/2020</w:t>
            </w:r>
          </w:p>
        </w:tc>
        <w:tc>
          <w:tcPr>
            <w:tcW w:type="dxa" w:w="1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false</w:t>
            </w:r>
          </w:p>
        </w:tc>
      </w:tr>
      <w:tr>
        <w:tc>
          <w:tcPr>
            <w:tcW w:type="dxa" w:w="26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F. P. Campolongo</w:t>
            </w:r>
          </w:p>
        </w:tc>
        <w:tc>
          <w:tcPr>
            <w:tcW w:type="dxa" w:w="2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Tierra del Fuego</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05/11/2020</w:t>
            </w:r>
          </w:p>
        </w:tc>
        <w:tc>
          <w:tcPr>
            <w:tcW w:type="dxa" w:w="15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09/11/2020</w:t>
            </w:r>
          </w:p>
        </w:tc>
        <w:tc>
          <w:tcPr>
            <w:tcW w:type="dxa" w:w="13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false</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F. P. Campolongo</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San Luis</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09/11/2020</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(null)</w:t>
            </w:r>
          </w:p>
        </w:tc>
        <w:tc>
          <w:tcPr>
            <w:tcW w:type="dxa" w:w="1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true</w:t>
            </w:r>
          </w:p>
        </w:tc>
      </w:tr>
    </w:tbl>
    <w:p>
      <w:pPr>
        <w:pStyle w:val="Heading2"/>
      </w:pPr>
      <w:r>
        <w:t xml:space="preserve">9.4 Linkage as-was en los hechos</w:t>
      </w:r>
    </w:p>
    <w:p>
      <w:pPr>
        <w:spacing w:after="120" w:line="276"/>
      </w:pPr>
      <w:r>
        <w:t xml:space="preserve">Para que el SCD2 sea util en el analisis, cada fact_adjudicacion apunta a la version del proveedor vigente EN LA FECHA de esa adjudicacion (no siempre a la actual). Se resuelve con un merge_asof backward por CUIT sobre fecha_desde. Asi, una metrica monto por provincia respeta la provincia de la epoca.</w:t>
      </w:r>
    </w:p>
    <w:p>
      <w:pPr>
        <w:pStyle w:val="Heading2"/>
      </w:pPr>
      <w:r>
        <w:t xml:space="preserve">9.5 Convivencia con el rebuild</w:t>
      </w:r>
    </w:p>
    <w:p>
      <w:pPr>
        <w:spacing w:after="120" w:line="276"/>
      </w:pPr>
      <w:r>
        <w:t xml:space="preserve">dim_proveedor es la unica tabla que NO se trunca en cada rebuild (reset_dw la excluye), para que el historial sobreviva. El resto del DW sigue con recarga completa.</w:t>
      </w:r>
    </w:p>
    <w:p>
      <w:pPr>
        <w:pStyle w:val="Heading1"/>
      </w:pPr>
      <w:r>
        <w:t xml:space="preserve">10. Capa de analisis y visualizacion (Power BI)</w:t>
      </w:r>
    </w:p>
    <w:p>
      <w:pPr>
        <w:pStyle w:val="Heading2"/>
      </w:pPr>
      <w:r>
        <w:t xml:space="preserve">10.1 Modo Import (resiliencia)</w:t>
      </w:r>
    </w:p>
    <w:p>
      <w:pPr>
        <w:spacing w:after="120" w:line="276"/>
      </w:pPr>
      <w:r>
        <w:t xml:space="preserve">Requisito: que las metricas sigan disponibles aunque se caiga la conexion con el DW. Se resuelve usando el modo Import de Power BI, que cachea una copia de los datos dentro del modelo. Si Neon se cae, los visuales siguen mostrando el ultimo snapshot; el refresh actualiza la copia. DirectQuery no cumpliria el requisito porque consulta en vivo.</w:t>
      </w:r>
    </w:p>
    <w:p>
      <w:pPr>
        <w:pStyle w:val="Heading2"/>
      </w:pPr>
      <w:r>
        <w:t xml:space="preserve">10.2 Modelo y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Desde (hecho)</w:t>
            </w:r>
          </w:p>
        </w:tc>
        <w:tc>
          <w:tcPr>
            <w:tcW w:type="dxa" w:w="46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Hacia (dimension)</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Consolas" w:cs="Consolas" w:eastAsia="Consolas" w:hAnsi="Consolas"/>
                <w:b w:val="false"/>
                <w:bCs w:val="false"/>
                <w:color w:val="000000"/>
                <w:sz w:val="20"/>
                <w:szCs w:val="20"/>
              </w:rPr>
              <w:t xml:space="preserve">fact_adjudicacion[proveedor_id]</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dim_proveedor[proveedor_id]</w:t>
            </w:r>
          </w:p>
        </w:tc>
      </w:tr>
      <w:tr>
        <w:tc>
          <w:tcPr>
            <w:tcW w:type="dxa" w:w="46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rFonts w:ascii="Consolas" w:cs="Consolas" w:eastAsia="Consolas" w:hAnsi="Consolas"/>
                <w:b w:val="false"/>
                <w:bCs w:val="false"/>
                <w:color w:val="000000"/>
                <w:sz w:val="20"/>
                <w:szCs w:val="20"/>
              </w:rPr>
              <w:t xml:space="preserve">fact_adjudicacion[procedimiento_id]</w:t>
            </w:r>
          </w:p>
        </w:tc>
        <w:tc>
          <w:tcPr>
            <w:tcW w:type="dxa" w:w="46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dim_procedimiento[procedimiento_id]</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Consolas" w:cs="Consolas" w:eastAsia="Consolas" w:hAnsi="Consolas"/>
                <w:b w:val="false"/>
                <w:bCs w:val="false"/>
                <w:color w:val="000000"/>
                <w:sz w:val="20"/>
                <w:szCs w:val="20"/>
              </w:rPr>
              <w:t xml:space="preserve">fact_adjudicacion[fecha_adjudicacion_id]</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dim_fecha[fecha_id]</w:t>
            </w:r>
          </w:p>
        </w:tc>
      </w:tr>
      <w:tr>
        <w:tc>
          <w:tcPr>
            <w:tcW w:type="dxa" w:w="46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rFonts w:ascii="Consolas" w:cs="Consolas" w:eastAsia="Consolas" w:hAnsi="Consolas"/>
                <w:b w:val="false"/>
                <w:bCs w:val="false"/>
                <w:color w:val="000000"/>
                <w:sz w:val="20"/>
                <w:szCs w:val="20"/>
              </w:rPr>
              <w:t xml:space="preserve">fact_convocatoria[organismo_id]</w:t>
            </w:r>
          </w:p>
        </w:tc>
        <w:tc>
          <w:tcPr>
            <w:tcW w:type="dxa" w:w="46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dim_organismo[organismo_id]</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Consolas" w:cs="Consolas" w:eastAsia="Consolas" w:hAnsi="Consolas"/>
                <w:b w:val="false"/>
                <w:bCs w:val="false"/>
                <w:color w:val="000000"/>
                <w:sz w:val="20"/>
                <w:szCs w:val="20"/>
              </w:rPr>
              <w:t xml:space="preserve">fact_convocatoria[procedimiento_id]</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dim_procedimiento[procedimiento_id]</w:t>
            </w:r>
          </w:p>
        </w:tc>
      </w:tr>
      <w:tr>
        <w:tc>
          <w:tcPr>
            <w:tcW w:type="dxa" w:w="46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rFonts w:ascii="Consolas" w:cs="Consolas" w:eastAsia="Consolas" w:hAnsi="Consolas"/>
                <w:b w:val="false"/>
                <w:bCs w:val="false"/>
                <w:color w:val="000000"/>
                <w:sz w:val="20"/>
                <w:szCs w:val="20"/>
              </w:rPr>
              <w:t xml:space="preserve">fact_convocatoria[fecha_publicacion_id]</w:t>
            </w:r>
          </w:p>
        </w:tc>
        <w:tc>
          <w:tcPr>
            <w:tcW w:type="dxa" w:w="46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dim_fecha[fecha_id]</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Consolas" w:cs="Consolas" w:eastAsia="Consolas" w:hAnsi="Consolas"/>
                <w:b w:val="false"/>
                <w:bCs w:val="false"/>
                <w:color w:val="000000"/>
                <w:sz w:val="20"/>
                <w:szCs w:val="20"/>
              </w:rPr>
              <w:t xml:space="preserve">bridge[fact_adjudicacion_id]</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fact_adjudicacion[fact_adjudicacion_id]</w:t>
            </w:r>
          </w:p>
        </w:tc>
      </w:tr>
      <w:tr>
        <w:tc>
          <w:tcPr>
            <w:tcW w:type="dxa" w:w="46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rFonts w:ascii="Consolas" w:cs="Consolas" w:eastAsia="Consolas" w:hAnsi="Consolas"/>
                <w:b w:val="false"/>
                <w:bCs w:val="false"/>
                <w:color w:val="000000"/>
                <w:sz w:val="20"/>
                <w:szCs w:val="20"/>
              </w:rPr>
              <w:t xml:space="preserve">bridge[rubro_id]</w:t>
            </w:r>
          </w:p>
        </w:tc>
        <w:tc>
          <w:tcPr>
            <w:tcW w:type="dxa" w:w="468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dim_rubro[rubro_id]</w:t>
            </w:r>
          </w:p>
        </w:tc>
      </w:tr>
    </w:tbl>
    <w:p>
      <w:pPr>
        <w:pStyle w:val="Heading2"/>
      </w:pPr>
      <w:r>
        <w:t xml:space="preserve">10.3 Metricas (medidas DAX)</w:t>
      </w:r>
    </w:p>
    <w:p>
      <w:pPr>
        <w:spacing w:after="120" w:line="276"/>
      </w:pPr>
      <w:r>
        <w:t xml:space="preserve">Se definieron medidas de conteo, de monto (con el cuidado de no sumar distintas monedas), participacion y ranking de proveedores, conteo por rubro (via el bridge) e inteligencia temporal. Ejemplos: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Medida</w:t>
            </w:r>
          </w:p>
        </w:tc>
        <w:tc>
          <w:tcPr>
            <w:tcW w:type="dxa" w:w="59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Definicion (resumida)</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Consolas" w:cs="Consolas" w:eastAsia="Consolas" w:hAnsi="Consolas"/>
                <w:b w:val="false"/>
                <w:bCs w:val="false"/>
                <w:color w:val="000000"/>
                <w:sz w:val="20"/>
                <w:szCs w:val="20"/>
              </w:rPr>
              <w:t xml:space="preserve">Monto Adjudicado (ARS)</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CALCULATE(SUM(monto_adjudicado); moneda = Peso Argentino)</w:t>
            </w:r>
          </w:p>
        </w:tc>
      </w:tr>
      <w:tr>
        <w:tc>
          <w:tcPr>
            <w:tcW w:type="dxa" w:w="3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rFonts w:ascii="Consolas" w:cs="Consolas" w:eastAsia="Consolas" w:hAnsi="Consolas"/>
                <w:b w:val="false"/>
                <w:bCs w:val="false"/>
                <w:color w:val="000000"/>
                <w:sz w:val="20"/>
                <w:szCs w:val="20"/>
              </w:rPr>
              <w:t xml:space="preserve">Cant Adjudicaciones</w:t>
            </w:r>
          </w:p>
        </w:tc>
        <w:tc>
          <w:tcPr>
            <w:tcW w:type="dxa" w:w="59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COUNTROWS(fact_adjudicacion)</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Consolas" w:cs="Consolas" w:eastAsia="Consolas" w:hAnsi="Consolas"/>
                <w:b w:val="false"/>
                <w:bCs w:val="false"/>
                <w:color w:val="000000"/>
                <w:sz w:val="20"/>
                <w:szCs w:val="20"/>
              </w:rPr>
              <w:t xml:space="preserve">Ticket Promedio (ARS)</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DIVIDE(Monto Adjudicado; Cant Adjudicaciones)</w:t>
            </w:r>
          </w:p>
        </w:tc>
      </w:tr>
      <w:tr>
        <w:tc>
          <w:tcPr>
            <w:tcW w:type="dxa" w:w="3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rFonts w:ascii="Consolas" w:cs="Consolas" w:eastAsia="Consolas" w:hAnsi="Consolas"/>
                <w:b w:val="false"/>
                <w:bCs w:val="false"/>
                <w:color w:val="000000"/>
                <w:sz w:val="20"/>
                <w:szCs w:val="20"/>
              </w:rPr>
              <w:t xml:space="preserve">Ranking Proveedor</w:t>
            </w:r>
          </w:p>
        </w:tc>
        <w:tc>
          <w:tcPr>
            <w:tcW w:type="dxa" w:w="59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RANKX(ALL(razon_social); Monto Adjudicado; ; DESC; DENSE)</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Consolas" w:cs="Consolas" w:eastAsia="Consolas" w:hAnsi="Consolas"/>
                <w:b w:val="false"/>
                <w:bCs w:val="false"/>
                <w:color w:val="000000"/>
                <w:sz w:val="20"/>
                <w:szCs w:val="20"/>
              </w:rPr>
              <w:t xml:space="preserve">Monto Adjudicado YTD</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TOTALYTD(Monto Adjudicado; dim_fecha[fecha])</w:t>
            </w:r>
          </w:p>
        </w:tc>
      </w:tr>
    </w:tbl>
    <w:p>
      <w:pPr>
        <w:spacing w:after="120" w:line="276"/>
      </w:pPr>
      <w:r>
        <w:t xml:space="preserve">Caveats documentados: no sumar monto sin filtrar moneda, y que sumar monto por rubro sobre-cuenta el total (por el bridge N:M).</w:t>
      </w:r>
    </w:p>
    <w:p>
      <w:pPr>
        <w:pStyle w:val="Heading2"/>
      </w:pPr>
      <w:r>
        <w:t xml:space="preserve">10.4 Tableros</w:t>
      </w:r>
    </w:p>
    <w:p>
      <w:pPr>
        <w:spacing w:after="120" w:line="276"/>
      </w:pPr>
      <w:r>
        <w:t xml:space="preserve">Se disenaron dos dashboards: uno de adjudicaciones (monto adjudicado, ticket promedio, top proveedores, evolucion mensual, por tipo de procedimiento y por rubro) y otro de convocatorias (monto estimado, top organismos, evolucion mensual, por tipo de procedimiento y por etapa).</w:t>
      </w:r>
    </w:p>
    <w:p>
      <w:pPr>
        <w:pStyle w:val="Heading3"/>
      </w:pPr>
      <w:r>
        <w:t xml:space="preserve">Dashboard de adjudicaciones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6A6A6" w:sz="1"/>
              <w:left w:val="dashed" w:color="A6A6A6" w:sz="1"/>
              <w:bottom w:val="dashed" w:color="A6A6A6" w:sz="1"/>
              <w:right w:val="dashed" w:color="A6A6A6" w:sz="1"/>
            </w:tcBorders>
            <w:shd w:fill="FAFAFA" w:val="clear"/>
            <w:tcMar>
              <w:top w:type="dxa" w:w="80"/>
              <w:left w:type="dxa" w:w="120"/>
              <w:bottom w:type="dxa" w:w="80"/>
              <w:right w:type="dxa" w:w="120"/>
            </w:tcMar>
          </w:tcPr>
          <w:p>
            <w:pPr>
              <w:spacing w:after="60" w:before="200"/>
              <w:jc w:val="center"/>
            </w:pPr>
            <w:r>
              <w:rPr>
                <w:i/>
                <w:iCs/>
                <w:color w:val="808080"/>
                <w:sz w:val="22"/>
                <w:szCs w:val="22"/>
              </w:rPr>
              <w:t xml:space="preserve">[ Pega aqui el screenshot del dashboard de ADJUDICACIONES en Power BI ]</w:t>
            </w:r>
          </w:p>
          <w:p/>
          <w:p/>
          <w:p/>
          <w:p/>
          <w:p/>
          <w:p/>
          <w:p/>
          <w:p/>
          <w:p/>
          <w:p/>
          <w:p/>
          <w:p/>
          <w:p/>
          <w:p/>
        </w:tc>
      </w:tr>
    </w:tbl>
    <w:p>
      <w:pPr>
        <w:spacing w:after="160"/>
        <w:jc w:val="center"/>
      </w:pPr>
      <w:r>
        <w:rPr>
          <w:i/>
          <w:iCs/>
          <w:color w:val="707070"/>
          <w:sz w:val="18"/>
          <w:szCs w:val="18"/>
        </w:rPr>
        <w:t xml:space="preserve">Figura 5. Dashboard de adjudicaciones (Power BI).</w:t>
      </w:r>
    </w:p>
    <w:p>
      <w:pPr>
        <w:pStyle w:val="Heading3"/>
      </w:pPr>
      <w:r>
        <w:t xml:space="preserve">Dashboard de convocatorias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6A6A6" w:sz="1"/>
              <w:left w:val="dashed" w:color="A6A6A6" w:sz="1"/>
              <w:bottom w:val="dashed" w:color="A6A6A6" w:sz="1"/>
              <w:right w:val="dashed" w:color="A6A6A6" w:sz="1"/>
            </w:tcBorders>
            <w:shd w:fill="FAFAFA" w:val="clear"/>
            <w:tcMar>
              <w:top w:type="dxa" w:w="80"/>
              <w:left w:type="dxa" w:w="120"/>
              <w:bottom w:type="dxa" w:w="80"/>
              <w:right w:type="dxa" w:w="120"/>
            </w:tcMar>
          </w:tcPr>
          <w:p>
            <w:pPr>
              <w:spacing w:after="60" w:before="200"/>
              <w:jc w:val="center"/>
            </w:pPr>
            <w:r>
              <w:rPr>
                <w:i/>
                <w:iCs/>
                <w:color w:val="808080"/>
                <w:sz w:val="22"/>
                <w:szCs w:val="22"/>
              </w:rPr>
              <w:t xml:space="preserve">[ Pega aqui el screenshot del dashboard de CONVOCATORIAS en Power BI ]</w:t>
            </w:r>
          </w:p>
          <w:p/>
          <w:p/>
          <w:p/>
          <w:p/>
          <w:p/>
          <w:p/>
          <w:p/>
          <w:p/>
          <w:p/>
          <w:p/>
          <w:p/>
          <w:p/>
          <w:p/>
          <w:p/>
        </w:tc>
      </w:tr>
    </w:tbl>
    <w:p>
      <w:pPr>
        <w:spacing w:after="160"/>
        <w:jc w:val="center"/>
      </w:pPr>
      <w:r>
        <w:rPr>
          <w:i/>
          <w:iCs/>
          <w:color w:val="707070"/>
          <w:sz w:val="18"/>
          <w:szCs w:val="18"/>
        </w:rPr>
        <w:t xml:space="preserve">Figura 6. Dashboard de convocatorias (Power BI).</w:t>
      </w:r>
    </w:p>
    <w:p>
      <w:pPr>
        <w:pStyle w:val="Heading1"/>
      </w:pPr>
      <w:r>
        <w:t xml:space="preserve">11. Resultados finales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Tabla</w:t>
            </w:r>
          </w:p>
        </w:tc>
        <w:tc>
          <w:tcPr>
            <w:tcW w:type="dxa" w:w="18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Filas</w:t>
            </w:r>
          </w:p>
        </w:tc>
        <w:tc>
          <w:tcPr>
            <w:tcW w:type="dxa" w:w="41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Observacion</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dim_fecha</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4.018</w:t>
            </w:r>
          </w:p>
        </w:tc>
        <w:tc>
          <w:tcPr>
            <w:tcW w:type="dxa" w:w="4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Calendario 2020-2030</w:t>
            </w:r>
          </w:p>
        </w:tc>
      </w:tr>
      <w:tr>
        <w:tc>
          <w:tcPr>
            <w:tcW w:type="dxa" w:w="3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dim_organismo</w:t>
            </w:r>
          </w:p>
        </w:tc>
        <w:tc>
          <w:tcPr>
            <w:tcW w:type="dxa" w:w="18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415</w:t>
            </w:r>
          </w:p>
        </w:tc>
        <w:tc>
          <w:tcPr>
            <w:tcW w:type="dxa" w:w="41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Clave SAF+Desc.SAF+UOC+Desc.UOC</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dim_procedimiento</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15.708</w:t>
            </w:r>
          </w:p>
        </w:tc>
        <w:tc>
          <w:tcPr>
            <w:tcW w:type="dxa" w:w="4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13.549 + 2.159 historicos</w:t>
            </w:r>
          </w:p>
        </w:tc>
      </w:tr>
      <w:tr>
        <w:tc>
          <w:tcPr>
            <w:tcW w:type="dxa" w:w="3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dim_rubro</w:t>
            </w:r>
          </w:p>
        </w:tc>
        <w:tc>
          <w:tcPr>
            <w:tcW w:type="dxa" w:w="18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49</w:t>
            </w:r>
          </w:p>
        </w:tc>
        <w:tc>
          <w:tcPr>
            <w:tcW w:type="dxa" w:w="41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Rubros unicos</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dim_proveedor</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4.475 CUIT</w:t>
            </w:r>
          </w:p>
        </w:tc>
        <w:tc>
          <w:tcPr>
            <w:tcW w:type="dxa" w:w="4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SCD Tipo 2 (varias versiones por CUIT)</w:t>
            </w:r>
          </w:p>
        </w:tc>
      </w:tr>
      <w:tr>
        <w:tc>
          <w:tcPr>
            <w:tcW w:type="dxa" w:w="3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fact_convocatoria</w:t>
            </w:r>
          </w:p>
        </w:tc>
        <w:tc>
          <w:tcPr>
            <w:tcW w:type="dxa" w:w="18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13.549</w:t>
            </w:r>
          </w:p>
        </w:tc>
        <w:tc>
          <w:tcPr>
            <w:tcW w:type="dxa" w:w="41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Relacion 1:1 con organismo</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fact_adjudicacion</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22.278</w:t>
            </w:r>
          </w:p>
        </w:tc>
        <w:tc>
          <w:tcPr>
            <w:tcW w:type="dxa" w:w="4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De 22.281 (3 sin fecha excluidas)</w:t>
            </w:r>
          </w:p>
        </w:tc>
      </w:tr>
      <w:tr>
        <w:tc>
          <w:tcPr>
            <w:tcW w:type="dxa" w:w="34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bridge_adjudicacion_rubro</w:t>
            </w:r>
          </w:p>
        </w:tc>
        <w:tc>
          <w:tcPr>
            <w:tcW w:type="dxa" w:w="180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66.909</w:t>
            </w:r>
          </w:p>
        </w:tc>
        <w:tc>
          <w:tcPr>
            <w:tcW w:type="dxa" w:w="4160"/>
            <w:tcBorders>
              <w:top w:val="single" w:color="BBBBBB" w:sz="1"/>
              <w:left w:val="single" w:color="BBBBBB" w:sz="1"/>
              <w:bottom w:val="single" w:color="BBBBBB" w:sz="1"/>
              <w:right w:val="single" w:color="BBBBBB" w:sz="1"/>
            </w:tcBorders>
            <w:shd w:fill="F2F6FB" w:val="clear"/>
            <w:tcMar>
              <w:top w:type="dxa" w:w="60"/>
              <w:left w:type="dxa" w:w="110"/>
              <w:bottom w:type="dxa" w:w="60"/>
              <w:right w:type="dxa" w:w="110"/>
            </w:tcMar>
          </w:tcPr>
          <w:p>
            <w:r>
              <w:rPr>
                <w:b w:val="false"/>
                <w:bCs w:val="false"/>
                <w:color w:val="000000"/>
                <w:sz w:val="20"/>
                <w:szCs w:val="20"/>
              </w:rPr>
              <w:t xml:space="preserve">Explode de rubros</w:t>
            </w:r>
          </w:p>
        </w:tc>
      </w:tr>
    </w:tbl>
    <w:p>
      <w:pPr>
        <w:spacing w:after="120" w:line="276"/>
      </w:pPr>
      <w:r>
        <w:t xml:space="preserve">Monto total adjudicado (validacion): 56.510.094.540,30. Validaciones de integridad: 0 proveedores, procedimientos, fechas y rubros sin match; 0 nulos relevantes; 0 duplicados de nro_orden_compra.</w:t>
      </w:r>
    </w:p>
    <w:p>
      <w:pPr>
        <w:pStyle w:val="Heading1"/>
      </w:pPr>
      <w:r>
        <w:t xml:space="preserve">12. Control de versiones</w:t>
      </w:r>
    </w:p>
    <w:p>
      <w:pPr>
        <w:spacing w:after="120" w:line="276"/>
      </w:pPr>
      <w:r>
        <w:t xml:space="preserve">El proyecto se versiona en GitHub. El ETL con SCD Tipo 2 (que constituye una variante del ETL) se desarrollo en una rama paralela (etl-scd-proveedor), dejando main como la version previa, de modo que ambas convivan como ETLs distintos.</w:t>
      </w:r>
    </w:p>
    <w:p>
      <w:pPr>
        <w:pStyle w:val="Heading1"/>
      </w:pPr>
      <w:r>
        <w:t xml:space="preserve">13. Proximos pasos y mejoras futuras</w:t>
      </w:r>
    </w:p>
    <w:p>
      <w:pPr>
        <w:pStyle w:val="ListParagraph"/>
        <w:numPr>
          <w:ilvl w:val="0"/>
          <w:numId w:val="2"/>
        </w:numPr>
        <w:spacing w:after="60"/>
      </w:pPr>
      <w:r>
        <w:t xml:space="preserve">Mover la fuente a Google Drive y disparar el ETL por webhook (en lugar del polling del sensor).</w:t>
      </w:r>
    </w:p>
    <w:p>
      <w:pPr>
        <w:pStyle w:val="ListParagraph"/>
        <w:numPr>
          <w:ilvl w:val="0"/>
          <w:numId w:val="2"/>
        </w:numPr>
        <w:spacing w:after="60"/>
      </w:pPr>
      <w:r>
        <w:t xml:space="preserve">Programar el refresh de Power BI en el servicio (con on-premises data gateway hacia Neon).</w:t>
      </w:r>
    </w:p>
    <w:p>
      <w:pPr>
        <w:pStyle w:val="ListParagraph"/>
        <w:numPr>
          <w:ilvl w:val="0"/>
          <w:numId w:val="2"/>
        </w:numPr>
        <w:spacing w:after="60"/>
      </w:pPr>
      <w:r>
        <w:t xml:space="preserve">Correr Dagster como servicio en segundo plano para operacion desatendida.</w:t>
      </w:r>
    </w:p>
    <w:p>
      <w:pPr>
        <w:pStyle w:val="ListParagraph"/>
        <w:numPr>
          <w:ilvl w:val="0"/>
          <w:numId w:val="2"/>
        </w:numPr>
        <w:spacing w:after="60"/>
      </w:pPr>
      <w:r>
        <w:t xml:space="preserve">Ampliar el set de KPIs y dashboards (por organismo, por rubro, evolucion temporal).</w:t>
      </w:r>
    </w:p>
    <w:p>
      <w:pPr>
        <w:pStyle w:val="ListParagraph"/>
        <w:numPr>
          <w:ilvl w:val="0"/>
          <w:numId w:val="2"/>
        </w:numPr>
        <w:spacing w:after="60"/>
      </w:pPr>
      <w:r>
        <w:t xml:space="preserve">Evaluar enriquecer dim_proveedor con una fuente real de provincia/jurisdiccion.</w:t>
      </w:r>
    </w:p>
    <w:p>
      <w:pPr>
        <w:pStyle w:val="Heading1"/>
      </w:pPr>
      <w:r>
        <w:t xml:space="preserve">14. Conclusiones</w:t>
      </w:r>
    </w:p>
    <w:p>
      <w:pPr>
        <w:spacing w:after="120" w:line="276"/>
      </w:pPr>
      <w:r>
        <w:t xml:space="preserve">Se construyo un Data Warehouse funcional y consistente sobre contrataciones publicas 2020, aplicando modelado dimensional (estrella), resolucion de problemas reales de calidad de datos (claves de negocio, multivaluados, historicos faltantes, formatos), automatizacion con un orquestador (Dagster con deteccion de cambios por hash) y una dimension de cambios lentos SCD Tipo 2 con linkage historico (as-was). La capa de analisis en Power BI, en modo Import, garantiza disponibilidad de las metricas aun sin conexion a la base.</w:t>
      </w:r>
    </w:p>
    <w:p>
      <w:pPr>
        <w:spacing w:after="120" w:line="276"/>
      </w:pPr>
      <w:r>
        <w:t xml:space="preserve">Los procesos quedaron verificados (conteos Python vs PostgreSQL, integridad referencial y simulaciones de la logica), documentados en la bitacora del proyecto y versionados en GitHub.</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Data Warehouse Contrataciones Publicas 2020  -  Pagina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E8C"/>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31f3ed4b63b104829449d8e45265afa57617f6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Proyecto DW BD2</dc:creator>
  <cp:lastModifiedBy>Un-named</cp:lastModifiedBy>
  <cp:revision>1</cp:revision>
  <dcterms:created xsi:type="dcterms:W3CDTF">2026-06-11T23:46:48.995Z</dcterms:created>
  <dcterms:modified xsi:type="dcterms:W3CDTF">2026-06-11T23:46:48.995Z</dcterms:modified>
</cp:coreProperties>
</file>

<file path=docProps/custom.xml><?xml version="1.0" encoding="utf-8"?>
<Properties xmlns="http://schemas.openxmlformats.org/officeDocument/2006/custom-properties" xmlns:vt="http://schemas.openxmlformats.org/officeDocument/2006/docPropsVTypes"/>
</file>