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0B396" w14:textId="2464D069" w:rsidR="005C3AD9" w:rsidRPr="005C3AD9" w:rsidRDefault="005C3AD9" w:rsidP="005C3AD9">
      <w:pPr>
        <w:jc w:val="center"/>
        <w:rPr>
          <w:b/>
          <w:bCs/>
          <w:sz w:val="32"/>
          <w:szCs w:val="32"/>
        </w:rPr>
      </w:pPr>
      <w:r w:rsidRPr="005C3AD9">
        <w:rPr>
          <w:b/>
          <w:bCs/>
          <w:sz w:val="32"/>
          <w:szCs w:val="32"/>
        </w:rPr>
        <w:t>CASE PROBLEM: ALUMNI GIVING</w:t>
      </w:r>
      <w:bookmarkStart w:id="0" w:name="_GoBack"/>
      <w:bookmarkEnd w:id="0"/>
    </w:p>
    <w:p w14:paraId="6518C81F" w14:textId="61FEB2DD" w:rsidR="005224E2" w:rsidRPr="005C3AD9" w:rsidRDefault="006F5758">
      <w:pPr>
        <w:rPr>
          <w:rFonts w:cstheme="minorHAnsi"/>
          <w:b/>
          <w:bCs/>
          <w:sz w:val="24"/>
          <w:szCs w:val="24"/>
        </w:rPr>
      </w:pPr>
      <w:r w:rsidRPr="005C3AD9">
        <w:rPr>
          <w:rFonts w:cstheme="minorHAnsi"/>
          <w:b/>
          <w:bCs/>
          <w:sz w:val="24"/>
          <w:szCs w:val="24"/>
        </w:rPr>
        <w:t>1. Use methods of descriptive statistics to summarize the data.</w:t>
      </w:r>
    </w:p>
    <w:tbl>
      <w:tblPr>
        <w:tblStyle w:val="TableGrid"/>
        <w:tblW w:w="0" w:type="auto"/>
        <w:tblLook w:val="04A0" w:firstRow="1" w:lastRow="0" w:firstColumn="1" w:lastColumn="0" w:noHBand="0" w:noVBand="1"/>
      </w:tblPr>
      <w:tblGrid>
        <w:gridCol w:w="1870"/>
        <w:gridCol w:w="1870"/>
        <w:gridCol w:w="1870"/>
        <w:gridCol w:w="1870"/>
        <w:gridCol w:w="1870"/>
      </w:tblGrid>
      <w:tr w:rsidR="006F5758" w:rsidRPr="005C3AD9" w14:paraId="7CDBC546" w14:textId="77777777" w:rsidTr="006F5758">
        <w:tc>
          <w:tcPr>
            <w:tcW w:w="1870" w:type="dxa"/>
          </w:tcPr>
          <w:p w14:paraId="0D8F2619" w14:textId="77777777" w:rsidR="006F5758" w:rsidRPr="005C3AD9" w:rsidRDefault="006F5758">
            <w:pPr>
              <w:rPr>
                <w:rFonts w:cstheme="minorHAnsi"/>
                <w:sz w:val="24"/>
                <w:szCs w:val="24"/>
              </w:rPr>
            </w:pPr>
          </w:p>
        </w:tc>
        <w:tc>
          <w:tcPr>
            <w:tcW w:w="1870" w:type="dxa"/>
          </w:tcPr>
          <w:p w14:paraId="47B53F82" w14:textId="248C726B" w:rsidR="006F5758" w:rsidRPr="005C3AD9" w:rsidRDefault="006F5758">
            <w:pPr>
              <w:rPr>
                <w:rFonts w:cstheme="minorHAnsi"/>
                <w:sz w:val="24"/>
                <w:szCs w:val="24"/>
              </w:rPr>
            </w:pPr>
            <w:r w:rsidRPr="005C3AD9">
              <w:rPr>
                <w:rFonts w:cstheme="minorHAnsi"/>
                <w:sz w:val="24"/>
                <w:szCs w:val="24"/>
              </w:rPr>
              <w:t>Graduation Rate</w:t>
            </w:r>
          </w:p>
        </w:tc>
        <w:tc>
          <w:tcPr>
            <w:tcW w:w="1870" w:type="dxa"/>
          </w:tcPr>
          <w:p w14:paraId="0F52416F" w14:textId="150F9EE3" w:rsidR="006F5758" w:rsidRPr="005C3AD9" w:rsidRDefault="006F5758">
            <w:pPr>
              <w:rPr>
                <w:rFonts w:cstheme="minorHAnsi"/>
                <w:sz w:val="24"/>
                <w:szCs w:val="24"/>
              </w:rPr>
            </w:pPr>
            <w:r w:rsidRPr="005C3AD9">
              <w:rPr>
                <w:rFonts w:cstheme="minorHAnsi"/>
                <w:sz w:val="24"/>
                <w:szCs w:val="24"/>
              </w:rPr>
              <w:t>% of Classes Under 20</w:t>
            </w:r>
          </w:p>
        </w:tc>
        <w:tc>
          <w:tcPr>
            <w:tcW w:w="1870" w:type="dxa"/>
          </w:tcPr>
          <w:p w14:paraId="61A505AE" w14:textId="0D705CAE" w:rsidR="006F5758" w:rsidRPr="005C3AD9" w:rsidRDefault="006F5758">
            <w:pPr>
              <w:rPr>
                <w:rFonts w:cstheme="minorHAnsi"/>
                <w:sz w:val="24"/>
                <w:szCs w:val="24"/>
              </w:rPr>
            </w:pPr>
            <w:r w:rsidRPr="005C3AD9">
              <w:rPr>
                <w:rFonts w:cstheme="minorHAnsi"/>
                <w:sz w:val="24"/>
                <w:szCs w:val="24"/>
              </w:rPr>
              <w:t>Student-Faculty Ratio</w:t>
            </w:r>
          </w:p>
        </w:tc>
        <w:tc>
          <w:tcPr>
            <w:tcW w:w="1870" w:type="dxa"/>
          </w:tcPr>
          <w:p w14:paraId="12D7D38F" w14:textId="0F970EE8" w:rsidR="006F5758" w:rsidRPr="005C3AD9" w:rsidRDefault="006F5758">
            <w:pPr>
              <w:rPr>
                <w:rFonts w:cstheme="minorHAnsi"/>
                <w:sz w:val="24"/>
                <w:szCs w:val="24"/>
              </w:rPr>
            </w:pPr>
            <w:r w:rsidRPr="005C3AD9">
              <w:rPr>
                <w:rFonts w:cstheme="minorHAnsi"/>
                <w:sz w:val="24"/>
                <w:szCs w:val="24"/>
              </w:rPr>
              <w:t>Alumni Giving Rate</w:t>
            </w:r>
          </w:p>
        </w:tc>
      </w:tr>
      <w:tr w:rsidR="006F5758" w:rsidRPr="005C3AD9" w14:paraId="3B5BA467" w14:textId="77777777" w:rsidTr="006F5758">
        <w:tc>
          <w:tcPr>
            <w:tcW w:w="1870" w:type="dxa"/>
          </w:tcPr>
          <w:p w14:paraId="162C14B4" w14:textId="28909C5D" w:rsidR="006F5758" w:rsidRPr="005C3AD9" w:rsidRDefault="006F5758">
            <w:pPr>
              <w:rPr>
                <w:rFonts w:cstheme="minorHAnsi"/>
                <w:sz w:val="24"/>
                <w:szCs w:val="24"/>
              </w:rPr>
            </w:pPr>
            <w:r w:rsidRPr="005C3AD9">
              <w:rPr>
                <w:rFonts w:cstheme="minorHAnsi"/>
                <w:sz w:val="24"/>
                <w:szCs w:val="24"/>
              </w:rPr>
              <w:t>Mean</w:t>
            </w:r>
          </w:p>
        </w:tc>
        <w:tc>
          <w:tcPr>
            <w:tcW w:w="1870" w:type="dxa"/>
          </w:tcPr>
          <w:p w14:paraId="3423040D" w14:textId="33D61D03" w:rsidR="006F5758" w:rsidRPr="005C3AD9" w:rsidRDefault="006F5758">
            <w:pPr>
              <w:rPr>
                <w:rFonts w:cstheme="minorHAnsi"/>
                <w:sz w:val="24"/>
                <w:szCs w:val="24"/>
              </w:rPr>
            </w:pPr>
            <w:r w:rsidRPr="005C3AD9">
              <w:rPr>
                <w:rFonts w:cstheme="minorHAnsi"/>
                <w:sz w:val="24"/>
                <w:szCs w:val="24"/>
              </w:rPr>
              <w:t>83.04</w:t>
            </w:r>
          </w:p>
        </w:tc>
        <w:tc>
          <w:tcPr>
            <w:tcW w:w="1870" w:type="dxa"/>
          </w:tcPr>
          <w:p w14:paraId="3E5F2537" w14:textId="14C9CB02" w:rsidR="006F5758" w:rsidRPr="005C3AD9" w:rsidRDefault="006F5758">
            <w:pPr>
              <w:rPr>
                <w:rFonts w:cstheme="minorHAnsi"/>
                <w:sz w:val="24"/>
                <w:szCs w:val="24"/>
              </w:rPr>
            </w:pPr>
            <w:r w:rsidRPr="005C3AD9">
              <w:rPr>
                <w:rFonts w:cstheme="minorHAnsi"/>
                <w:sz w:val="24"/>
                <w:szCs w:val="24"/>
              </w:rPr>
              <w:t>55.73</w:t>
            </w:r>
          </w:p>
        </w:tc>
        <w:tc>
          <w:tcPr>
            <w:tcW w:w="1870" w:type="dxa"/>
          </w:tcPr>
          <w:p w14:paraId="63237530" w14:textId="4A515E47" w:rsidR="006F5758" w:rsidRPr="005C3AD9" w:rsidRDefault="006F5758">
            <w:pPr>
              <w:rPr>
                <w:rFonts w:cstheme="minorHAnsi"/>
                <w:sz w:val="24"/>
                <w:szCs w:val="24"/>
              </w:rPr>
            </w:pPr>
            <w:r w:rsidRPr="005C3AD9">
              <w:rPr>
                <w:rFonts w:cstheme="minorHAnsi"/>
                <w:sz w:val="24"/>
                <w:szCs w:val="24"/>
              </w:rPr>
              <w:t>11.54</w:t>
            </w:r>
          </w:p>
        </w:tc>
        <w:tc>
          <w:tcPr>
            <w:tcW w:w="1870" w:type="dxa"/>
          </w:tcPr>
          <w:p w14:paraId="625393D8" w14:textId="150B3004" w:rsidR="006F5758" w:rsidRPr="005C3AD9" w:rsidRDefault="006F5758">
            <w:pPr>
              <w:rPr>
                <w:rFonts w:cstheme="minorHAnsi"/>
                <w:sz w:val="24"/>
                <w:szCs w:val="24"/>
              </w:rPr>
            </w:pPr>
            <w:r w:rsidRPr="005C3AD9">
              <w:rPr>
                <w:rFonts w:cstheme="minorHAnsi"/>
                <w:sz w:val="24"/>
                <w:szCs w:val="24"/>
              </w:rPr>
              <w:t>29.27</w:t>
            </w:r>
          </w:p>
        </w:tc>
      </w:tr>
      <w:tr w:rsidR="006F5758" w:rsidRPr="005C3AD9" w14:paraId="52C6B155" w14:textId="77777777" w:rsidTr="006F5758">
        <w:tc>
          <w:tcPr>
            <w:tcW w:w="1870" w:type="dxa"/>
          </w:tcPr>
          <w:p w14:paraId="45BEE294" w14:textId="46165B4F" w:rsidR="006F5758" w:rsidRPr="005C3AD9" w:rsidRDefault="006F5758">
            <w:pPr>
              <w:rPr>
                <w:rFonts w:cstheme="minorHAnsi"/>
                <w:sz w:val="24"/>
                <w:szCs w:val="24"/>
              </w:rPr>
            </w:pPr>
            <w:r w:rsidRPr="005C3AD9">
              <w:rPr>
                <w:rFonts w:cstheme="minorHAnsi"/>
                <w:sz w:val="24"/>
                <w:szCs w:val="24"/>
              </w:rPr>
              <w:t>Standard Error</w:t>
            </w:r>
          </w:p>
        </w:tc>
        <w:tc>
          <w:tcPr>
            <w:tcW w:w="1870" w:type="dxa"/>
          </w:tcPr>
          <w:p w14:paraId="47071577" w14:textId="6A23027B" w:rsidR="006F5758" w:rsidRPr="005C3AD9" w:rsidRDefault="006F5758">
            <w:pPr>
              <w:rPr>
                <w:rFonts w:cstheme="minorHAnsi"/>
                <w:sz w:val="24"/>
                <w:szCs w:val="24"/>
              </w:rPr>
            </w:pPr>
            <w:r w:rsidRPr="005C3AD9">
              <w:rPr>
                <w:rFonts w:cstheme="minorHAnsi"/>
                <w:sz w:val="24"/>
                <w:szCs w:val="24"/>
              </w:rPr>
              <w:t>1.24</w:t>
            </w:r>
          </w:p>
        </w:tc>
        <w:tc>
          <w:tcPr>
            <w:tcW w:w="1870" w:type="dxa"/>
          </w:tcPr>
          <w:p w14:paraId="75CF5DEE" w14:textId="02BA3F67" w:rsidR="006F5758" w:rsidRPr="005C3AD9" w:rsidRDefault="006F5758">
            <w:pPr>
              <w:rPr>
                <w:rFonts w:cstheme="minorHAnsi"/>
                <w:sz w:val="24"/>
                <w:szCs w:val="24"/>
              </w:rPr>
            </w:pPr>
            <w:r w:rsidRPr="005C3AD9">
              <w:rPr>
                <w:rFonts w:cstheme="minorHAnsi"/>
                <w:sz w:val="24"/>
                <w:szCs w:val="24"/>
              </w:rPr>
              <w:t>1.90</w:t>
            </w:r>
          </w:p>
        </w:tc>
        <w:tc>
          <w:tcPr>
            <w:tcW w:w="1870" w:type="dxa"/>
          </w:tcPr>
          <w:p w14:paraId="2F535C49" w14:textId="384820C6" w:rsidR="006F5758" w:rsidRPr="005C3AD9" w:rsidRDefault="006F5758">
            <w:pPr>
              <w:rPr>
                <w:rFonts w:cstheme="minorHAnsi"/>
                <w:sz w:val="24"/>
                <w:szCs w:val="24"/>
              </w:rPr>
            </w:pPr>
            <w:r w:rsidRPr="005C3AD9">
              <w:rPr>
                <w:rFonts w:cstheme="minorHAnsi"/>
                <w:sz w:val="24"/>
                <w:szCs w:val="24"/>
              </w:rPr>
              <w:t>0.70</w:t>
            </w:r>
          </w:p>
        </w:tc>
        <w:tc>
          <w:tcPr>
            <w:tcW w:w="1870" w:type="dxa"/>
          </w:tcPr>
          <w:p w14:paraId="2C083ADB" w14:textId="24ABA77E" w:rsidR="006F5758" w:rsidRPr="005C3AD9" w:rsidRDefault="006F5758">
            <w:pPr>
              <w:rPr>
                <w:rFonts w:cstheme="minorHAnsi"/>
                <w:sz w:val="24"/>
                <w:szCs w:val="24"/>
              </w:rPr>
            </w:pPr>
            <w:r w:rsidRPr="005C3AD9">
              <w:rPr>
                <w:rFonts w:cstheme="minorHAnsi"/>
                <w:sz w:val="24"/>
                <w:szCs w:val="24"/>
              </w:rPr>
              <w:t>1.94</w:t>
            </w:r>
          </w:p>
        </w:tc>
      </w:tr>
      <w:tr w:rsidR="006F5758" w:rsidRPr="005C3AD9" w14:paraId="02C8CA9B" w14:textId="77777777" w:rsidTr="006F5758">
        <w:tc>
          <w:tcPr>
            <w:tcW w:w="1870" w:type="dxa"/>
          </w:tcPr>
          <w:p w14:paraId="2B8DF88D" w14:textId="2FFB8A20" w:rsidR="006F5758" w:rsidRPr="005C3AD9" w:rsidRDefault="006F5758">
            <w:pPr>
              <w:rPr>
                <w:rFonts w:cstheme="minorHAnsi"/>
                <w:sz w:val="24"/>
                <w:szCs w:val="24"/>
              </w:rPr>
            </w:pPr>
            <w:r w:rsidRPr="005C3AD9">
              <w:rPr>
                <w:rFonts w:cstheme="minorHAnsi"/>
                <w:sz w:val="24"/>
                <w:szCs w:val="24"/>
              </w:rPr>
              <w:t>Median</w:t>
            </w:r>
          </w:p>
        </w:tc>
        <w:tc>
          <w:tcPr>
            <w:tcW w:w="1870" w:type="dxa"/>
          </w:tcPr>
          <w:p w14:paraId="0084F791" w14:textId="742DD7A9" w:rsidR="006F5758" w:rsidRPr="005C3AD9" w:rsidRDefault="006F5758">
            <w:pPr>
              <w:rPr>
                <w:rFonts w:cstheme="minorHAnsi"/>
                <w:sz w:val="24"/>
                <w:szCs w:val="24"/>
              </w:rPr>
            </w:pPr>
            <w:r w:rsidRPr="005C3AD9">
              <w:rPr>
                <w:rFonts w:cstheme="minorHAnsi"/>
                <w:sz w:val="24"/>
                <w:szCs w:val="24"/>
              </w:rPr>
              <w:t>83.85</w:t>
            </w:r>
          </w:p>
        </w:tc>
        <w:tc>
          <w:tcPr>
            <w:tcW w:w="1870" w:type="dxa"/>
          </w:tcPr>
          <w:p w14:paraId="081A2DF3" w14:textId="15986D2B" w:rsidR="006F5758" w:rsidRPr="005C3AD9" w:rsidRDefault="006F5758">
            <w:pPr>
              <w:rPr>
                <w:rFonts w:cstheme="minorHAnsi"/>
                <w:sz w:val="24"/>
                <w:szCs w:val="24"/>
              </w:rPr>
            </w:pPr>
            <w:r w:rsidRPr="005C3AD9">
              <w:rPr>
                <w:rFonts w:cstheme="minorHAnsi"/>
                <w:sz w:val="24"/>
                <w:szCs w:val="24"/>
              </w:rPr>
              <w:t>59.5</w:t>
            </w:r>
          </w:p>
        </w:tc>
        <w:tc>
          <w:tcPr>
            <w:tcW w:w="1870" w:type="dxa"/>
          </w:tcPr>
          <w:p w14:paraId="6F618690" w14:textId="233A5E52" w:rsidR="006F5758" w:rsidRPr="005C3AD9" w:rsidRDefault="006F5758">
            <w:pPr>
              <w:rPr>
                <w:rFonts w:cstheme="minorHAnsi"/>
                <w:sz w:val="24"/>
                <w:szCs w:val="24"/>
              </w:rPr>
            </w:pPr>
            <w:r w:rsidRPr="005C3AD9">
              <w:rPr>
                <w:rFonts w:cstheme="minorHAnsi"/>
                <w:sz w:val="24"/>
                <w:szCs w:val="24"/>
              </w:rPr>
              <w:t>10.50</w:t>
            </w:r>
          </w:p>
        </w:tc>
        <w:tc>
          <w:tcPr>
            <w:tcW w:w="1870" w:type="dxa"/>
          </w:tcPr>
          <w:p w14:paraId="0B742C01" w14:textId="44E0FBDC" w:rsidR="006F5758" w:rsidRPr="005C3AD9" w:rsidRDefault="006F5758">
            <w:pPr>
              <w:rPr>
                <w:rFonts w:cstheme="minorHAnsi"/>
                <w:sz w:val="24"/>
                <w:szCs w:val="24"/>
              </w:rPr>
            </w:pPr>
            <w:r w:rsidRPr="005C3AD9">
              <w:rPr>
                <w:rFonts w:cstheme="minorHAnsi"/>
                <w:sz w:val="24"/>
                <w:szCs w:val="24"/>
              </w:rPr>
              <w:t>29</w:t>
            </w:r>
          </w:p>
        </w:tc>
      </w:tr>
      <w:tr w:rsidR="006F5758" w:rsidRPr="005C3AD9" w14:paraId="50839B36" w14:textId="77777777" w:rsidTr="006F5758">
        <w:tc>
          <w:tcPr>
            <w:tcW w:w="1870" w:type="dxa"/>
          </w:tcPr>
          <w:p w14:paraId="6C113E2C" w14:textId="6D140ECA" w:rsidR="006F5758" w:rsidRPr="005C3AD9" w:rsidRDefault="006F5758">
            <w:pPr>
              <w:rPr>
                <w:rFonts w:cstheme="minorHAnsi"/>
                <w:sz w:val="24"/>
                <w:szCs w:val="24"/>
              </w:rPr>
            </w:pPr>
            <w:r w:rsidRPr="005C3AD9">
              <w:rPr>
                <w:rFonts w:cstheme="minorHAnsi"/>
                <w:sz w:val="24"/>
                <w:szCs w:val="24"/>
              </w:rPr>
              <w:t>Mode</w:t>
            </w:r>
          </w:p>
        </w:tc>
        <w:tc>
          <w:tcPr>
            <w:tcW w:w="1870" w:type="dxa"/>
          </w:tcPr>
          <w:p w14:paraId="6C8B2215" w14:textId="1DB69C63" w:rsidR="006F5758" w:rsidRPr="005C3AD9" w:rsidRDefault="006F5758">
            <w:pPr>
              <w:rPr>
                <w:rFonts w:cstheme="minorHAnsi"/>
                <w:sz w:val="24"/>
                <w:szCs w:val="24"/>
              </w:rPr>
            </w:pPr>
            <w:r w:rsidRPr="005C3AD9">
              <w:rPr>
                <w:rFonts w:cstheme="minorHAnsi"/>
                <w:sz w:val="24"/>
                <w:szCs w:val="24"/>
              </w:rPr>
              <w:t>92</w:t>
            </w:r>
          </w:p>
        </w:tc>
        <w:tc>
          <w:tcPr>
            <w:tcW w:w="1870" w:type="dxa"/>
          </w:tcPr>
          <w:p w14:paraId="30A77963" w14:textId="1C80AA87" w:rsidR="006F5758" w:rsidRPr="005C3AD9" w:rsidRDefault="006F5758">
            <w:pPr>
              <w:rPr>
                <w:rFonts w:cstheme="minorHAnsi"/>
                <w:sz w:val="24"/>
                <w:szCs w:val="24"/>
              </w:rPr>
            </w:pPr>
            <w:r w:rsidRPr="005C3AD9">
              <w:rPr>
                <w:rFonts w:cstheme="minorHAnsi"/>
                <w:sz w:val="24"/>
                <w:szCs w:val="24"/>
              </w:rPr>
              <w:t>65</w:t>
            </w:r>
          </w:p>
        </w:tc>
        <w:tc>
          <w:tcPr>
            <w:tcW w:w="1870" w:type="dxa"/>
          </w:tcPr>
          <w:p w14:paraId="23E8AB40" w14:textId="0D5F9D72" w:rsidR="006F5758" w:rsidRPr="005C3AD9" w:rsidRDefault="006F5758">
            <w:pPr>
              <w:rPr>
                <w:rFonts w:cstheme="minorHAnsi"/>
                <w:sz w:val="24"/>
                <w:szCs w:val="24"/>
              </w:rPr>
            </w:pPr>
            <w:r w:rsidRPr="005C3AD9">
              <w:rPr>
                <w:rFonts w:cstheme="minorHAnsi"/>
                <w:sz w:val="24"/>
                <w:szCs w:val="24"/>
              </w:rPr>
              <w:t>13</w:t>
            </w:r>
          </w:p>
        </w:tc>
        <w:tc>
          <w:tcPr>
            <w:tcW w:w="1870" w:type="dxa"/>
          </w:tcPr>
          <w:p w14:paraId="2FFE7963" w14:textId="3B952155" w:rsidR="006F5758" w:rsidRPr="005C3AD9" w:rsidRDefault="006F5758">
            <w:pPr>
              <w:rPr>
                <w:rFonts w:cstheme="minorHAnsi"/>
                <w:sz w:val="24"/>
                <w:szCs w:val="24"/>
              </w:rPr>
            </w:pPr>
            <w:r w:rsidRPr="005C3AD9">
              <w:rPr>
                <w:rFonts w:cstheme="minorHAnsi"/>
                <w:sz w:val="24"/>
                <w:szCs w:val="24"/>
              </w:rPr>
              <w:t>13</w:t>
            </w:r>
          </w:p>
        </w:tc>
      </w:tr>
      <w:tr w:rsidR="006F5758" w:rsidRPr="005C3AD9" w14:paraId="3B3B6C98" w14:textId="77777777" w:rsidTr="006F5758">
        <w:tc>
          <w:tcPr>
            <w:tcW w:w="1870" w:type="dxa"/>
          </w:tcPr>
          <w:p w14:paraId="63E6550F" w14:textId="396A2AE1" w:rsidR="006F5758" w:rsidRPr="005C3AD9" w:rsidRDefault="006F5758">
            <w:pPr>
              <w:rPr>
                <w:rFonts w:cstheme="minorHAnsi"/>
                <w:sz w:val="24"/>
                <w:szCs w:val="24"/>
              </w:rPr>
            </w:pPr>
            <w:r w:rsidRPr="005C3AD9">
              <w:rPr>
                <w:rFonts w:cstheme="minorHAnsi"/>
                <w:sz w:val="24"/>
                <w:szCs w:val="24"/>
              </w:rPr>
              <w:t>Standard Deviation</w:t>
            </w:r>
          </w:p>
        </w:tc>
        <w:tc>
          <w:tcPr>
            <w:tcW w:w="1870" w:type="dxa"/>
          </w:tcPr>
          <w:p w14:paraId="165A169D" w14:textId="3861A9C6" w:rsidR="006F5758" w:rsidRPr="005C3AD9" w:rsidRDefault="006F5758">
            <w:pPr>
              <w:rPr>
                <w:rFonts w:cstheme="minorHAnsi"/>
                <w:sz w:val="24"/>
                <w:szCs w:val="24"/>
              </w:rPr>
            </w:pPr>
            <w:r w:rsidRPr="005C3AD9">
              <w:rPr>
                <w:rFonts w:cstheme="minorHAnsi"/>
                <w:sz w:val="24"/>
                <w:szCs w:val="24"/>
              </w:rPr>
              <w:t>8.61</w:t>
            </w:r>
          </w:p>
        </w:tc>
        <w:tc>
          <w:tcPr>
            <w:tcW w:w="1870" w:type="dxa"/>
          </w:tcPr>
          <w:p w14:paraId="192249AC" w14:textId="4DAF9D83" w:rsidR="006F5758" w:rsidRPr="005C3AD9" w:rsidRDefault="006F5758">
            <w:pPr>
              <w:rPr>
                <w:rFonts w:cstheme="minorHAnsi"/>
                <w:sz w:val="24"/>
                <w:szCs w:val="24"/>
              </w:rPr>
            </w:pPr>
            <w:r w:rsidRPr="005C3AD9">
              <w:rPr>
                <w:rFonts w:cstheme="minorHAnsi"/>
                <w:sz w:val="24"/>
                <w:szCs w:val="24"/>
              </w:rPr>
              <w:t>13.19</w:t>
            </w:r>
          </w:p>
        </w:tc>
        <w:tc>
          <w:tcPr>
            <w:tcW w:w="1870" w:type="dxa"/>
          </w:tcPr>
          <w:p w14:paraId="53710DA5" w14:textId="7F0FFEBF" w:rsidR="006F5758" w:rsidRPr="005C3AD9" w:rsidRDefault="006F5758">
            <w:pPr>
              <w:rPr>
                <w:rFonts w:cstheme="minorHAnsi"/>
                <w:sz w:val="24"/>
                <w:szCs w:val="24"/>
              </w:rPr>
            </w:pPr>
            <w:r w:rsidRPr="005C3AD9">
              <w:rPr>
                <w:rFonts w:cstheme="minorHAnsi"/>
                <w:sz w:val="24"/>
                <w:szCs w:val="24"/>
              </w:rPr>
              <w:t>4.85</w:t>
            </w:r>
          </w:p>
        </w:tc>
        <w:tc>
          <w:tcPr>
            <w:tcW w:w="1870" w:type="dxa"/>
          </w:tcPr>
          <w:p w14:paraId="33255BB1" w14:textId="22AAF70C" w:rsidR="006F5758" w:rsidRPr="005C3AD9" w:rsidRDefault="006F5758">
            <w:pPr>
              <w:rPr>
                <w:rFonts w:cstheme="minorHAnsi"/>
                <w:sz w:val="24"/>
                <w:szCs w:val="24"/>
              </w:rPr>
            </w:pPr>
            <w:r w:rsidRPr="005C3AD9">
              <w:rPr>
                <w:rFonts w:cstheme="minorHAnsi"/>
                <w:sz w:val="24"/>
                <w:szCs w:val="24"/>
              </w:rPr>
              <w:t>13.44</w:t>
            </w:r>
          </w:p>
        </w:tc>
      </w:tr>
      <w:tr w:rsidR="006F5758" w:rsidRPr="005C3AD9" w14:paraId="572CEDB6" w14:textId="77777777" w:rsidTr="006F5758">
        <w:tc>
          <w:tcPr>
            <w:tcW w:w="1870" w:type="dxa"/>
          </w:tcPr>
          <w:p w14:paraId="71C1CE25" w14:textId="1CA1A7ED" w:rsidR="006F5758" w:rsidRPr="005C3AD9" w:rsidRDefault="006F5758">
            <w:pPr>
              <w:rPr>
                <w:rFonts w:cstheme="minorHAnsi"/>
                <w:sz w:val="24"/>
                <w:szCs w:val="24"/>
              </w:rPr>
            </w:pPr>
            <w:r w:rsidRPr="005C3AD9">
              <w:rPr>
                <w:rFonts w:cstheme="minorHAnsi"/>
                <w:sz w:val="24"/>
                <w:szCs w:val="24"/>
              </w:rPr>
              <w:t>Minimum</w:t>
            </w:r>
          </w:p>
        </w:tc>
        <w:tc>
          <w:tcPr>
            <w:tcW w:w="1870" w:type="dxa"/>
          </w:tcPr>
          <w:p w14:paraId="330E53DC" w14:textId="406E267C" w:rsidR="006F5758" w:rsidRPr="005C3AD9" w:rsidRDefault="006F5758">
            <w:pPr>
              <w:rPr>
                <w:rFonts w:cstheme="minorHAnsi"/>
                <w:sz w:val="24"/>
                <w:szCs w:val="24"/>
              </w:rPr>
            </w:pPr>
            <w:r w:rsidRPr="005C3AD9">
              <w:rPr>
                <w:rFonts w:cstheme="minorHAnsi"/>
                <w:sz w:val="24"/>
                <w:szCs w:val="24"/>
              </w:rPr>
              <w:t>66</w:t>
            </w:r>
          </w:p>
        </w:tc>
        <w:tc>
          <w:tcPr>
            <w:tcW w:w="1870" w:type="dxa"/>
          </w:tcPr>
          <w:p w14:paraId="47B3E07C" w14:textId="10536902" w:rsidR="006F5758" w:rsidRPr="005C3AD9" w:rsidRDefault="006F5758">
            <w:pPr>
              <w:rPr>
                <w:rFonts w:cstheme="minorHAnsi"/>
                <w:sz w:val="24"/>
                <w:szCs w:val="24"/>
              </w:rPr>
            </w:pPr>
            <w:r w:rsidRPr="005C3AD9">
              <w:rPr>
                <w:rFonts w:cstheme="minorHAnsi"/>
                <w:sz w:val="24"/>
                <w:szCs w:val="24"/>
              </w:rPr>
              <w:t>29</w:t>
            </w:r>
          </w:p>
        </w:tc>
        <w:tc>
          <w:tcPr>
            <w:tcW w:w="1870" w:type="dxa"/>
          </w:tcPr>
          <w:p w14:paraId="5AB7CC69" w14:textId="23ACDB67" w:rsidR="006F5758" w:rsidRPr="005C3AD9" w:rsidRDefault="006F5758">
            <w:pPr>
              <w:rPr>
                <w:rFonts w:cstheme="minorHAnsi"/>
                <w:sz w:val="24"/>
                <w:szCs w:val="24"/>
              </w:rPr>
            </w:pPr>
            <w:r w:rsidRPr="005C3AD9">
              <w:rPr>
                <w:rFonts w:cstheme="minorHAnsi"/>
                <w:sz w:val="24"/>
                <w:szCs w:val="24"/>
              </w:rPr>
              <w:t>3</w:t>
            </w:r>
          </w:p>
        </w:tc>
        <w:tc>
          <w:tcPr>
            <w:tcW w:w="1870" w:type="dxa"/>
          </w:tcPr>
          <w:p w14:paraId="5829D067" w14:textId="13D45E47" w:rsidR="006F5758" w:rsidRPr="005C3AD9" w:rsidRDefault="006F5758">
            <w:pPr>
              <w:rPr>
                <w:rFonts w:cstheme="minorHAnsi"/>
                <w:sz w:val="24"/>
                <w:szCs w:val="24"/>
              </w:rPr>
            </w:pPr>
            <w:r w:rsidRPr="005C3AD9">
              <w:rPr>
                <w:rFonts w:cstheme="minorHAnsi"/>
                <w:sz w:val="24"/>
                <w:szCs w:val="24"/>
              </w:rPr>
              <w:t>7</w:t>
            </w:r>
          </w:p>
        </w:tc>
      </w:tr>
      <w:tr w:rsidR="006F5758" w:rsidRPr="005C3AD9" w14:paraId="5EBD6A43" w14:textId="77777777" w:rsidTr="006F5758">
        <w:tc>
          <w:tcPr>
            <w:tcW w:w="1870" w:type="dxa"/>
          </w:tcPr>
          <w:p w14:paraId="71A84757" w14:textId="2FA57378" w:rsidR="006F5758" w:rsidRPr="005C3AD9" w:rsidRDefault="006F5758">
            <w:pPr>
              <w:rPr>
                <w:rFonts w:cstheme="minorHAnsi"/>
                <w:sz w:val="24"/>
                <w:szCs w:val="24"/>
              </w:rPr>
            </w:pPr>
            <w:r w:rsidRPr="005C3AD9">
              <w:rPr>
                <w:rFonts w:cstheme="minorHAnsi"/>
                <w:sz w:val="24"/>
                <w:szCs w:val="24"/>
              </w:rPr>
              <w:t>Maximum</w:t>
            </w:r>
          </w:p>
        </w:tc>
        <w:tc>
          <w:tcPr>
            <w:tcW w:w="1870" w:type="dxa"/>
          </w:tcPr>
          <w:p w14:paraId="5FC5C7D8" w14:textId="64D626D9" w:rsidR="006F5758" w:rsidRPr="005C3AD9" w:rsidRDefault="006F5758">
            <w:pPr>
              <w:rPr>
                <w:rFonts w:cstheme="minorHAnsi"/>
                <w:sz w:val="24"/>
                <w:szCs w:val="24"/>
              </w:rPr>
            </w:pPr>
            <w:r w:rsidRPr="005C3AD9">
              <w:rPr>
                <w:rFonts w:cstheme="minorHAnsi"/>
                <w:sz w:val="24"/>
                <w:szCs w:val="24"/>
              </w:rPr>
              <w:t>97</w:t>
            </w:r>
          </w:p>
        </w:tc>
        <w:tc>
          <w:tcPr>
            <w:tcW w:w="1870" w:type="dxa"/>
          </w:tcPr>
          <w:p w14:paraId="41909165" w14:textId="1A73E632" w:rsidR="006F5758" w:rsidRPr="005C3AD9" w:rsidRDefault="006F5758">
            <w:pPr>
              <w:rPr>
                <w:rFonts w:cstheme="minorHAnsi"/>
                <w:sz w:val="24"/>
                <w:szCs w:val="24"/>
              </w:rPr>
            </w:pPr>
            <w:r w:rsidRPr="005C3AD9">
              <w:rPr>
                <w:rFonts w:cstheme="minorHAnsi"/>
                <w:sz w:val="24"/>
                <w:szCs w:val="24"/>
              </w:rPr>
              <w:t>77</w:t>
            </w:r>
          </w:p>
        </w:tc>
        <w:tc>
          <w:tcPr>
            <w:tcW w:w="1870" w:type="dxa"/>
          </w:tcPr>
          <w:p w14:paraId="6226A70E" w14:textId="2758EA2D" w:rsidR="006F5758" w:rsidRPr="005C3AD9" w:rsidRDefault="006F5758">
            <w:pPr>
              <w:rPr>
                <w:rFonts w:cstheme="minorHAnsi"/>
                <w:sz w:val="24"/>
                <w:szCs w:val="24"/>
              </w:rPr>
            </w:pPr>
            <w:r w:rsidRPr="005C3AD9">
              <w:rPr>
                <w:rFonts w:cstheme="minorHAnsi"/>
                <w:sz w:val="24"/>
                <w:szCs w:val="24"/>
              </w:rPr>
              <w:t>23</w:t>
            </w:r>
          </w:p>
        </w:tc>
        <w:tc>
          <w:tcPr>
            <w:tcW w:w="1870" w:type="dxa"/>
          </w:tcPr>
          <w:p w14:paraId="7FE3BC58" w14:textId="6AAA632E" w:rsidR="006F5758" w:rsidRPr="005C3AD9" w:rsidRDefault="006F5758">
            <w:pPr>
              <w:rPr>
                <w:rFonts w:cstheme="minorHAnsi"/>
                <w:sz w:val="24"/>
                <w:szCs w:val="24"/>
              </w:rPr>
            </w:pPr>
            <w:r w:rsidRPr="005C3AD9">
              <w:rPr>
                <w:rFonts w:cstheme="minorHAnsi"/>
                <w:sz w:val="24"/>
                <w:szCs w:val="24"/>
              </w:rPr>
              <w:t>67</w:t>
            </w:r>
          </w:p>
        </w:tc>
      </w:tr>
    </w:tbl>
    <w:p w14:paraId="29394953" w14:textId="25ABC1B1" w:rsidR="006F5758" w:rsidRPr="005C3AD9" w:rsidRDefault="006F5758">
      <w:pPr>
        <w:rPr>
          <w:rFonts w:cstheme="minorHAnsi"/>
          <w:sz w:val="24"/>
          <w:szCs w:val="24"/>
        </w:rPr>
      </w:pPr>
    </w:p>
    <w:p w14:paraId="49325EF2" w14:textId="5F67A168" w:rsidR="006F5758" w:rsidRPr="005C3AD9" w:rsidRDefault="006F5758">
      <w:pPr>
        <w:rPr>
          <w:rFonts w:cstheme="minorHAnsi"/>
          <w:sz w:val="24"/>
          <w:szCs w:val="24"/>
        </w:rPr>
      </w:pPr>
      <w:r w:rsidRPr="005C3AD9">
        <w:rPr>
          <w:rFonts w:cstheme="minorHAnsi"/>
          <w:noProof/>
          <w:sz w:val="24"/>
          <w:szCs w:val="24"/>
        </w:rPr>
        <w:drawing>
          <wp:inline distT="0" distB="0" distL="0" distR="0" wp14:anchorId="5A32EB62" wp14:editId="5495E218">
            <wp:extent cx="5943600" cy="1217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17930"/>
                    </a:xfrm>
                    <a:prstGeom prst="rect">
                      <a:avLst/>
                    </a:prstGeom>
                    <a:noFill/>
                    <a:ln>
                      <a:noFill/>
                    </a:ln>
                  </pic:spPr>
                </pic:pic>
              </a:graphicData>
            </a:graphic>
          </wp:inline>
        </w:drawing>
      </w:r>
    </w:p>
    <w:p w14:paraId="25A8075F" w14:textId="34E38FB9" w:rsidR="005C34F2" w:rsidRPr="005C3AD9" w:rsidRDefault="005C34F2">
      <w:pPr>
        <w:rPr>
          <w:rFonts w:cstheme="minorHAnsi"/>
          <w:sz w:val="24"/>
          <w:szCs w:val="24"/>
        </w:rPr>
      </w:pPr>
      <w:r w:rsidRPr="005C3AD9">
        <w:rPr>
          <w:rFonts w:cstheme="minorHAnsi"/>
          <w:sz w:val="24"/>
          <w:szCs w:val="24"/>
        </w:rPr>
        <w:t xml:space="preserve">The correlation matrix among all the variables is shown above. The highest negative correlation between Student-Faculty Ratio and </w:t>
      </w:r>
      <w:r w:rsidR="00984659" w:rsidRPr="005C3AD9">
        <w:rPr>
          <w:rFonts w:cstheme="minorHAnsi"/>
          <w:sz w:val="24"/>
          <w:szCs w:val="24"/>
        </w:rPr>
        <w:t>percentage</w:t>
      </w:r>
      <w:r w:rsidRPr="005C3AD9">
        <w:rPr>
          <w:rFonts w:cstheme="minorHAnsi"/>
          <w:sz w:val="24"/>
          <w:szCs w:val="24"/>
        </w:rPr>
        <w:t xml:space="preserve"> of Classes Under 20 indicates that </w:t>
      </w:r>
      <w:r w:rsidR="00984659" w:rsidRPr="005C3AD9">
        <w:rPr>
          <w:rFonts w:cstheme="minorHAnsi"/>
          <w:sz w:val="24"/>
          <w:szCs w:val="24"/>
        </w:rPr>
        <w:t xml:space="preserve">the high percentage of classes under 20 is, the lower student-faculty ratio is. We can also see that Alumni Giving Rate is positively correlated with Graduation Rate, suggesting that schools with higher graduation rate have higher alumni giving rate. On the contrary, Student-Faculty Ratio has a negative correlation with Alumni giving rate, which shows that schools with higher student-faculty ratio have lower alumni giving rate. </w:t>
      </w:r>
    </w:p>
    <w:p w14:paraId="190D86CC" w14:textId="36F90ABD" w:rsidR="00984659" w:rsidRPr="005C3AD9" w:rsidRDefault="00984659">
      <w:pPr>
        <w:rPr>
          <w:rFonts w:cstheme="minorHAnsi"/>
          <w:sz w:val="24"/>
          <w:szCs w:val="24"/>
        </w:rPr>
      </w:pPr>
    </w:p>
    <w:p w14:paraId="0B1DCB35" w14:textId="43A0268E" w:rsidR="00984659" w:rsidRPr="005C3AD9" w:rsidRDefault="00984659">
      <w:pPr>
        <w:rPr>
          <w:rFonts w:cstheme="minorHAnsi"/>
          <w:b/>
          <w:bCs/>
          <w:sz w:val="24"/>
          <w:szCs w:val="24"/>
        </w:rPr>
      </w:pPr>
      <w:r w:rsidRPr="005C3AD9">
        <w:rPr>
          <w:rFonts w:cstheme="minorHAnsi"/>
          <w:b/>
          <w:bCs/>
          <w:sz w:val="24"/>
          <w:szCs w:val="24"/>
        </w:rPr>
        <w:t>2. Develop an estimated simple linear regression model that can be used to predict the alumni giving rate, given the graduation rate. Discuss your findings.</w:t>
      </w:r>
    </w:p>
    <w:p w14:paraId="71F3F9B0" w14:textId="6D3AFA0D" w:rsidR="005073B4" w:rsidRPr="005C3AD9" w:rsidRDefault="005073B4">
      <w:pPr>
        <w:rPr>
          <w:rFonts w:cstheme="minorHAnsi"/>
          <w:sz w:val="24"/>
          <w:szCs w:val="24"/>
        </w:rPr>
      </w:pPr>
      <w:r w:rsidRPr="005C3AD9">
        <w:rPr>
          <w:rFonts w:cstheme="minorHAnsi"/>
          <w:sz w:val="24"/>
          <w:szCs w:val="24"/>
        </w:rPr>
        <w:t>(1) Graduation Rate and Alumni Giving Rate</w:t>
      </w:r>
    </w:p>
    <w:p w14:paraId="6C2C121F" w14:textId="1D04B1FB" w:rsidR="005073B4" w:rsidRPr="005C3AD9" w:rsidRDefault="005073B4">
      <w:pPr>
        <w:rPr>
          <w:rFonts w:cstheme="minorHAnsi"/>
          <w:sz w:val="24"/>
          <w:szCs w:val="24"/>
        </w:rPr>
      </w:pPr>
      <w:r w:rsidRPr="005C3AD9">
        <w:rPr>
          <w:rFonts w:cstheme="minorHAnsi"/>
          <w:noProof/>
          <w:sz w:val="24"/>
          <w:szCs w:val="24"/>
        </w:rPr>
        <w:lastRenderedPageBreak/>
        <w:drawing>
          <wp:inline distT="0" distB="0" distL="0" distR="0" wp14:anchorId="1B9F12FA" wp14:editId="0A56EBC9">
            <wp:extent cx="5943600" cy="293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6240"/>
                    </a:xfrm>
                    <a:prstGeom prst="rect">
                      <a:avLst/>
                    </a:prstGeom>
                    <a:noFill/>
                    <a:ln>
                      <a:noFill/>
                    </a:ln>
                  </pic:spPr>
                </pic:pic>
              </a:graphicData>
            </a:graphic>
          </wp:inline>
        </w:drawing>
      </w:r>
    </w:p>
    <w:p w14:paraId="7F1EB80A" w14:textId="301B0FC2" w:rsidR="00984659" w:rsidRPr="005C3AD9" w:rsidRDefault="005073B4">
      <w:pPr>
        <w:rPr>
          <w:rFonts w:cstheme="minorHAnsi"/>
          <w:sz w:val="24"/>
          <w:szCs w:val="24"/>
        </w:rPr>
      </w:pPr>
      <w:r w:rsidRPr="005C3AD9">
        <w:rPr>
          <w:rFonts w:cstheme="minorHAnsi"/>
          <w:sz w:val="24"/>
          <w:szCs w:val="24"/>
        </w:rPr>
        <w:t xml:space="preserve">In the Regression Statistics section, </w:t>
      </w:r>
      <w:r w:rsidR="005C3AD9" w:rsidRPr="005C3AD9">
        <w:rPr>
          <w:rFonts w:cstheme="minorHAnsi"/>
          <w:sz w:val="24"/>
          <w:szCs w:val="24"/>
        </w:rPr>
        <w:t>R</w:t>
      </w:r>
      <w:r w:rsidR="005C3AD9" w:rsidRPr="005C3AD9">
        <w:rPr>
          <w:rFonts w:cstheme="minorHAnsi"/>
          <w:sz w:val="24"/>
          <w:szCs w:val="24"/>
          <w:vertAlign w:val="superscript"/>
        </w:rPr>
        <w:t>2</w:t>
      </w:r>
      <w:r w:rsidR="005C3AD9">
        <w:rPr>
          <w:rFonts w:cstheme="minorHAnsi"/>
          <w:sz w:val="24"/>
          <w:szCs w:val="24"/>
        </w:rPr>
        <w:t xml:space="preserve"> </w:t>
      </w:r>
      <w:r w:rsidRPr="005C3AD9">
        <w:rPr>
          <w:rFonts w:cstheme="minorHAnsi"/>
          <w:sz w:val="24"/>
          <w:szCs w:val="24"/>
        </w:rPr>
        <w:t xml:space="preserve">= 0.5715, which means that approximately 57% of the variation in Alumni Giving Rate is explained by Graduation Rate. The significance F is nearer to zero and the P-value is much less than 0.05, we deduce the following </w:t>
      </w:r>
      <w:r w:rsidR="00663A9A" w:rsidRPr="005C3AD9">
        <w:rPr>
          <w:rFonts w:cstheme="minorHAnsi"/>
          <w:sz w:val="24"/>
          <w:szCs w:val="24"/>
        </w:rPr>
        <w:t>formula</w:t>
      </w:r>
      <w:r w:rsidRPr="005C3AD9">
        <w:rPr>
          <w:rFonts w:cstheme="minorHAnsi"/>
          <w:sz w:val="24"/>
          <w:szCs w:val="24"/>
        </w:rPr>
        <w:t>:</w:t>
      </w:r>
    </w:p>
    <w:p w14:paraId="0037CC9F" w14:textId="3BFF14C1" w:rsidR="005073B4" w:rsidRPr="005C3AD9" w:rsidRDefault="005073B4" w:rsidP="00663A9A">
      <w:pPr>
        <w:jc w:val="center"/>
        <w:rPr>
          <w:rFonts w:cstheme="minorHAnsi"/>
          <w:sz w:val="24"/>
          <w:szCs w:val="24"/>
        </w:rPr>
      </w:pPr>
      <w:r w:rsidRPr="005C3AD9">
        <w:rPr>
          <w:rFonts w:cstheme="minorHAnsi"/>
          <w:sz w:val="24"/>
          <w:szCs w:val="24"/>
        </w:rPr>
        <w:t>Y = 1.18X</w:t>
      </w:r>
      <w:r w:rsidR="001B26D8" w:rsidRPr="005C3AD9">
        <w:rPr>
          <w:rFonts w:cstheme="minorHAnsi"/>
          <w:sz w:val="24"/>
          <w:szCs w:val="24"/>
          <w:vertAlign w:val="subscript"/>
        </w:rPr>
        <w:t>1</w:t>
      </w:r>
      <w:r w:rsidRPr="005C3AD9">
        <w:rPr>
          <w:rFonts w:cstheme="minorHAnsi"/>
          <w:sz w:val="24"/>
          <w:szCs w:val="24"/>
        </w:rPr>
        <w:t xml:space="preserve"> – 68.76</w:t>
      </w:r>
    </w:p>
    <w:p w14:paraId="43CC0A41" w14:textId="77777777" w:rsidR="00663A9A" w:rsidRPr="005C3AD9" w:rsidRDefault="00663A9A" w:rsidP="00663A9A">
      <w:pPr>
        <w:jc w:val="center"/>
        <w:rPr>
          <w:rFonts w:cstheme="minorHAnsi"/>
          <w:sz w:val="24"/>
          <w:szCs w:val="24"/>
        </w:rPr>
      </w:pPr>
    </w:p>
    <w:p w14:paraId="74A7EEA4" w14:textId="60CEED7E" w:rsidR="005073B4" w:rsidRPr="005C3AD9" w:rsidRDefault="005073B4" w:rsidP="005073B4">
      <w:pPr>
        <w:rPr>
          <w:rFonts w:cstheme="minorHAnsi"/>
          <w:sz w:val="24"/>
          <w:szCs w:val="24"/>
        </w:rPr>
      </w:pPr>
      <w:r w:rsidRPr="005C3AD9">
        <w:rPr>
          <w:rFonts w:cstheme="minorHAnsi"/>
          <w:sz w:val="24"/>
          <w:szCs w:val="24"/>
        </w:rPr>
        <w:t>(2)</w:t>
      </w:r>
      <w:r w:rsidR="00D97C93" w:rsidRPr="005C3AD9">
        <w:rPr>
          <w:rFonts w:cstheme="minorHAnsi"/>
          <w:sz w:val="24"/>
          <w:szCs w:val="24"/>
        </w:rPr>
        <w:t xml:space="preserve"> % of Classes Under 20 and Alumni Giving Rate</w:t>
      </w:r>
    </w:p>
    <w:p w14:paraId="7D79EBE9" w14:textId="2C534B10" w:rsidR="00D97C93" w:rsidRPr="005C3AD9" w:rsidRDefault="00D97C93" w:rsidP="005073B4">
      <w:pPr>
        <w:rPr>
          <w:rFonts w:cstheme="minorHAnsi"/>
          <w:sz w:val="24"/>
          <w:szCs w:val="24"/>
        </w:rPr>
      </w:pPr>
      <w:r w:rsidRPr="005C3AD9">
        <w:rPr>
          <w:rFonts w:cstheme="minorHAnsi"/>
          <w:noProof/>
          <w:sz w:val="24"/>
          <w:szCs w:val="24"/>
        </w:rPr>
        <w:drawing>
          <wp:inline distT="0" distB="0" distL="0" distR="0" wp14:anchorId="2B221B86" wp14:editId="65FCBFB4">
            <wp:extent cx="5943600" cy="2919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p w14:paraId="449E3E59" w14:textId="6A398311" w:rsidR="00D97C93" w:rsidRPr="005C3AD9" w:rsidRDefault="00D97C93" w:rsidP="00D97C93">
      <w:pPr>
        <w:rPr>
          <w:rFonts w:cstheme="minorHAnsi"/>
          <w:sz w:val="24"/>
          <w:szCs w:val="24"/>
        </w:rPr>
      </w:pPr>
      <w:r w:rsidRPr="005C3AD9">
        <w:rPr>
          <w:rFonts w:cstheme="minorHAnsi"/>
          <w:sz w:val="24"/>
          <w:szCs w:val="24"/>
        </w:rPr>
        <w:t xml:space="preserve">In the Regression Statistics section, </w:t>
      </w:r>
      <w:r w:rsidR="005C3AD9">
        <w:rPr>
          <w:rFonts w:cstheme="minorHAnsi"/>
          <w:sz w:val="24"/>
          <w:szCs w:val="24"/>
        </w:rPr>
        <w:t>R</w:t>
      </w:r>
      <w:r w:rsidR="005C3AD9" w:rsidRPr="005C3AD9">
        <w:rPr>
          <w:rFonts w:cstheme="minorHAnsi"/>
          <w:sz w:val="24"/>
          <w:szCs w:val="24"/>
          <w:vertAlign w:val="superscript"/>
        </w:rPr>
        <w:t>2</w:t>
      </w:r>
      <w:r w:rsidR="005C3AD9" w:rsidRPr="005C3AD9">
        <w:rPr>
          <w:rFonts w:cstheme="minorHAnsi"/>
          <w:sz w:val="24"/>
          <w:szCs w:val="24"/>
        </w:rPr>
        <w:t xml:space="preserve"> </w:t>
      </w:r>
      <w:r w:rsidRPr="005C3AD9">
        <w:rPr>
          <w:rFonts w:cstheme="minorHAnsi"/>
          <w:sz w:val="24"/>
          <w:szCs w:val="24"/>
        </w:rPr>
        <w:t>= 0.</w:t>
      </w:r>
      <w:r w:rsidRPr="005C3AD9">
        <w:rPr>
          <w:rFonts w:cstheme="minorHAnsi"/>
          <w:sz w:val="24"/>
          <w:szCs w:val="24"/>
        </w:rPr>
        <w:t>4169</w:t>
      </w:r>
      <w:r w:rsidRPr="005C3AD9">
        <w:rPr>
          <w:rFonts w:cstheme="minorHAnsi"/>
          <w:sz w:val="24"/>
          <w:szCs w:val="24"/>
        </w:rPr>
        <w:t xml:space="preserve">, which means that approximately </w:t>
      </w:r>
      <w:r w:rsidRPr="005C3AD9">
        <w:rPr>
          <w:rFonts w:cstheme="minorHAnsi"/>
          <w:sz w:val="24"/>
          <w:szCs w:val="24"/>
        </w:rPr>
        <w:t>42</w:t>
      </w:r>
      <w:r w:rsidRPr="005C3AD9">
        <w:rPr>
          <w:rFonts w:cstheme="minorHAnsi"/>
          <w:sz w:val="24"/>
          <w:szCs w:val="24"/>
        </w:rPr>
        <w:t xml:space="preserve">% of the variation in Alumni Giving Rate is explained by </w:t>
      </w:r>
      <w:r w:rsidRPr="005C3AD9">
        <w:rPr>
          <w:rFonts w:cstheme="minorHAnsi"/>
          <w:sz w:val="24"/>
          <w:szCs w:val="24"/>
        </w:rPr>
        <w:t>Percentage of Classes Under 20</w:t>
      </w:r>
      <w:r w:rsidRPr="005C3AD9">
        <w:rPr>
          <w:rFonts w:cstheme="minorHAnsi"/>
          <w:sz w:val="24"/>
          <w:szCs w:val="24"/>
        </w:rPr>
        <w:t xml:space="preserve">. The significance </w:t>
      </w:r>
      <w:r w:rsidRPr="005C3AD9">
        <w:rPr>
          <w:rFonts w:cstheme="minorHAnsi"/>
          <w:sz w:val="24"/>
          <w:szCs w:val="24"/>
        </w:rPr>
        <w:lastRenderedPageBreak/>
        <w:t xml:space="preserve">F is nearer to zero and the P-value is much less than 0.05, we </w:t>
      </w:r>
      <w:r w:rsidR="001B26D8" w:rsidRPr="005C3AD9">
        <w:rPr>
          <w:rFonts w:cstheme="minorHAnsi"/>
          <w:sz w:val="24"/>
          <w:szCs w:val="24"/>
        </w:rPr>
        <w:t xml:space="preserve">come up with </w:t>
      </w:r>
      <w:r w:rsidRPr="005C3AD9">
        <w:rPr>
          <w:rFonts w:cstheme="minorHAnsi"/>
          <w:sz w:val="24"/>
          <w:szCs w:val="24"/>
        </w:rPr>
        <w:t xml:space="preserve">the following </w:t>
      </w:r>
      <w:r w:rsidR="00663A9A" w:rsidRPr="005C3AD9">
        <w:rPr>
          <w:rFonts w:cstheme="minorHAnsi"/>
          <w:sz w:val="24"/>
          <w:szCs w:val="24"/>
        </w:rPr>
        <w:t>formula</w:t>
      </w:r>
      <w:r w:rsidRPr="005C3AD9">
        <w:rPr>
          <w:rFonts w:cstheme="minorHAnsi"/>
          <w:sz w:val="24"/>
          <w:szCs w:val="24"/>
        </w:rPr>
        <w:t>:</w:t>
      </w:r>
    </w:p>
    <w:p w14:paraId="35EEE15E" w14:textId="7F1BB949" w:rsidR="001B26D8" w:rsidRPr="005C3AD9" w:rsidRDefault="001B26D8" w:rsidP="001B26D8">
      <w:pPr>
        <w:jc w:val="center"/>
        <w:rPr>
          <w:rFonts w:cstheme="minorHAnsi"/>
          <w:sz w:val="24"/>
          <w:szCs w:val="24"/>
        </w:rPr>
      </w:pPr>
      <w:r w:rsidRPr="005C3AD9">
        <w:rPr>
          <w:rFonts w:cstheme="minorHAnsi"/>
          <w:sz w:val="24"/>
          <w:szCs w:val="24"/>
        </w:rPr>
        <w:t>Y = 0.66X</w:t>
      </w:r>
      <w:r w:rsidRPr="005C3AD9">
        <w:rPr>
          <w:rFonts w:cstheme="minorHAnsi"/>
          <w:sz w:val="24"/>
          <w:szCs w:val="24"/>
          <w:vertAlign w:val="subscript"/>
        </w:rPr>
        <w:t>2</w:t>
      </w:r>
      <w:r w:rsidRPr="005C3AD9">
        <w:rPr>
          <w:rFonts w:cstheme="minorHAnsi"/>
          <w:sz w:val="24"/>
          <w:szCs w:val="24"/>
        </w:rPr>
        <w:t xml:space="preserve"> – 7.39</w:t>
      </w:r>
    </w:p>
    <w:p w14:paraId="65A01709" w14:textId="49A0954D" w:rsidR="001B26D8" w:rsidRPr="005C3AD9" w:rsidRDefault="001B26D8" w:rsidP="001B26D8">
      <w:pPr>
        <w:rPr>
          <w:rFonts w:cstheme="minorHAnsi"/>
          <w:sz w:val="24"/>
          <w:szCs w:val="24"/>
        </w:rPr>
      </w:pPr>
    </w:p>
    <w:p w14:paraId="308C8D6E" w14:textId="708ACE6B" w:rsidR="001B26D8" w:rsidRPr="005C3AD9" w:rsidRDefault="001B26D8" w:rsidP="001B26D8">
      <w:pPr>
        <w:rPr>
          <w:rFonts w:cstheme="minorHAnsi"/>
          <w:sz w:val="24"/>
          <w:szCs w:val="24"/>
        </w:rPr>
      </w:pPr>
      <w:r w:rsidRPr="005C3AD9">
        <w:rPr>
          <w:rFonts w:cstheme="minorHAnsi"/>
          <w:sz w:val="24"/>
          <w:szCs w:val="24"/>
        </w:rPr>
        <w:t>(3) Student-Faculty Ratio and Alumni Giving Rate</w:t>
      </w:r>
    </w:p>
    <w:p w14:paraId="181DC1DB" w14:textId="4203D29B" w:rsidR="00663A9A" w:rsidRPr="005C3AD9" w:rsidRDefault="00663A9A" w:rsidP="001B26D8">
      <w:pPr>
        <w:rPr>
          <w:rFonts w:cstheme="minorHAnsi"/>
          <w:sz w:val="24"/>
          <w:szCs w:val="24"/>
        </w:rPr>
      </w:pPr>
      <w:r w:rsidRPr="005C3AD9">
        <w:rPr>
          <w:rFonts w:cstheme="minorHAnsi"/>
          <w:noProof/>
          <w:sz w:val="24"/>
          <w:szCs w:val="24"/>
        </w:rPr>
        <w:drawing>
          <wp:inline distT="0" distB="0" distL="0" distR="0" wp14:anchorId="4DB6A9C8" wp14:editId="33B8578F">
            <wp:extent cx="5943600" cy="293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6240"/>
                    </a:xfrm>
                    <a:prstGeom prst="rect">
                      <a:avLst/>
                    </a:prstGeom>
                    <a:noFill/>
                    <a:ln>
                      <a:noFill/>
                    </a:ln>
                  </pic:spPr>
                </pic:pic>
              </a:graphicData>
            </a:graphic>
          </wp:inline>
        </w:drawing>
      </w:r>
    </w:p>
    <w:p w14:paraId="79AEF121" w14:textId="13A230C4" w:rsidR="00663A9A" w:rsidRPr="005C3AD9" w:rsidRDefault="00663A9A" w:rsidP="00663A9A">
      <w:pPr>
        <w:rPr>
          <w:rFonts w:cstheme="minorHAnsi"/>
          <w:sz w:val="24"/>
          <w:szCs w:val="24"/>
        </w:rPr>
      </w:pPr>
      <w:r w:rsidRPr="005C3AD9">
        <w:rPr>
          <w:rFonts w:cstheme="minorHAnsi"/>
          <w:sz w:val="24"/>
          <w:szCs w:val="24"/>
        </w:rPr>
        <w:t xml:space="preserve">In the Regression Statistics section, </w:t>
      </w:r>
      <w:r w:rsidR="005C3AD9">
        <w:rPr>
          <w:rFonts w:cstheme="minorHAnsi"/>
          <w:sz w:val="24"/>
          <w:szCs w:val="24"/>
        </w:rPr>
        <w:t>R</w:t>
      </w:r>
      <w:r w:rsidR="005C3AD9" w:rsidRPr="005C3AD9">
        <w:rPr>
          <w:rFonts w:cstheme="minorHAnsi"/>
          <w:sz w:val="24"/>
          <w:szCs w:val="24"/>
          <w:vertAlign w:val="superscript"/>
        </w:rPr>
        <w:t>2</w:t>
      </w:r>
      <w:r w:rsidRPr="005C3AD9">
        <w:rPr>
          <w:rFonts w:cstheme="minorHAnsi"/>
          <w:sz w:val="24"/>
          <w:szCs w:val="24"/>
        </w:rPr>
        <w:t xml:space="preserve"> = 0.</w:t>
      </w:r>
      <w:r w:rsidRPr="005C3AD9">
        <w:rPr>
          <w:rFonts w:cstheme="minorHAnsi"/>
          <w:sz w:val="24"/>
          <w:szCs w:val="24"/>
        </w:rPr>
        <w:t>5512</w:t>
      </w:r>
      <w:r w:rsidRPr="005C3AD9">
        <w:rPr>
          <w:rFonts w:cstheme="minorHAnsi"/>
          <w:sz w:val="24"/>
          <w:szCs w:val="24"/>
        </w:rPr>
        <w:t xml:space="preserve">, which means that approximately </w:t>
      </w:r>
      <w:r w:rsidRPr="005C3AD9">
        <w:rPr>
          <w:rFonts w:cstheme="minorHAnsi"/>
          <w:sz w:val="24"/>
          <w:szCs w:val="24"/>
        </w:rPr>
        <w:t>55</w:t>
      </w:r>
      <w:r w:rsidRPr="005C3AD9">
        <w:rPr>
          <w:rFonts w:cstheme="minorHAnsi"/>
          <w:sz w:val="24"/>
          <w:szCs w:val="24"/>
        </w:rPr>
        <w:t xml:space="preserve">% of the variation in Alumni Giving Rate is explained by </w:t>
      </w:r>
      <w:r w:rsidRPr="005C3AD9">
        <w:rPr>
          <w:rFonts w:cstheme="minorHAnsi"/>
          <w:sz w:val="24"/>
          <w:szCs w:val="24"/>
        </w:rPr>
        <w:t>Student-Faculty Ratio</w:t>
      </w:r>
      <w:r w:rsidRPr="005C3AD9">
        <w:rPr>
          <w:rFonts w:cstheme="minorHAnsi"/>
          <w:sz w:val="24"/>
          <w:szCs w:val="24"/>
        </w:rPr>
        <w:t xml:space="preserve">. The significance F is nearer to zero and the P-value is much less than 0.05, we come up with the following </w:t>
      </w:r>
      <w:r w:rsidRPr="005C3AD9">
        <w:rPr>
          <w:rFonts w:cstheme="minorHAnsi"/>
          <w:sz w:val="24"/>
          <w:szCs w:val="24"/>
        </w:rPr>
        <w:t>formula</w:t>
      </w:r>
      <w:r w:rsidRPr="005C3AD9">
        <w:rPr>
          <w:rFonts w:cstheme="minorHAnsi"/>
          <w:sz w:val="24"/>
          <w:szCs w:val="24"/>
        </w:rPr>
        <w:t>:</w:t>
      </w:r>
    </w:p>
    <w:p w14:paraId="47657A9F" w14:textId="590C81C8" w:rsidR="00663A9A" w:rsidRPr="005C3AD9" w:rsidRDefault="00663A9A" w:rsidP="00663A9A">
      <w:pPr>
        <w:jc w:val="center"/>
        <w:rPr>
          <w:rFonts w:cstheme="minorHAnsi"/>
          <w:sz w:val="24"/>
          <w:szCs w:val="24"/>
        </w:rPr>
      </w:pPr>
      <w:r w:rsidRPr="005C3AD9">
        <w:rPr>
          <w:rFonts w:cstheme="minorHAnsi"/>
          <w:sz w:val="24"/>
          <w:szCs w:val="24"/>
        </w:rPr>
        <w:t xml:space="preserve">Y = </w:t>
      </w:r>
      <w:r w:rsidRPr="005C3AD9">
        <w:rPr>
          <w:rFonts w:cstheme="minorHAnsi"/>
          <w:sz w:val="24"/>
          <w:szCs w:val="24"/>
        </w:rPr>
        <w:t>-2.06</w:t>
      </w:r>
      <w:r w:rsidRPr="005C3AD9">
        <w:rPr>
          <w:rFonts w:cstheme="minorHAnsi"/>
          <w:sz w:val="24"/>
          <w:szCs w:val="24"/>
        </w:rPr>
        <w:t>X</w:t>
      </w:r>
      <w:r w:rsidRPr="005C3AD9">
        <w:rPr>
          <w:rFonts w:cstheme="minorHAnsi"/>
          <w:sz w:val="24"/>
          <w:szCs w:val="24"/>
          <w:vertAlign w:val="subscript"/>
        </w:rPr>
        <w:t>3</w:t>
      </w:r>
      <w:r w:rsidRPr="005C3AD9">
        <w:rPr>
          <w:rFonts w:cstheme="minorHAnsi"/>
          <w:sz w:val="24"/>
          <w:szCs w:val="24"/>
        </w:rPr>
        <w:t xml:space="preserve"> </w:t>
      </w:r>
      <w:r w:rsidRPr="005C3AD9">
        <w:rPr>
          <w:rFonts w:cstheme="minorHAnsi"/>
          <w:sz w:val="24"/>
          <w:szCs w:val="24"/>
        </w:rPr>
        <w:t>+ 53.01</w:t>
      </w:r>
    </w:p>
    <w:p w14:paraId="27B34CFE" w14:textId="05B226CD" w:rsidR="00663A9A" w:rsidRPr="005C3AD9" w:rsidRDefault="00663A9A" w:rsidP="001B26D8">
      <w:pPr>
        <w:rPr>
          <w:rFonts w:cstheme="minorHAnsi"/>
          <w:b/>
          <w:bCs/>
          <w:sz w:val="24"/>
          <w:szCs w:val="24"/>
        </w:rPr>
      </w:pPr>
    </w:p>
    <w:p w14:paraId="1E872904" w14:textId="788260FB" w:rsidR="00663A9A" w:rsidRPr="005C3AD9" w:rsidRDefault="00663A9A" w:rsidP="001B26D8">
      <w:pPr>
        <w:rPr>
          <w:rFonts w:cstheme="minorHAnsi"/>
          <w:b/>
          <w:bCs/>
          <w:sz w:val="24"/>
          <w:szCs w:val="24"/>
        </w:rPr>
      </w:pPr>
      <w:r w:rsidRPr="005C3AD9">
        <w:rPr>
          <w:rFonts w:cstheme="minorHAnsi"/>
          <w:b/>
          <w:bCs/>
          <w:sz w:val="24"/>
          <w:szCs w:val="24"/>
        </w:rPr>
        <w:t>3. Develop an estimated multiple linear regression model that could be used to predict the alumni giving rate using Graduation Rate, % of Classes Under 20, and Student-Faculty Ratio as independent variables. Discuss your findings.</w:t>
      </w:r>
    </w:p>
    <w:p w14:paraId="3CCF7D16" w14:textId="6AA0EA66" w:rsidR="00663A9A" w:rsidRPr="005C3AD9" w:rsidRDefault="00DD4FDA" w:rsidP="001B26D8">
      <w:pPr>
        <w:rPr>
          <w:rFonts w:cstheme="minorHAnsi"/>
          <w:sz w:val="24"/>
          <w:szCs w:val="24"/>
        </w:rPr>
      </w:pPr>
      <w:r w:rsidRPr="005C3AD9">
        <w:rPr>
          <w:rFonts w:cstheme="minorHAnsi"/>
          <w:noProof/>
          <w:sz w:val="24"/>
          <w:szCs w:val="24"/>
        </w:rPr>
        <w:lastRenderedPageBreak/>
        <w:drawing>
          <wp:inline distT="0" distB="0" distL="0" distR="0" wp14:anchorId="53C063A3" wp14:editId="05A5E12F">
            <wp:extent cx="5943600" cy="3309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9620"/>
                    </a:xfrm>
                    <a:prstGeom prst="rect">
                      <a:avLst/>
                    </a:prstGeom>
                    <a:noFill/>
                    <a:ln>
                      <a:noFill/>
                    </a:ln>
                  </pic:spPr>
                </pic:pic>
              </a:graphicData>
            </a:graphic>
          </wp:inline>
        </w:drawing>
      </w:r>
    </w:p>
    <w:p w14:paraId="27FAACEE" w14:textId="727CA482" w:rsidR="003B6AAB" w:rsidRPr="005C3AD9" w:rsidRDefault="003B6AAB" w:rsidP="005073B4">
      <w:pPr>
        <w:rPr>
          <w:rFonts w:cstheme="minorHAnsi"/>
          <w:sz w:val="24"/>
          <w:szCs w:val="24"/>
        </w:rPr>
      </w:pPr>
      <w:r w:rsidRPr="005C3AD9">
        <w:rPr>
          <w:rFonts w:cstheme="minorHAnsi"/>
          <w:sz w:val="24"/>
          <w:szCs w:val="24"/>
        </w:rPr>
        <w:t>Looking at the p-value for the independent variables in the last section, we can see that p-value of intercept and % of Classes Under 20 are less than 0.05, therefore, we ignore the independent variable percentage of Classes Under 20 and test again and gain the following tables.</w:t>
      </w:r>
    </w:p>
    <w:p w14:paraId="74070AB7" w14:textId="59B15BFE" w:rsidR="003B6AAB" w:rsidRPr="005C3AD9" w:rsidRDefault="003B6AAB" w:rsidP="005073B4">
      <w:pPr>
        <w:rPr>
          <w:rFonts w:cstheme="minorHAnsi"/>
          <w:sz w:val="24"/>
          <w:szCs w:val="24"/>
        </w:rPr>
      </w:pPr>
      <w:r w:rsidRPr="005C3AD9">
        <w:rPr>
          <w:rFonts w:cstheme="minorHAnsi"/>
          <w:noProof/>
          <w:sz w:val="24"/>
          <w:szCs w:val="24"/>
        </w:rPr>
        <w:drawing>
          <wp:inline distT="0" distB="0" distL="0" distR="0" wp14:anchorId="0FDF103D" wp14:editId="48754C68">
            <wp:extent cx="5943600" cy="3468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8370"/>
                    </a:xfrm>
                    <a:prstGeom prst="rect">
                      <a:avLst/>
                    </a:prstGeom>
                    <a:noFill/>
                    <a:ln>
                      <a:noFill/>
                    </a:ln>
                  </pic:spPr>
                </pic:pic>
              </a:graphicData>
            </a:graphic>
          </wp:inline>
        </w:drawing>
      </w:r>
    </w:p>
    <w:p w14:paraId="5D89044F" w14:textId="3FB7007F" w:rsidR="00984659" w:rsidRPr="005C3AD9" w:rsidRDefault="003B6AAB">
      <w:pPr>
        <w:rPr>
          <w:rFonts w:cstheme="minorHAnsi"/>
          <w:sz w:val="24"/>
          <w:szCs w:val="24"/>
        </w:rPr>
      </w:pPr>
      <w:r w:rsidRPr="005C3AD9">
        <w:rPr>
          <w:rFonts w:cstheme="minorHAnsi"/>
          <w:sz w:val="24"/>
          <w:szCs w:val="24"/>
        </w:rPr>
        <w:t>The value of R</w:t>
      </w:r>
      <w:r w:rsidRPr="005C3AD9">
        <w:rPr>
          <w:rFonts w:cstheme="minorHAnsi"/>
          <w:sz w:val="24"/>
          <w:szCs w:val="24"/>
          <w:vertAlign w:val="superscript"/>
        </w:rPr>
        <w:t>2</w:t>
      </w:r>
      <w:r w:rsidRPr="005C3AD9">
        <w:rPr>
          <w:rFonts w:cstheme="minorHAnsi"/>
          <w:sz w:val="24"/>
          <w:szCs w:val="24"/>
        </w:rPr>
        <w:t xml:space="preserve"> indicates that </w:t>
      </w:r>
      <w:r w:rsidR="000B21E0" w:rsidRPr="005C3AD9">
        <w:rPr>
          <w:rFonts w:cstheme="minorHAnsi"/>
          <w:sz w:val="24"/>
          <w:szCs w:val="24"/>
        </w:rPr>
        <w:t xml:space="preserve">70% of the variation in the dependent variable is explained by these independent variables. </w:t>
      </w:r>
    </w:p>
    <w:p w14:paraId="6A9ADE3A" w14:textId="67BA3805" w:rsidR="000B21E0" w:rsidRPr="005C3AD9" w:rsidRDefault="000B21E0">
      <w:pPr>
        <w:rPr>
          <w:rFonts w:cstheme="minorHAnsi"/>
          <w:sz w:val="24"/>
          <w:szCs w:val="24"/>
        </w:rPr>
      </w:pPr>
      <w:r w:rsidRPr="005C3AD9">
        <w:rPr>
          <w:rFonts w:cstheme="minorHAnsi"/>
          <w:sz w:val="24"/>
          <w:szCs w:val="24"/>
        </w:rPr>
        <w:lastRenderedPageBreak/>
        <w:t xml:space="preserve">From the ANOVA section, we may test for a significance of regression. At a 5% significance level, we reject the null hypothesis because Significance F s essentially zero. </w:t>
      </w:r>
    </w:p>
    <w:p w14:paraId="746C52EF" w14:textId="79293F45" w:rsidR="000B21E0" w:rsidRPr="005C3AD9" w:rsidRDefault="000B21E0">
      <w:pPr>
        <w:rPr>
          <w:rFonts w:cstheme="minorHAnsi"/>
          <w:sz w:val="24"/>
          <w:szCs w:val="24"/>
        </w:rPr>
      </w:pPr>
      <w:r w:rsidRPr="005C3AD9">
        <w:rPr>
          <w:rFonts w:cstheme="minorHAnsi"/>
          <w:sz w:val="24"/>
          <w:szCs w:val="24"/>
        </w:rPr>
        <w:t>Looking at the p-value for the independent variables in the last section, we see that the P-value of Graduation Rate and Student-Faculty Rate are smaller than 0.05, however, P-value of Intercept is larger than 0.05, but statistically speaking, we do not pay much attention to intercept, therefore we keep using the data. We reject the null hypothesis that each partial regression coefficient is zero and conclude that each of them is statistically significant.</w:t>
      </w:r>
    </w:p>
    <w:p w14:paraId="3E6D37DF" w14:textId="70E58288" w:rsidR="000B21E0" w:rsidRPr="005C3AD9" w:rsidRDefault="00701C49">
      <w:pPr>
        <w:rPr>
          <w:rFonts w:cstheme="minorHAnsi"/>
          <w:sz w:val="24"/>
          <w:szCs w:val="24"/>
        </w:rPr>
      </w:pPr>
      <w:proofErr w:type="gramStart"/>
      <w:r w:rsidRPr="005C3AD9">
        <w:rPr>
          <w:rFonts w:cstheme="minorHAnsi"/>
          <w:sz w:val="24"/>
          <w:szCs w:val="24"/>
        </w:rPr>
        <w:t>As a consequence</w:t>
      </w:r>
      <w:proofErr w:type="gramEnd"/>
      <w:r w:rsidRPr="005C3AD9">
        <w:rPr>
          <w:rFonts w:cstheme="minorHAnsi"/>
          <w:sz w:val="24"/>
          <w:szCs w:val="24"/>
        </w:rPr>
        <w:t>, we can give the following formula.</w:t>
      </w:r>
    </w:p>
    <w:p w14:paraId="2FCD88CE" w14:textId="1DE67019" w:rsidR="00701C49" w:rsidRPr="005C3AD9" w:rsidRDefault="00701C49" w:rsidP="00701C49">
      <w:pPr>
        <w:jc w:val="center"/>
        <w:rPr>
          <w:rFonts w:cstheme="minorHAnsi"/>
          <w:sz w:val="24"/>
          <w:szCs w:val="24"/>
        </w:rPr>
      </w:pPr>
      <w:r w:rsidRPr="005C3AD9">
        <w:rPr>
          <w:rFonts w:cstheme="minorHAnsi"/>
          <w:sz w:val="24"/>
          <w:szCs w:val="24"/>
        </w:rPr>
        <w:t>Y = 0.76X</w:t>
      </w:r>
      <w:r w:rsidRPr="005C3AD9">
        <w:rPr>
          <w:rFonts w:cstheme="minorHAnsi"/>
          <w:sz w:val="24"/>
          <w:szCs w:val="24"/>
          <w:vertAlign w:val="subscript"/>
        </w:rPr>
        <w:t>1</w:t>
      </w:r>
      <w:r w:rsidRPr="005C3AD9">
        <w:rPr>
          <w:rFonts w:cstheme="minorHAnsi"/>
          <w:sz w:val="24"/>
          <w:szCs w:val="24"/>
        </w:rPr>
        <w:t xml:space="preserve"> – 1.25X</w:t>
      </w:r>
      <w:r w:rsidRPr="005C3AD9">
        <w:rPr>
          <w:rFonts w:cstheme="minorHAnsi"/>
          <w:sz w:val="24"/>
          <w:szCs w:val="24"/>
          <w:vertAlign w:val="subscript"/>
        </w:rPr>
        <w:t>2</w:t>
      </w:r>
      <w:r w:rsidRPr="005C3AD9">
        <w:rPr>
          <w:rFonts w:cstheme="minorHAnsi"/>
          <w:sz w:val="24"/>
          <w:szCs w:val="24"/>
        </w:rPr>
        <w:t xml:space="preserve"> – 19.11</w:t>
      </w:r>
    </w:p>
    <w:p w14:paraId="2C672256" w14:textId="1C41C527" w:rsidR="00701C49" w:rsidRPr="005C3AD9" w:rsidRDefault="00BF4EB3" w:rsidP="00701C49">
      <w:pPr>
        <w:rPr>
          <w:rFonts w:cstheme="minorHAnsi"/>
          <w:sz w:val="24"/>
          <w:szCs w:val="24"/>
        </w:rPr>
      </w:pPr>
      <w:r w:rsidRPr="005C3AD9">
        <w:rPr>
          <w:rFonts w:cstheme="minorHAnsi"/>
          <w:noProof/>
          <w:sz w:val="24"/>
          <w:szCs w:val="24"/>
        </w:rPr>
        <w:drawing>
          <wp:inline distT="0" distB="0" distL="0" distR="0" wp14:anchorId="002E8580" wp14:editId="2A94B964">
            <wp:extent cx="5943600" cy="2231390"/>
            <wp:effectExtent l="0" t="0" r="0" b="16510"/>
            <wp:docPr id="7" name="Chart 7">
              <a:extLst xmlns:a="http://schemas.openxmlformats.org/drawingml/2006/main">
                <a:ext uri="{FF2B5EF4-FFF2-40B4-BE49-F238E27FC236}">
                  <a16:creationId xmlns:a16="http://schemas.microsoft.com/office/drawing/2014/main" id="{1F821BBD-194D-4A6A-A945-6A420BF95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352975" w14:textId="4AC91BA5" w:rsidR="00BF4EB3" w:rsidRPr="005C3AD9" w:rsidRDefault="00BF4EB3" w:rsidP="00701C49">
      <w:pPr>
        <w:rPr>
          <w:rFonts w:cstheme="minorHAnsi"/>
          <w:sz w:val="24"/>
          <w:szCs w:val="24"/>
        </w:rPr>
      </w:pPr>
      <w:r w:rsidRPr="005C3AD9">
        <w:rPr>
          <w:rFonts w:cstheme="minorHAnsi"/>
          <w:noProof/>
          <w:sz w:val="24"/>
          <w:szCs w:val="24"/>
        </w:rPr>
        <w:drawing>
          <wp:inline distT="0" distB="0" distL="0" distR="0" wp14:anchorId="638187A2" wp14:editId="3C640A89">
            <wp:extent cx="5943600" cy="2099945"/>
            <wp:effectExtent l="0" t="0" r="0" b="14605"/>
            <wp:docPr id="8" name="Chart 8">
              <a:extLst xmlns:a="http://schemas.openxmlformats.org/drawingml/2006/main">
                <a:ext uri="{FF2B5EF4-FFF2-40B4-BE49-F238E27FC236}">
                  <a16:creationId xmlns:a16="http://schemas.microsoft.com/office/drawing/2014/main" id="{6374E5D9-4602-4C6E-A86B-F0C2CD62A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36549F" w14:textId="0D336B44" w:rsidR="00BF4EB3" w:rsidRPr="005C3AD9" w:rsidRDefault="00BF4EB3" w:rsidP="00701C49">
      <w:pPr>
        <w:rPr>
          <w:rFonts w:cstheme="minorHAnsi"/>
          <w:sz w:val="24"/>
          <w:szCs w:val="24"/>
        </w:rPr>
      </w:pPr>
      <w:r w:rsidRPr="005C3AD9">
        <w:rPr>
          <w:rFonts w:cstheme="minorHAnsi"/>
          <w:sz w:val="24"/>
          <w:szCs w:val="24"/>
        </w:rPr>
        <w:t>The above residual plots validate these assumptions.</w:t>
      </w:r>
    </w:p>
    <w:p w14:paraId="0FDADCC1" w14:textId="08A6C31C" w:rsidR="00BF4EB3" w:rsidRPr="005C3AD9" w:rsidRDefault="00BF4EB3" w:rsidP="00701C49">
      <w:pPr>
        <w:rPr>
          <w:rFonts w:cstheme="minorHAnsi"/>
          <w:sz w:val="24"/>
          <w:szCs w:val="24"/>
        </w:rPr>
      </w:pPr>
      <w:r w:rsidRPr="005C3AD9">
        <w:rPr>
          <w:rFonts w:cstheme="minorHAnsi"/>
          <w:noProof/>
          <w:sz w:val="24"/>
          <w:szCs w:val="24"/>
        </w:rPr>
        <w:lastRenderedPageBreak/>
        <w:drawing>
          <wp:inline distT="0" distB="0" distL="0" distR="0" wp14:anchorId="3337ADE6" wp14:editId="53D355E5">
            <wp:extent cx="5943600" cy="2288540"/>
            <wp:effectExtent l="0" t="0" r="0" b="16510"/>
            <wp:docPr id="9" name="Chart 9">
              <a:extLst xmlns:a="http://schemas.openxmlformats.org/drawingml/2006/main">
                <a:ext uri="{FF2B5EF4-FFF2-40B4-BE49-F238E27FC236}">
                  <a16:creationId xmlns:a16="http://schemas.microsoft.com/office/drawing/2014/main" id="{63AF0D30-DB62-492F-BD9D-FC20EFCE0D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97AD84" w14:textId="5E1C624A" w:rsidR="00BF4EB3" w:rsidRPr="005C3AD9" w:rsidRDefault="00BF4EB3" w:rsidP="00701C49">
      <w:pPr>
        <w:rPr>
          <w:rFonts w:cstheme="minorHAnsi"/>
          <w:sz w:val="24"/>
          <w:szCs w:val="24"/>
        </w:rPr>
      </w:pPr>
      <w:r w:rsidRPr="005C3AD9">
        <w:rPr>
          <w:rFonts w:cstheme="minorHAnsi"/>
          <w:sz w:val="24"/>
          <w:szCs w:val="24"/>
        </w:rPr>
        <w:t>The normal probability plot does not suggest any serious departures from normality.</w:t>
      </w:r>
    </w:p>
    <w:p w14:paraId="01F3A9F9" w14:textId="7BCC56F2" w:rsidR="00BF4EB3" w:rsidRPr="005C3AD9" w:rsidRDefault="00BF4EB3" w:rsidP="00701C49">
      <w:pPr>
        <w:rPr>
          <w:rFonts w:cstheme="minorHAnsi"/>
          <w:sz w:val="24"/>
          <w:szCs w:val="24"/>
        </w:rPr>
      </w:pPr>
    </w:p>
    <w:p w14:paraId="69308989" w14:textId="0B986D21" w:rsidR="00BF4EB3" w:rsidRPr="005C3AD9" w:rsidRDefault="00BF4EB3" w:rsidP="00701C49">
      <w:pPr>
        <w:rPr>
          <w:rFonts w:cstheme="minorHAnsi"/>
          <w:b/>
          <w:bCs/>
          <w:sz w:val="24"/>
          <w:szCs w:val="24"/>
        </w:rPr>
      </w:pPr>
      <w:r w:rsidRPr="005C3AD9">
        <w:rPr>
          <w:rFonts w:cstheme="minorHAnsi"/>
          <w:b/>
          <w:bCs/>
          <w:sz w:val="24"/>
          <w:szCs w:val="24"/>
        </w:rPr>
        <w:t xml:space="preserve">4. Based on the results in part 2 and 3, do you believe another regression model may be more appropriate? Estimate this </w:t>
      </w:r>
      <w:proofErr w:type="gramStart"/>
      <w:r w:rsidRPr="005C3AD9">
        <w:rPr>
          <w:rFonts w:cstheme="minorHAnsi"/>
          <w:b/>
          <w:bCs/>
          <w:sz w:val="24"/>
          <w:szCs w:val="24"/>
        </w:rPr>
        <w:t>model, and</w:t>
      </w:r>
      <w:proofErr w:type="gramEnd"/>
      <w:r w:rsidRPr="005C3AD9">
        <w:rPr>
          <w:rFonts w:cstheme="minorHAnsi"/>
          <w:b/>
          <w:bCs/>
          <w:sz w:val="24"/>
          <w:szCs w:val="24"/>
        </w:rPr>
        <w:t xml:space="preserve"> discuss your result.</w:t>
      </w:r>
    </w:p>
    <w:p w14:paraId="719F4056" w14:textId="0CA94FDF" w:rsidR="00CF39D6" w:rsidRPr="005C3AD9" w:rsidRDefault="00CF39D6" w:rsidP="00701C49">
      <w:pPr>
        <w:rPr>
          <w:rFonts w:cstheme="minorHAnsi"/>
          <w:sz w:val="24"/>
          <w:szCs w:val="24"/>
        </w:rPr>
      </w:pPr>
      <w:r w:rsidRPr="005C3AD9">
        <w:rPr>
          <w:rFonts w:cstheme="minorHAnsi"/>
          <w:sz w:val="24"/>
          <w:szCs w:val="24"/>
        </w:rPr>
        <w:t xml:space="preserve">By considering part 2 and 3, win order to estimate a better model, when we construct a model with all available independent variables, we find out that the independent variable Percentage of Classes Under 20 is not significant by looking at its P-value. </w:t>
      </w:r>
    </w:p>
    <w:p w14:paraId="5669DA8E" w14:textId="0E67C0EA" w:rsidR="00F660F9" w:rsidRPr="005C3AD9" w:rsidRDefault="00F660F9" w:rsidP="00701C49">
      <w:pPr>
        <w:rPr>
          <w:rFonts w:cstheme="minorHAnsi"/>
          <w:sz w:val="24"/>
          <w:szCs w:val="24"/>
        </w:rPr>
      </w:pPr>
      <w:r w:rsidRPr="005C3AD9">
        <w:rPr>
          <w:rFonts w:cstheme="minorHAnsi"/>
          <w:sz w:val="24"/>
          <w:szCs w:val="24"/>
        </w:rPr>
        <w:t>Therefore, we remove the independent variable Percentage of Classes Under 20 and construct a new model. We find out that all the rest independent variables are significant. Based on this, we construct the following model.</w:t>
      </w:r>
    </w:p>
    <w:p w14:paraId="3D608469" w14:textId="1EA9B458" w:rsidR="00F660F9" w:rsidRPr="005C3AD9" w:rsidRDefault="00F660F9" w:rsidP="00F660F9">
      <w:pPr>
        <w:jc w:val="center"/>
        <w:rPr>
          <w:rFonts w:cstheme="minorHAnsi"/>
          <w:sz w:val="24"/>
          <w:szCs w:val="24"/>
        </w:rPr>
      </w:pPr>
      <w:r w:rsidRPr="005C3AD9">
        <w:rPr>
          <w:rFonts w:cstheme="minorHAnsi"/>
          <w:sz w:val="24"/>
          <w:szCs w:val="24"/>
        </w:rPr>
        <w:t>Y = 0.76X</w:t>
      </w:r>
      <w:r w:rsidRPr="005C3AD9">
        <w:rPr>
          <w:rFonts w:cstheme="minorHAnsi"/>
          <w:sz w:val="24"/>
          <w:szCs w:val="24"/>
          <w:vertAlign w:val="subscript"/>
        </w:rPr>
        <w:t>1</w:t>
      </w:r>
      <w:r w:rsidRPr="005C3AD9">
        <w:rPr>
          <w:rFonts w:cstheme="minorHAnsi"/>
          <w:sz w:val="24"/>
          <w:szCs w:val="24"/>
        </w:rPr>
        <w:t xml:space="preserve"> – 1.25X</w:t>
      </w:r>
      <w:r w:rsidRPr="005C3AD9">
        <w:rPr>
          <w:rFonts w:cstheme="minorHAnsi"/>
          <w:sz w:val="24"/>
          <w:szCs w:val="24"/>
          <w:vertAlign w:val="subscript"/>
        </w:rPr>
        <w:t>2</w:t>
      </w:r>
      <w:r w:rsidRPr="005C3AD9">
        <w:rPr>
          <w:rFonts w:cstheme="minorHAnsi"/>
          <w:sz w:val="24"/>
          <w:szCs w:val="24"/>
        </w:rPr>
        <w:t xml:space="preserve"> – 19.11</w:t>
      </w:r>
    </w:p>
    <w:p w14:paraId="5F82FC45" w14:textId="6F7861D1" w:rsidR="00BF4EB3" w:rsidRPr="005C3AD9" w:rsidRDefault="00F660F9" w:rsidP="00701C49">
      <w:pPr>
        <w:rPr>
          <w:rFonts w:cstheme="minorHAnsi"/>
          <w:sz w:val="24"/>
          <w:szCs w:val="24"/>
        </w:rPr>
      </w:pPr>
      <w:r w:rsidRPr="005C3AD9">
        <w:rPr>
          <w:rFonts w:cstheme="minorHAnsi"/>
          <w:noProof/>
          <w:sz w:val="24"/>
          <w:szCs w:val="24"/>
        </w:rPr>
        <w:lastRenderedPageBreak/>
        <w:drawing>
          <wp:inline distT="0" distB="0" distL="0" distR="0" wp14:anchorId="69A54194" wp14:editId="65767668">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8370"/>
                    </a:xfrm>
                    <a:prstGeom prst="rect">
                      <a:avLst/>
                    </a:prstGeom>
                    <a:noFill/>
                    <a:ln>
                      <a:noFill/>
                    </a:ln>
                  </pic:spPr>
                </pic:pic>
              </a:graphicData>
            </a:graphic>
          </wp:inline>
        </w:drawing>
      </w:r>
    </w:p>
    <w:p w14:paraId="784D848F" w14:textId="50E3690B" w:rsidR="00F660F9" w:rsidRPr="005C3AD9" w:rsidRDefault="00F660F9" w:rsidP="00701C49">
      <w:pPr>
        <w:rPr>
          <w:rFonts w:cstheme="minorHAnsi"/>
          <w:sz w:val="24"/>
          <w:szCs w:val="24"/>
        </w:rPr>
      </w:pPr>
    </w:p>
    <w:p w14:paraId="3F41B804" w14:textId="184F6B3E" w:rsidR="00F660F9" w:rsidRPr="005C3AD9" w:rsidRDefault="00F660F9" w:rsidP="00701C49">
      <w:pPr>
        <w:rPr>
          <w:rFonts w:cstheme="minorHAnsi"/>
          <w:b/>
          <w:bCs/>
          <w:sz w:val="24"/>
          <w:szCs w:val="24"/>
        </w:rPr>
      </w:pPr>
      <w:r w:rsidRPr="005C3AD9">
        <w:rPr>
          <w:rFonts w:cstheme="minorHAnsi"/>
          <w:b/>
          <w:bCs/>
          <w:sz w:val="24"/>
          <w:szCs w:val="24"/>
        </w:rPr>
        <w:t xml:space="preserve">5. </w:t>
      </w:r>
      <w:r w:rsidR="00170CDD" w:rsidRPr="005C3AD9">
        <w:rPr>
          <w:rFonts w:cstheme="minorHAnsi"/>
          <w:b/>
          <w:bCs/>
          <w:sz w:val="24"/>
          <w:szCs w:val="24"/>
        </w:rPr>
        <w:t xml:space="preserve">What conclusions and recommendations can you derive from your analysis? What universities are achieving a substantially higher alumni giving rate than would be expected, given their Graduation Rate, % of Classes Under 20, and Student/Faculty Ratio? </w:t>
      </w:r>
      <w:r w:rsidR="00170CDD" w:rsidRPr="005C3AD9">
        <w:rPr>
          <w:rFonts w:cstheme="minorHAnsi"/>
          <w:b/>
          <w:bCs/>
          <w:sz w:val="24"/>
          <w:szCs w:val="24"/>
        </w:rPr>
        <w:t xml:space="preserve">What universities are achieving a substantially </w:t>
      </w:r>
      <w:r w:rsidR="00170CDD" w:rsidRPr="005C3AD9">
        <w:rPr>
          <w:rFonts w:cstheme="minorHAnsi"/>
          <w:b/>
          <w:bCs/>
          <w:sz w:val="24"/>
          <w:szCs w:val="24"/>
        </w:rPr>
        <w:t>lower</w:t>
      </w:r>
      <w:r w:rsidR="00170CDD" w:rsidRPr="005C3AD9">
        <w:rPr>
          <w:rFonts w:cstheme="minorHAnsi"/>
          <w:b/>
          <w:bCs/>
          <w:sz w:val="24"/>
          <w:szCs w:val="24"/>
        </w:rPr>
        <w:t xml:space="preserve"> alumni giving rate than would be expected, given their Graduation Rate, % of Classes Under 20, and Student/Faculty Ratio?</w:t>
      </w:r>
      <w:r w:rsidR="00170CDD" w:rsidRPr="005C3AD9">
        <w:rPr>
          <w:rFonts w:cstheme="minorHAnsi"/>
          <w:b/>
          <w:bCs/>
          <w:sz w:val="24"/>
          <w:szCs w:val="24"/>
        </w:rPr>
        <w:t xml:space="preserve"> What other independent variables could be included in this model?</w:t>
      </w:r>
    </w:p>
    <w:p w14:paraId="39D1E192" w14:textId="54149765" w:rsidR="00170CDD" w:rsidRPr="005C3AD9" w:rsidRDefault="004E79D2" w:rsidP="00701C49">
      <w:pPr>
        <w:rPr>
          <w:rFonts w:cstheme="minorHAnsi"/>
          <w:sz w:val="24"/>
          <w:szCs w:val="24"/>
        </w:rPr>
      </w:pPr>
      <w:r w:rsidRPr="005C3AD9">
        <w:rPr>
          <w:rFonts w:cstheme="minorHAnsi"/>
          <w:sz w:val="24"/>
          <w:szCs w:val="24"/>
        </w:rPr>
        <w:t>(1) My conclusions:</w:t>
      </w:r>
    </w:p>
    <w:p w14:paraId="3500DD60" w14:textId="77B489E4" w:rsidR="004E79D2" w:rsidRPr="005C3AD9" w:rsidRDefault="004E79D2" w:rsidP="00701C49">
      <w:pPr>
        <w:rPr>
          <w:rFonts w:cstheme="minorHAnsi"/>
          <w:sz w:val="24"/>
          <w:szCs w:val="24"/>
        </w:rPr>
      </w:pPr>
      <w:proofErr w:type="gramStart"/>
      <w:r w:rsidRPr="005C3AD9">
        <w:rPr>
          <w:rFonts w:cstheme="minorHAnsi"/>
          <w:sz w:val="24"/>
          <w:szCs w:val="24"/>
        </w:rPr>
        <w:t>A. Generally speaking, building</w:t>
      </w:r>
      <w:proofErr w:type="gramEnd"/>
      <w:r w:rsidRPr="005C3AD9">
        <w:rPr>
          <w:rFonts w:cstheme="minorHAnsi"/>
          <w:sz w:val="24"/>
          <w:szCs w:val="24"/>
        </w:rPr>
        <w:t xml:space="preserve"> a multiple linear regression is better than building a simple linear regression because the dependent variable is usually affected by a couple of independent variables. In this case, R</w:t>
      </w:r>
      <w:r w:rsidRPr="005C3AD9">
        <w:rPr>
          <w:rFonts w:cstheme="minorHAnsi"/>
          <w:sz w:val="24"/>
          <w:szCs w:val="24"/>
          <w:vertAlign w:val="superscript"/>
        </w:rPr>
        <w:t>2</w:t>
      </w:r>
      <w:r w:rsidRPr="005C3AD9">
        <w:rPr>
          <w:rFonts w:cstheme="minorHAnsi"/>
          <w:sz w:val="24"/>
          <w:szCs w:val="24"/>
        </w:rPr>
        <w:t xml:space="preserve"> of multiple linear regression is higher than R</w:t>
      </w:r>
      <w:r w:rsidRPr="005C3AD9">
        <w:rPr>
          <w:rFonts w:cstheme="minorHAnsi"/>
          <w:sz w:val="24"/>
          <w:szCs w:val="24"/>
          <w:vertAlign w:val="superscript"/>
        </w:rPr>
        <w:t>2</w:t>
      </w:r>
      <w:r w:rsidRPr="005C3AD9">
        <w:rPr>
          <w:rFonts w:cstheme="minorHAnsi"/>
          <w:sz w:val="24"/>
          <w:szCs w:val="24"/>
        </w:rPr>
        <w:t xml:space="preserve"> of simple linear regression, which suggests that the dependent variable can be explained more in the multiple linear regression.</w:t>
      </w:r>
    </w:p>
    <w:p w14:paraId="641AE10B" w14:textId="2F86AA6F" w:rsidR="004E79D2" w:rsidRPr="005C3AD9" w:rsidRDefault="004E79D2" w:rsidP="00701C49">
      <w:pPr>
        <w:rPr>
          <w:rFonts w:cstheme="minorHAnsi"/>
          <w:sz w:val="24"/>
          <w:szCs w:val="24"/>
        </w:rPr>
      </w:pPr>
      <w:r w:rsidRPr="005C3AD9">
        <w:rPr>
          <w:rFonts w:cstheme="minorHAnsi"/>
          <w:sz w:val="24"/>
          <w:szCs w:val="24"/>
        </w:rPr>
        <w:t xml:space="preserve">B. </w:t>
      </w:r>
      <w:r w:rsidR="006B104F" w:rsidRPr="005C3AD9">
        <w:rPr>
          <w:rFonts w:cstheme="minorHAnsi"/>
          <w:sz w:val="24"/>
          <w:szCs w:val="24"/>
        </w:rPr>
        <w:t>After constructing a model, we should take the test results into consideration because sometimes the independent variables are not significance.</w:t>
      </w:r>
    </w:p>
    <w:p w14:paraId="5C453A7E" w14:textId="66E1C944" w:rsidR="006B104F" w:rsidRPr="005C3AD9" w:rsidRDefault="006B104F" w:rsidP="00701C49">
      <w:pPr>
        <w:rPr>
          <w:rFonts w:cstheme="minorHAnsi"/>
          <w:sz w:val="24"/>
          <w:szCs w:val="24"/>
        </w:rPr>
      </w:pPr>
    </w:p>
    <w:p w14:paraId="4E4D52FA" w14:textId="18516AFA" w:rsidR="00213F26" w:rsidRPr="005C3AD9" w:rsidRDefault="006B104F" w:rsidP="00213F26">
      <w:pPr>
        <w:rPr>
          <w:rFonts w:cstheme="minorHAnsi"/>
          <w:sz w:val="24"/>
          <w:szCs w:val="24"/>
        </w:rPr>
      </w:pPr>
      <w:r w:rsidRPr="005C3AD9">
        <w:rPr>
          <w:rFonts w:cstheme="minorHAnsi"/>
          <w:sz w:val="24"/>
          <w:szCs w:val="24"/>
        </w:rPr>
        <w:t xml:space="preserve">(2) </w:t>
      </w:r>
      <w:r w:rsidR="00213F26" w:rsidRPr="005C3AD9">
        <w:rPr>
          <w:rFonts w:cstheme="minorHAnsi"/>
          <w:sz w:val="24"/>
          <w:szCs w:val="24"/>
        </w:rPr>
        <w:t xml:space="preserve">By applying the formula </w:t>
      </w:r>
      <w:r w:rsidR="00213F26" w:rsidRPr="005C3AD9">
        <w:rPr>
          <w:rFonts w:cstheme="minorHAnsi"/>
          <w:sz w:val="24"/>
          <w:szCs w:val="24"/>
        </w:rPr>
        <w:t>Y = 0.76X</w:t>
      </w:r>
      <w:r w:rsidR="00213F26" w:rsidRPr="005C3AD9">
        <w:rPr>
          <w:rFonts w:cstheme="minorHAnsi"/>
          <w:sz w:val="24"/>
          <w:szCs w:val="24"/>
          <w:vertAlign w:val="subscript"/>
        </w:rPr>
        <w:t>1</w:t>
      </w:r>
      <w:r w:rsidR="00213F26" w:rsidRPr="005C3AD9">
        <w:rPr>
          <w:rFonts w:cstheme="minorHAnsi"/>
          <w:sz w:val="24"/>
          <w:szCs w:val="24"/>
        </w:rPr>
        <w:t xml:space="preserve"> – 1.25X</w:t>
      </w:r>
      <w:r w:rsidR="00213F26" w:rsidRPr="005C3AD9">
        <w:rPr>
          <w:rFonts w:cstheme="minorHAnsi"/>
          <w:sz w:val="24"/>
          <w:szCs w:val="24"/>
          <w:vertAlign w:val="subscript"/>
        </w:rPr>
        <w:t>2</w:t>
      </w:r>
      <w:r w:rsidR="00213F26" w:rsidRPr="005C3AD9">
        <w:rPr>
          <w:rFonts w:cstheme="minorHAnsi"/>
          <w:sz w:val="24"/>
          <w:szCs w:val="24"/>
        </w:rPr>
        <w:t xml:space="preserve"> – 19.11</w:t>
      </w:r>
      <w:r w:rsidR="00213F26" w:rsidRPr="005C3AD9">
        <w:rPr>
          <w:rFonts w:cstheme="minorHAnsi"/>
          <w:sz w:val="24"/>
          <w:szCs w:val="24"/>
        </w:rPr>
        <w:t>, we come up with the estimated figures and draw the following chart, the trend of the two lines are similar, some universities witness higher substantial alumni giving rate while the others have lower alumni giving rate.</w:t>
      </w:r>
    </w:p>
    <w:p w14:paraId="0681AC60" w14:textId="59DCFC28" w:rsidR="00F744D0" w:rsidRPr="005C3AD9" w:rsidRDefault="00F744D0" w:rsidP="00213F26">
      <w:pPr>
        <w:rPr>
          <w:rFonts w:cstheme="minorHAnsi"/>
          <w:sz w:val="24"/>
          <w:szCs w:val="24"/>
        </w:rPr>
      </w:pPr>
      <w:r w:rsidRPr="005C3AD9">
        <w:rPr>
          <w:rFonts w:cstheme="minorHAnsi"/>
          <w:sz w:val="24"/>
          <w:szCs w:val="24"/>
        </w:rPr>
        <w:lastRenderedPageBreak/>
        <w:t>According to the actual funding and our model, Princeton University, U. of Florida, Dartmouth College have higher alumni giving rate, and U. of California-San Diego, Johns Hopkins University and U. of Michigan-Ann Arbor have lower alumni giving rate.</w:t>
      </w:r>
    </w:p>
    <w:p w14:paraId="7EF31934" w14:textId="0684CEF2" w:rsidR="006B104F" w:rsidRPr="005C3AD9" w:rsidRDefault="006B104F" w:rsidP="00701C49">
      <w:pPr>
        <w:rPr>
          <w:rFonts w:cstheme="minorHAnsi"/>
          <w:sz w:val="24"/>
          <w:szCs w:val="24"/>
        </w:rPr>
      </w:pPr>
    </w:p>
    <w:p w14:paraId="583698EE" w14:textId="5B0EB614" w:rsidR="00213F26" w:rsidRPr="005C3AD9" w:rsidRDefault="00213F26" w:rsidP="00213F26">
      <w:pPr>
        <w:jc w:val="center"/>
        <w:rPr>
          <w:rFonts w:cstheme="minorHAnsi"/>
          <w:sz w:val="24"/>
          <w:szCs w:val="24"/>
        </w:rPr>
      </w:pPr>
      <w:r w:rsidRPr="005C3AD9">
        <w:rPr>
          <w:rFonts w:cstheme="minorHAnsi"/>
          <w:noProof/>
          <w:sz w:val="24"/>
          <w:szCs w:val="24"/>
        </w:rPr>
        <w:drawing>
          <wp:inline distT="0" distB="0" distL="0" distR="0" wp14:anchorId="083D0544" wp14:editId="6D930642">
            <wp:extent cx="4572000" cy="2743200"/>
            <wp:effectExtent l="0" t="0" r="0" b="0"/>
            <wp:docPr id="11" name="Chart 11">
              <a:extLst xmlns:a="http://schemas.openxmlformats.org/drawingml/2006/main">
                <a:ext uri="{FF2B5EF4-FFF2-40B4-BE49-F238E27FC236}">
                  <a16:creationId xmlns:a16="http://schemas.microsoft.com/office/drawing/2014/main" id="{73BF4CEC-E9E2-4ED6-B45D-38FE6BB7A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6C050A" w14:textId="710A406C" w:rsidR="005C3AD9" w:rsidRPr="005C3AD9" w:rsidRDefault="005C3AD9" w:rsidP="005C3AD9">
      <w:pPr>
        <w:rPr>
          <w:rFonts w:cstheme="minorHAnsi"/>
          <w:sz w:val="24"/>
          <w:szCs w:val="24"/>
        </w:rPr>
      </w:pPr>
    </w:p>
    <w:p w14:paraId="31566FBD" w14:textId="581CC000" w:rsidR="005C3AD9" w:rsidRPr="005C3AD9" w:rsidRDefault="005C3AD9" w:rsidP="005C3AD9">
      <w:pPr>
        <w:rPr>
          <w:rFonts w:cstheme="minorHAnsi"/>
          <w:sz w:val="24"/>
          <w:szCs w:val="24"/>
        </w:rPr>
      </w:pPr>
      <w:r w:rsidRPr="005C3AD9">
        <w:rPr>
          <w:rFonts w:cstheme="minorHAnsi"/>
          <w:sz w:val="24"/>
          <w:szCs w:val="24"/>
        </w:rPr>
        <w:t>(3) Other independent variables: Public/Private; Job employment rate; enterprise faculty rate;</w:t>
      </w:r>
    </w:p>
    <w:sectPr w:rsidR="005C3AD9" w:rsidRPr="005C3AD9">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F93AB" w14:textId="77777777" w:rsidR="00CD515E" w:rsidRDefault="00CD515E" w:rsidP="005C3AD9">
      <w:pPr>
        <w:spacing w:after="0" w:line="240" w:lineRule="auto"/>
      </w:pPr>
      <w:r>
        <w:separator/>
      </w:r>
    </w:p>
  </w:endnote>
  <w:endnote w:type="continuationSeparator" w:id="0">
    <w:p w14:paraId="3D3142E2" w14:textId="77777777" w:rsidR="00CD515E" w:rsidRDefault="00CD515E" w:rsidP="005C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E417F" w14:textId="77777777" w:rsidR="005C3AD9" w:rsidRDefault="005C3AD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01326C" w14:textId="77777777" w:rsidR="005C3AD9" w:rsidRDefault="005C3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FFA36" w14:textId="77777777" w:rsidR="00CD515E" w:rsidRDefault="00CD515E" w:rsidP="005C3AD9">
      <w:pPr>
        <w:spacing w:after="0" w:line="240" w:lineRule="auto"/>
      </w:pPr>
      <w:r>
        <w:separator/>
      </w:r>
    </w:p>
  </w:footnote>
  <w:footnote w:type="continuationSeparator" w:id="0">
    <w:p w14:paraId="27DBF1F4" w14:textId="77777777" w:rsidR="00CD515E" w:rsidRDefault="00CD515E" w:rsidP="005C3A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24"/>
    <w:rsid w:val="000B21E0"/>
    <w:rsid w:val="000E535F"/>
    <w:rsid w:val="00170CDD"/>
    <w:rsid w:val="001B26D8"/>
    <w:rsid w:val="001C04E4"/>
    <w:rsid w:val="00213F26"/>
    <w:rsid w:val="003B6AAB"/>
    <w:rsid w:val="003E2116"/>
    <w:rsid w:val="003E38AB"/>
    <w:rsid w:val="00453207"/>
    <w:rsid w:val="004E79D2"/>
    <w:rsid w:val="005022E4"/>
    <w:rsid w:val="005073B4"/>
    <w:rsid w:val="005C34F2"/>
    <w:rsid w:val="005C3AD9"/>
    <w:rsid w:val="00610832"/>
    <w:rsid w:val="00663A9A"/>
    <w:rsid w:val="006B104F"/>
    <w:rsid w:val="006F5758"/>
    <w:rsid w:val="00701C49"/>
    <w:rsid w:val="00764EC0"/>
    <w:rsid w:val="0078358E"/>
    <w:rsid w:val="007D36AC"/>
    <w:rsid w:val="008D4F17"/>
    <w:rsid w:val="00966D9B"/>
    <w:rsid w:val="00974E93"/>
    <w:rsid w:val="00984659"/>
    <w:rsid w:val="009B53C9"/>
    <w:rsid w:val="009C69CB"/>
    <w:rsid w:val="00A0347E"/>
    <w:rsid w:val="00BF4EB3"/>
    <w:rsid w:val="00C85B9F"/>
    <w:rsid w:val="00CD515E"/>
    <w:rsid w:val="00CE173C"/>
    <w:rsid w:val="00CF39D6"/>
    <w:rsid w:val="00D97C93"/>
    <w:rsid w:val="00DB0BE6"/>
    <w:rsid w:val="00DD4FDA"/>
    <w:rsid w:val="00E40424"/>
    <w:rsid w:val="00E60D12"/>
    <w:rsid w:val="00E75A16"/>
    <w:rsid w:val="00F372AC"/>
    <w:rsid w:val="00F660F9"/>
    <w:rsid w:val="00F74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D6BC"/>
  <w15:chartTrackingRefBased/>
  <w15:docId w15:val="{D38E474E-338D-4D8E-9407-CF8C512A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AD9"/>
  </w:style>
  <w:style w:type="paragraph" w:styleId="Footer">
    <w:name w:val="footer"/>
    <w:basedOn w:val="Normal"/>
    <w:link w:val="FooterChar"/>
    <w:uiPriority w:val="99"/>
    <w:unhideWhenUsed/>
    <w:rsid w:val="005C3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832181">
      <w:bodyDiv w:val="1"/>
      <w:marLeft w:val="0"/>
      <w:marRight w:val="0"/>
      <w:marTop w:val="0"/>
      <w:marBottom w:val="0"/>
      <w:divBdr>
        <w:top w:val="none" w:sz="0" w:space="0" w:color="auto"/>
        <w:left w:val="none" w:sz="0" w:space="0" w:color="auto"/>
        <w:bottom w:val="none" w:sz="0" w:space="0" w:color="auto"/>
        <w:right w:val="none" w:sz="0" w:space="0" w:color="auto"/>
      </w:divBdr>
    </w:div>
    <w:div w:id="214265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hart" Target="charts/chart4.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licia\Downloads\Case%20study%20D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elicia\Downloads\Case%20study%20D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elicia\Downloads\Case%20study%20DA.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Felicia\Downloads\Case%20study%20D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Graduation Rate  Residual Plot</a:t>
            </a:r>
          </a:p>
        </c:rich>
      </c:tx>
      <c:overlay val="0"/>
    </c:title>
    <c:autoTitleDeleted val="0"/>
    <c:plotArea>
      <c:layout/>
      <c:scatterChart>
        <c:scatterStyle val="lineMarker"/>
        <c:varyColors val="0"/>
        <c:ser>
          <c:idx val="0"/>
          <c:order val="0"/>
          <c:spPr>
            <a:ln w="19050">
              <a:noFill/>
            </a:ln>
          </c:spPr>
          <c:xVal>
            <c:numRef>
              <c:f>Sheet1!#REF!</c:f>
            </c:numRef>
          </c:xVal>
          <c:yVal>
            <c:numRef>
              <c:f>Sheet1!$N$346:$N$393</c:f>
              <c:numCache>
                <c:formatCode>General</c:formatCode>
                <c:ptCount val="48"/>
                <c:pt idx="0">
                  <c:v>-3.9337995776850683</c:v>
                </c:pt>
                <c:pt idx="1">
                  <c:v>2.3708451220427094</c:v>
                </c:pt>
                <c:pt idx="2">
                  <c:v>-1.2094503837293686</c:v>
                </c:pt>
                <c:pt idx="3">
                  <c:v>4.6066651025372849</c:v>
                </c:pt>
                <c:pt idx="4">
                  <c:v>2.8856937590759699</c:v>
                </c:pt>
                <c:pt idx="5">
                  <c:v>5.6609928749287448</c:v>
                </c:pt>
                <c:pt idx="6">
                  <c:v>-6.2026946827405638</c:v>
                </c:pt>
                <c:pt idx="7">
                  <c:v>-9.1881977358988181</c:v>
                </c:pt>
                <c:pt idx="8">
                  <c:v>1.5317880626983396</c:v>
                </c:pt>
                <c:pt idx="9">
                  <c:v>13.526721286956729</c:v>
                </c:pt>
                <c:pt idx="10">
                  <c:v>4.5462850095400782</c:v>
                </c:pt>
                <c:pt idx="11">
                  <c:v>1.3462146237177777</c:v>
                </c:pt>
                <c:pt idx="12">
                  <c:v>-8.2060725332349591</c:v>
                </c:pt>
                <c:pt idx="13">
                  <c:v>1.7676080431929009</c:v>
                </c:pt>
                <c:pt idx="14">
                  <c:v>-9.9405552786738554</c:v>
                </c:pt>
                <c:pt idx="15">
                  <c:v>11.597234931437139</c:v>
                </c:pt>
                <c:pt idx="16">
                  <c:v>1.0543779455845481</c:v>
                </c:pt>
                <c:pt idx="17">
                  <c:v>-6.10923946518243</c:v>
                </c:pt>
                <c:pt idx="18">
                  <c:v>-8.9422442039210566</c:v>
                </c:pt>
                <c:pt idx="19">
                  <c:v>3.3205985805286851</c:v>
                </c:pt>
                <c:pt idx="20">
                  <c:v>20.541218233798475</c:v>
                </c:pt>
                <c:pt idx="21">
                  <c:v>-0.45371499045992181</c:v>
                </c:pt>
                <c:pt idx="22">
                  <c:v>-7.6996685224376833</c:v>
                </c:pt>
                <c:pt idx="23">
                  <c:v>-6.4290844921349901</c:v>
                </c:pt>
                <c:pt idx="24">
                  <c:v>-3.355192997160195</c:v>
                </c:pt>
                <c:pt idx="25">
                  <c:v>-4.4385146632351464</c:v>
                </c:pt>
                <c:pt idx="26">
                  <c:v>-6.1449890598547121</c:v>
                </c:pt>
                <c:pt idx="27">
                  <c:v>-2.8990355278769471</c:v>
                </c:pt>
                <c:pt idx="28">
                  <c:v>-4.4138841649102112</c:v>
                </c:pt>
                <c:pt idx="29">
                  <c:v>-9.6794014194713149</c:v>
                </c:pt>
                <c:pt idx="30">
                  <c:v>3.1239060452007834</c:v>
                </c:pt>
                <c:pt idx="31">
                  <c:v>-3.3916459722155139</c:v>
                </c:pt>
                <c:pt idx="32">
                  <c:v>16.128972820942383</c:v>
                </c:pt>
                <c:pt idx="33">
                  <c:v>2.6039906324259263</c:v>
                </c:pt>
                <c:pt idx="34">
                  <c:v>-11.930421727190677</c:v>
                </c:pt>
                <c:pt idx="35">
                  <c:v>3.0712671980565212</c:v>
                </c:pt>
                <c:pt idx="36">
                  <c:v>13.264581882890027</c:v>
                </c:pt>
                <c:pt idx="37">
                  <c:v>0.81180226410118195</c:v>
                </c:pt>
                <c:pt idx="38">
                  <c:v>-2.8700416341934627</c:v>
                </c:pt>
                <c:pt idx="39">
                  <c:v>4.4022313213564352</c:v>
                </c:pt>
                <c:pt idx="40">
                  <c:v>8.392801150256286</c:v>
                </c:pt>
                <c:pt idx="41">
                  <c:v>-6.2239473305710931</c:v>
                </c:pt>
                <c:pt idx="42">
                  <c:v>-6.8437222106213298</c:v>
                </c:pt>
                <c:pt idx="43">
                  <c:v>-6.8649748584518626</c:v>
                </c:pt>
                <c:pt idx="44">
                  <c:v>-0.65040752578782701</c:v>
                </c:pt>
                <c:pt idx="45">
                  <c:v>8.8414995381676995</c:v>
                </c:pt>
                <c:pt idx="46">
                  <c:v>-4.1652561628210876</c:v>
                </c:pt>
                <c:pt idx="47">
                  <c:v>6.7888606910234373</c:v>
                </c:pt>
              </c:numCache>
            </c:numRef>
          </c:yVal>
          <c:smooth val="0"/>
          <c:extLst>
            <c:ext xmlns:c16="http://schemas.microsoft.com/office/drawing/2014/chart" uri="{C3380CC4-5D6E-409C-BE32-E72D297353CC}">
              <c16:uniqueId val="{00000000-6FBE-4F1C-8950-6E1814E7D3BF}"/>
            </c:ext>
          </c:extLst>
        </c:ser>
        <c:dLbls>
          <c:showLegendKey val="0"/>
          <c:showVal val="0"/>
          <c:showCatName val="0"/>
          <c:showSerName val="0"/>
          <c:showPercent val="0"/>
          <c:showBubbleSize val="0"/>
        </c:dLbls>
        <c:axId val="743241440"/>
        <c:axId val="743239472"/>
      </c:scatterChart>
      <c:valAx>
        <c:axId val="743241440"/>
        <c:scaling>
          <c:orientation val="minMax"/>
        </c:scaling>
        <c:delete val="0"/>
        <c:axPos val="b"/>
        <c:title>
          <c:tx>
            <c:rich>
              <a:bodyPr/>
              <a:lstStyle/>
              <a:p>
                <a:pPr>
                  <a:defRPr/>
                </a:pPr>
                <a:r>
                  <a:rPr lang="en-US"/>
                  <a:t>Graduation Rate</a:t>
                </a:r>
              </a:p>
            </c:rich>
          </c:tx>
          <c:overlay val="0"/>
        </c:title>
        <c:numFmt formatCode="General" sourceLinked="1"/>
        <c:majorTickMark val="out"/>
        <c:minorTickMark val="none"/>
        <c:tickLblPos val="nextTo"/>
        <c:crossAx val="743239472"/>
        <c:crosses val="autoZero"/>
        <c:crossBetween val="midCat"/>
      </c:valAx>
      <c:valAx>
        <c:axId val="743239472"/>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74324144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Student-Faculty Ratio  Residual Plot</a:t>
            </a:r>
          </a:p>
        </c:rich>
      </c:tx>
      <c:overlay val="0"/>
    </c:title>
    <c:autoTitleDeleted val="0"/>
    <c:plotArea>
      <c:layout/>
      <c:scatterChart>
        <c:scatterStyle val="lineMarker"/>
        <c:varyColors val="0"/>
        <c:ser>
          <c:idx val="0"/>
          <c:order val="0"/>
          <c:spPr>
            <a:ln w="19050">
              <a:noFill/>
            </a:ln>
          </c:spPr>
          <c:xVal>
            <c:numRef>
              <c:f>Sheet1!$E$2:$E$49</c:f>
            </c:numRef>
          </c:xVal>
          <c:yVal>
            <c:numRef>
              <c:f>Sheet1!$N$346:$N$393</c:f>
              <c:numCache>
                <c:formatCode>General</c:formatCode>
                <c:ptCount val="48"/>
                <c:pt idx="0">
                  <c:v>-3.9337995776850683</c:v>
                </c:pt>
                <c:pt idx="1">
                  <c:v>2.3708451220427094</c:v>
                </c:pt>
                <c:pt idx="2">
                  <c:v>-1.2094503837293686</c:v>
                </c:pt>
                <c:pt idx="3">
                  <c:v>4.6066651025372849</c:v>
                </c:pt>
                <c:pt idx="4">
                  <c:v>2.8856937590759699</c:v>
                </c:pt>
                <c:pt idx="5">
                  <c:v>5.6609928749287448</c:v>
                </c:pt>
                <c:pt idx="6">
                  <c:v>-6.2026946827405638</c:v>
                </c:pt>
                <c:pt idx="7">
                  <c:v>-9.1881977358988181</c:v>
                </c:pt>
                <c:pt idx="8">
                  <c:v>1.5317880626983396</c:v>
                </c:pt>
                <c:pt idx="9">
                  <c:v>13.526721286956729</c:v>
                </c:pt>
                <c:pt idx="10">
                  <c:v>4.5462850095400782</c:v>
                </c:pt>
                <c:pt idx="11">
                  <c:v>1.3462146237177777</c:v>
                </c:pt>
                <c:pt idx="12">
                  <c:v>-8.2060725332349591</c:v>
                </c:pt>
                <c:pt idx="13">
                  <c:v>1.7676080431929009</c:v>
                </c:pt>
                <c:pt idx="14">
                  <c:v>-9.9405552786738554</c:v>
                </c:pt>
                <c:pt idx="15">
                  <c:v>11.597234931437139</c:v>
                </c:pt>
                <c:pt idx="16">
                  <c:v>1.0543779455845481</c:v>
                </c:pt>
                <c:pt idx="17">
                  <c:v>-6.10923946518243</c:v>
                </c:pt>
                <c:pt idx="18">
                  <c:v>-8.9422442039210566</c:v>
                </c:pt>
                <c:pt idx="19">
                  <c:v>3.3205985805286851</c:v>
                </c:pt>
                <c:pt idx="20">
                  <c:v>20.541218233798475</c:v>
                </c:pt>
                <c:pt idx="21">
                  <c:v>-0.45371499045992181</c:v>
                </c:pt>
                <c:pt idx="22">
                  <c:v>-7.6996685224376833</c:v>
                </c:pt>
                <c:pt idx="23">
                  <c:v>-6.4290844921349901</c:v>
                </c:pt>
                <c:pt idx="24">
                  <c:v>-3.355192997160195</c:v>
                </c:pt>
                <c:pt idx="25">
                  <c:v>-4.4385146632351464</c:v>
                </c:pt>
                <c:pt idx="26">
                  <c:v>-6.1449890598547121</c:v>
                </c:pt>
                <c:pt idx="27">
                  <c:v>-2.8990355278769471</c:v>
                </c:pt>
                <c:pt idx="28">
                  <c:v>-4.4138841649102112</c:v>
                </c:pt>
                <c:pt idx="29">
                  <c:v>-9.6794014194713149</c:v>
                </c:pt>
                <c:pt idx="30">
                  <c:v>3.1239060452007834</c:v>
                </c:pt>
                <c:pt idx="31">
                  <c:v>-3.3916459722155139</c:v>
                </c:pt>
                <c:pt idx="32">
                  <c:v>16.128972820942383</c:v>
                </c:pt>
                <c:pt idx="33">
                  <c:v>2.6039906324259263</c:v>
                </c:pt>
                <c:pt idx="34">
                  <c:v>-11.930421727190677</c:v>
                </c:pt>
                <c:pt idx="35">
                  <c:v>3.0712671980565212</c:v>
                </c:pt>
                <c:pt idx="36">
                  <c:v>13.264581882890027</c:v>
                </c:pt>
                <c:pt idx="37">
                  <c:v>0.81180226410118195</c:v>
                </c:pt>
                <c:pt idx="38">
                  <c:v>-2.8700416341934627</c:v>
                </c:pt>
                <c:pt idx="39">
                  <c:v>4.4022313213564352</c:v>
                </c:pt>
                <c:pt idx="40">
                  <c:v>8.392801150256286</c:v>
                </c:pt>
                <c:pt idx="41">
                  <c:v>-6.2239473305710931</c:v>
                </c:pt>
                <c:pt idx="42">
                  <c:v>-6.8437222106213298</c:v>
                </c:pt>
                <c:pt idx="43">
                  <c:v>-6.8649748584518626</c:v>
                </c:pt>
                <c:pt idx="44">
                  <c:v>-0.65040752578782701</c:v>
                </c:pt>
                <c:pt idx="45">
                  <c:v>8.8414995381676995</c:v>
                </c:pt>
                <c:pt idx="46">
                  <c:v>-4.1652561628210876</c:v>
                </c:pt>
                <c:pt idx="47">
                  <c:v>6.7888606910234373</c:v>
                </c:pt>
              </c:numCache>
            </c:numRef>
          </c:yVal>
          <c:smooth val="0"/>
          <c:extLst>
            <c:ext xmlns:c16="http://schemas.microsoft.com/office/drawing/2014/chart" uri="{C3380CC4-5D6E-409C-BE32-E72D297353CC}">
              <c16:uniqueId val="{00000000-4043-45D3-A793-B3F7AA092704}"/>
            </c:ext>
          </c:extLst>
        </c:ser>
        <c:dLbls>
          <c:showLegendKey val="0"/>
          <c:showVal val="0"/>
          <c:showCatName val="0"/>
          <c:showSerName val="0"/>
          <c:showPercent val="0"/>
          <c:showBubbleSize val="0"/>
        </c:dLbls>
        <c:axId val="743237504"/>
        <c:axId val="743235864"/>
      </c:scatterChart>
      <c:valAx>
        <c:axId val="743237504"/>
        <c:scaling>
          <c:orientation val="minMax"/>
        </c:scaling>
        <c:delete val="0"/>
        <c:axPos val="b"/>
        <c:title>
          <c:tx>
            <c:rich>
              <a:bodyPr/>
              <a:lstStyle/>
              <a:p>
                <a:pPr>
                  <a:defRPr/>
                </a:pPr>
                <a:r>
                  <a:rPr lang="en-US"/>
                  <a:t>Student-Faculty Ratio</a:t>
                </a:r>
              </a:p>
            </c:rich>
          </c:tx>
          <c:overlay val="0"/>
        </c:title>
        <c:numFmt formatCode="General" sourceLinked="1"/>
        <c:majorTickMark val="out"/>
        <c:minorTickMark val="none"/>
        <c:tickLblPos val="nextTo"/>
        <c:crossAx val="743235864"/>
        <c:crosses val="autoZero"/>
        <c:crossBetween val="midCat"/>
      </c:valAx>
      <c:valAx>
        <c:axId val="743235864"/>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74323750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spPr>
            <a:ln w="19050">
              <a:noFill/>
            </a:ln>
          </c:spPr>
          <c:xVal>
            <c:numRef>
              <c:f>Sheet1!$Q$346:$Q$393</c:f>
              <c:numCache>
                <c:formatCode>General</c:formatCode>
                <c:ptCount val="48"/>
                <c:pt idx="0">
                  <c:v>1.0416666666666667</c:v>
                </c:pt>
                <c:pt idx="1">
                  <c:v>3.125</c:v>
                </c:pt>
                <c:pt idx="2">
                  <c:v>5.2083333333333339</c:v>
                </c:pt>
                <c:pt idx="3">
                  <c:v>7.291666666666667</c:v>
                </c:pt>
                <c:pt idx="4">
                  <c:v>9.375</c:v>
                </c:pt>
                <c:pt idx="5">
                  <c:v>11.458333333333334</c:v>
                </c:pt>
                <c:pt idx="6">
                  <c:v>13.541666666666666</c:v>
                </c:pt>
                <c:pt idx="7">
                  <c:v>15.625</c:v>
                </c:pt>
                <c:pt idx="8">
                  <c:v>17.708333333333336</c:v>
                </c:pt>
                <c:pt idx="9">
                  <c:v>19.791666666666668</c:v>
                </c:pt>
                <c:pt idx="10">
                  <c:v>21.875000000000004</c:v>
                </c:pt>
                <c:pt idx="11">
                  <c:v>23.958333333333336</c:v>
                </c:pt>
                <c:pt idx="12">
                  <c:v>26.041666666666668</c:v>
                </c:pt>
                <c:pt idx="13">
                  <c:v>28.125000000000004</c:v>
                </c:pt>
                <c:pt idx="14">
                  <c:v>30.208333333333336</c:v>
                </c:pt>
                <c:pt idx="15">
                  <c:v>32.291666666666671</c:v>
                </c:pt>
                <c:pt idx="16">
                  <c:v>34.375</c:v>
                </c:pt>
                <c:pt idx="17">
                  <c:v>36.458333333333336</c:v>
                </c:pt>
                <c:pt idx="18">
                  <c:v>38.541666666666664</c:v>
                </c:pt>
                <c:pt idx="19">
                  <c:v>40.625</c:v>
                </c:pt>
                <c:pt idx="20">
                  <c:v>42.708333333333336</c:v>
                </c:pt>
                <c:pt idx="21">
                  <c:v>44.791666666666664</c:v>
                </c:pt>
                <c:pt idx="22">
                  <c:v>46.875</c:v>
                </c:pt>
                <c:pt idx="23">
                  <c:v>48.958333333333336</c:v>
                </c:pt>
                <c:pt idx="24">
                  <c:v>51.041666666666664</c:v>
                </c:pt>
                <c:pt idx="25">
                  <c:v>53.125</c:v>
                </c:pt>
                <c:pt idx="26">
                  <c:v>55.208333333333336</c:v>
                </c:pt>
                <c:pt idx="27">
                  <c:v>57.291666666666671</c:v>
                </c:pt>
                <c:pt idx="28">
                  <c:v>59.375</c:v>
                </c:pt>
                <c:pt idx="29">
                  <c:v>61.458333333333336</c:v>
                </c:pt>
                <c:pt idx="30">
                  <c:v>63.541666666666671</c:v>
                </c:pt>
                <c:pt idx="31">
                  <c:v>65.625000000000014</c:v>
                </c:pt>
                <c:pt idx="32">
                  <c:v>67.708333333333343</c:v>
                </c:pt>
                <c:pt idx="33">
                  <c:v>69.791666666666671</c:v>
                </c:pt>
                <c:pt idx="34">
                  <c:v>71.875000000000014</c:v>
                </c:pt>
                <c:pt idx="35">
                  <c:v>73.958333333333343</c:v>
                </c:pt>
                <c:pt idx="36">
                  <c:v>76.041666666666671</c:v>
                </c:pt>
                <c:pt idx="37">
                  <c:v>78.125000000000014</c:v>
                </c:pt>
                <c:pt idx="38">
                  <c:v>80.208333333333343</c:v>
                </c:pt>
                <c:pt idx="39">
                  <c:v>82.291666666666671</c:v>
                </c:pt>
                <c:pt idx="40">
                  <c:v>84.375000000000014</c:v>
                </c:pt>
                <c:pt idx="41">
                  <c:v>86.458333333333343</c:v>
                </c:pt>
                <c:pt idx="42">
                  <c:v>88.541666666666671</c:v>
                </c:pt>
                <c:pt idx="43">
                  <c:v>90.625000000000014</c:v>
                </c:pt>
                <c:pt idx="44">
                  <c:v>92.708333333333343</c:v>
                </c:pt>
                <c:pt idx="45">
                  <c:v>94.791666666666671</c:v>
                </c:pt>
                <c:pt idx="46">
                  <c:v>96.875000000000014</c:v>
                </c:pt>
                <c:pt idx="47">
                  <c:v>98.958333333333343</c:v>
                </c:pt>
              </c:numCache>
            </c:numRef>
          </c:xVal>
          <c:yVal>
            <c:numRef>
              <c:f>Sheet1!$R$346:$R$393</c:f>
              <c:numCache>
                <c:formatCode>General</c:formatCode>
                <c:ptCount val="48"/>
                <c:pt idx="0">
                  <c:v>7</c:v>
                </c:pt>
                <c:pt idx="1">
                  <c:v>8</c:v>
                </c:pt>
                <c:pt idx="2">
                  <c:v>9</c:v>
                </c:pt>
                <c:pt idx="3">
                  <c:v>12</c:v>
                </c:pt>
                <c:pt idx="4">
                  <c:v>12</c:v>
                </c:pt>
                <c:pt idx="5">
                  <c:v>13</c:v>
                </c:pt>
                <c:pt idx="6">
                  <c:v>13</c:v>
                </c:pt>
                <c:pt idx="7">
                  <c:v>13</c:v>
                </c:pt>
                <c:pt idx="8">
                  <c:v>13</c:v>
                </c:pt>
                <c:pt idx="9">
                  <c:v>13</c:v>
                </c:pt>
                <c:pt idx="10">
                  <c:v>17</c:v>
                </c:pt>
                <c:pt idx="11">
                  <c:v>18</c:v>
                </c:pt>
                <c:pt idx="12">
                  <c:v>19</c:v>
                </c:pt>
                <c:pt idx="13">
                  <c:v>21</c:v>
                </c:pt>
                <c:pt idx="14">
                  <c:v>22</c:v>
                </c:pt>
                <c:pt idx="15">
                  <c:v>23</c:v>
                </c:pt>
                <c:pt idx="16">
                  <c:v>23</c:v>
                </c:pt>
                <c:pt idx="17">
                  <c:v>25</c:v>
                </c:pt>
                <c:pt idx="18">
                  <c:v>26</c:v>
                </c:pt>
                <c:pt idx="19">
                  <c:v>27</c:v>
                </c:pt>
                <c:pt idx="20">
                  <c:v>27</c:v>
                </c:pt>
                <c:pt idx="21">
                  <c:v>28</c:v>
                </c:pt>
                <c:pt idx="22">
                  <c:v>28</c:v>
                </c:pt>
                <c:pt idx="23">
                  <c:v>29</c:v>
                </c:pt>
                <c:pt idx="24">
                  <c:v>29</c:v>
                </c:pt>
                <c:pt idx="25">
                  <c:v>30</c:v>
                </c:pt>
                <c:pt idx="26">
                  <c:v>31</c:v>
                </c:pt>
                <c:pt idx="27">
                  <c:v>31</c:v>
                </c:pt>
                <c:pt idx="28">
                  <c:v>31</c:v>
                </c:pt>
                <c:pt idx="29">
                  <c:v>33</c:v>
                </c:pt>
                <c:pt idx="30">
                  <c:v>33</c:v>
                </c:pt>
                <c:pt idx="31">
                  <c:v>34</c:v>
                </c:pt>
                <c:pt idx="32">
                  <c:v>35</c:v>
                </c:pt>
                <c:pt idx="33">
                  <c:v>36</c:v>
                </c:pt>
                <c:pt idx="34">
                  <c:v>37</c:v>
                </c:pt>
                <c:pt idx="35">
                  <c:v>38</c:v>
                </c:pt>
                <c:pt idx="36">
                  <c:v>40</c:v>
                </c:pt>
                <c:pt idx="37">
                  <c:v>40</c:v>
                </c:pt>
                <c:pt idx="38">
                  <c:v>40</c:v>
                </c:pt>
                <c:pt idx="39">
                  <c:v>41</c:v>
                </c:pt>
                <c:pt idx="40">
                  <c:v>44</c:v>
                </c:pt>
                <c:pt idx="41">
                  <c:v>45</c:v>
                </c:pt>
                <c:pt idx="42">
                  <c:v>46</c:v>
                </c:pt>
                <c:pt idx="43">
                  <c:v>46</c:v>
                </c:pt>
                <c:pt idx="44">
                  <c:v>49</c:v>
                </c:pt>
                <c:pt idx="45">
                  <c:v>50</c:v>
                </c:pt>
                <c:pt idx="46">
                  <c:v>53</c:v>
                </c:pt>
                <c:pt idx="47">
                  <c:v>67</c:v>
                </c:pt>
              </c:numCache>
            </c:numRef>
          </c:yVal>
          <c:smooth val="0"/>
          <c:extLst>
            <c:ext xmlns:c16="http://schemas.microsoft.com/office/drawing/2014/chart" uri="{C3380CC4-5D6E-409C-BE32-E72D297353CC}">
              <c16:uniqueId val="{00000000-1BC8-41F1-B41D-E033B468A764}"/>
            </c:ext>
          </c:extLst>
        </c:ser>
        <c:dLbls>
          <c:showLegendKey val="0"/>
          <c:showVal val="0"/>
          <c:showCatName val="0"/>
          <c:showSerName val="0"/>
          <c:showPercent val="0"/>
          <c:showBubbleSize val="0"/>
        </c:dLbls>
        <c:axId val="741298808"/>
        <c:axId val="741290936"/>
      </c:scatterChart>
      <c:valAx>
        <c:axId val="741298808"/>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741290936"/>
        <c:crosses val="autoZero"/>
        <c:crossBetween val="midCat"/>
      </c:valAx>
      <c:valAx>
        <c:axId val="741290936"/>
        <c:scaling>
          <c:orientation val="minMax"/>
        </c:scaling>
        <c:delete val="0"/>
        <c:axPos val="l"/>
        <c:title>
          <c:tx>
            <c:rich>
              <a:bodyPr/>
              <a:lstStyle/>
              <a:p>
                <a:pPr>
                  <a:defRPr/>
                </a:pPr>
                <a:r>
                  <a:rPr lang="en-US"/>
                  <a:t>Alumni Giving Rate</a:t>
                </a:r>
              </a:p>
            </c:rich>
          </c:tx>
          <c:overlay val="0"/>
        </c:title>
        <c:numFmt formatCode="General" sourceLinked="1"/>
        <c:majorTickMark val="out"/>
        <c:minorTickMark val="none"/>
        <c:tickLblPos val="nextTo"/>
        <c:crossAx val="741298808"/>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Alumni</a:t>
            </a:r>
            <a:r>
              <a:rPr lang="en-US" baseline="0"/>
              <a:t> Giving Rate (Actual &amp; Assumption)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Alumni Giving Rate - Actual</c:v>
                </c:pt>
              </c:strCache>
            </c:strRef>
          </c:tx>
          <c:spPr>
            <a:ln w="28575" cap="rnd">
              <a:solidFill>
                <a:schemeClr val="accent1"/>
              </a:solidFill>
              <a:round/>
            </a:ln>
            <a:effectLst/>
          </c:spPr>
          <c:marker>
            <c:symbol val="none"/>
          </c:marker>
          <c:val>
            <c:numRef>
              <c:f>Sheet1!$F$2:$F$49</c:f>
              <c:numCache>
                <c:formatCode>General</c:formatCode>
                <c:ptCount val="48"/>
                <c:pt idx="0">
                  <c:v>67</c:v>
                </c:pt>
                <c:pt idx="1">
                  <c:v>19</c:v>
                </c:pt>
                <c:pt idx="2">
                  <c:v>53</c:v>
                </c:pt>
                <c:pt idx="3">
                  <c:v>49</c:v>
                </c:pt>
                <c:pt idx="4">
                  <c:v>40</c:v>
                </c:pt>
                <c:pt idx="5">
                  <c:v>38</c:v>
                </c:pt>
                <c:pt idx="6">
                  <c:v>13</c:v>
                </c:pt>
                <c:pt idx="7">
                  <c:v>50</c:v>
                </c:pt>
                <c:pt idx="8">
                  <c:v>31</c:v>
                </c:pt>
                <c:pt idx="9">
                  <c:v>46</c:v>
                </c:pt>
                <c:pt idx="10">
                  <c:v>45</c:v>
                </c:pt>
                <c:pt idx="11">
                  <c:v>22</c:v>
                </c:pt>
                <c:pt idx="12">
                  <c:v>21</c:v>
                </c:pt>
                <c:pt idx="13">
                  <c:v>12</c:v>
                </c:pt>
                <c:pt idx="14">
                  <c:v>26</c:v>
                </c:pt>
                <c:pt idx="15">
                  <c:v>28</c:v>
                </c:pt>
                <c:pt idx="16">
                  <c:v>23</c:v>
                </c:pt>
                <c:pt idx="17">
                  <c:v>33</c:v>
                </c:pt>
                <c:pt idx="18">
                  <c:v>46</c:v>
                </c:pt>
                <c:pt idx="19">
                  <c:v>35</c:v>
                </c:pt>
                <c:pt idx="20">
                  <c:v>37</c:v>
                </c:pt>
                <c:pt idx="21">
                  <c:v>44</c:v>
                </c:pt>
                <c:pt idx="22">
                  <c:v>41</c:v>
                </c:pt>
                <c:pt idx="23">
                  <c:v>40</c:v>
                </c:pt>
                <c:pt idx="24">
                  <c:v>31</c:v>
                </c:pt>
                <c:pt idx="25">
                  <c:v>40</c:v>
                </c:pt>
                <c:pt idx="26">
                  <c:v>9</c:v>
                </c:pt>
                <c:pt idx="27">
                  <c:v>23</c:v>
                </c:pt>
                <c:pt idx="28">
                  <c:v>17</c:v>
                </c:pt>
                <c:pt idx="29">
                  <c:v>36</c:v>
                </c:pt>
                <c:pt idx="30">
                  <c:v>25</c:v>
                </c:pt>
                <c:pt idx="31">
                  <c:v>33</c:v>
                </c:pt>
                <c:pt idx="32">
                  <c:v>13</c:v>
                </c:pt>
                <c:pt idx="33">
                  <c:v>18</c:v>
                </c:pt>
                <c:pt idx="34">
                  <c:v>13</c:v>
                </c:pt>
                <c:pt idx="35">
                  <c:v>7</c:v>
                </c:pt>
                <c:pt idx="36">
                  <c:v>27</c:v>
                </c:pt>
                <c:pt idx="37">
                  <c:v>28</c:v>
                </c:pt>
                <c:pt idx="38">
                  <c:v>29</c:v>
                </c:pt>
                <c:pt idx="39">
                  <c:v>12</c:v>
                </c:pt>
                <c:pt idx="40">
                  <c:v>13</c:v>
                </c:pt>
                <c:pt idx="41">
                  <c:v>34</c:v>
                </c:pt>
                <c:pt idx="42">
                  <c:v>29</c:v>
                </c:pt>
                <c:pt idx="43">
                  <c:v>30</c:v>
                </c:pt>
                <c:pt idx="44">
                  <c:v>31</c:v>
                </c:pt>
                <c:pt idx="45">
                  <c:v>8</c:v>
                </c:pt>
                <c:pt idx="46">
                  <c:v>27</c:v>
                </c:pt>
                <c:pt idx="47">
                  <c:v>13</c:v>
                </c:pt>
              </c:numCache>
            </c:numRef>
          </c:val>
          <c:smooth val="0"/>
          <c:extLst>
            <c:ext xmlns:c16="http://schemas.microsoft.com/office/drawing/2014/chart" uri="{C3380CC4-5D6E-409C-BE32-E72D297353CC}">
              <c16:uniqueId val="{00000000-F79E-4C69-BE03-CDBB519B11EE}"/>
            </c:ext>
          </c:extLst>
        </c:ser>
        <c:ser>
          <c:idx val="1"/>
          <c:order val="1"/>
          <c:tx>
            <c:strRef>
              <c:f>Sheet1!$G$1</c:f>
              <c:strCache>
                <c:ptCount val="1"/>
                <c:pt idx="0">
                  <c:v>Alumni Giving Rate - Assumption</c:v>
                </c:pt>
              </c:strCache>
            </c:strRef>
          </c:tx>
          <c:spPr>
            <a:ln w="28575" cap="rnd">
              <a:solidFill>
                <a:schemeClr val="accent2"/>
              </a:solidFill>
              <a:round/>
            </a:ln>
            <a:effectLst/>
          </c:spPr>
          <c:marker>
            <c:symbol val="none"/>
          </c:marker>
          <c:val>
            <c:numRef>
              <c:f>Sheet1!$G$2:$G$49</c:f>
              <c:numCache>
                <c:formatCode>General</c:formatCode>
                <c:ptCount val="48"/>
                <c:pt idx="0">
                  <c:v>46.84</c:v>
                </c:pt>
                <c:pt idx="1">
                  <c:v>3.0600000000000023</c:v>
                </c:pt>
                <c:pt idx="2">
                  <c:v>39.83</c:v>
                </c:pt>
                <c:pt idx="3">
                  <c:v>36.08</c:v>
                </c:pt>
                <c:pt idx="4">
                  <c:v>28.700000000000003</c:v>
                </c:pt>
                <c:pt idx="5">
                  <c:v>29.46</c:v>
                </c:pt>
                <c:pt idx="6">
                  <c:v>4.8000000000000043</c:v>
                </c:pt>
                <c:pt idx="7">
                  <c:v>43.58</c:v>
                </c:pt>
                <c:pt idx="8">
                  <c:v>25.61</c:v>
                </c:pt>
                <c:pt idx="9">
                  <c:v>41.739999999999995</c:v>
                </c:pt>
                <c:pt idx="10">
                  <c:v>40.81</c:v>
                </c:pt>
                <c:pt idx="11">
                  <c:v>17.840000000000003</c:v>
                </c:pt>
                <c:pt idx="12">
                  <c:v>17.939999999999998</c:v>
                </c:pt>
                <c:pt idx="13">
                  <c:v>9.0900000000000034</c:v>
                </c:pt>
                <c:pt idx="14">
                  <c:v>23.21</c:v>
                </c:pt>
                <c:pt idx="15">
                  <c:v>25.39</c:v>
                </c:pt>
                <c:pt idx="16">
                  <c:v>20.660000000000004</c:v>
                </c:pt>
                <c:pt idx="17">
                  <c:v>30.93</c:v>
                </c:pt>
                <c:pt idx="18">
                  <c:v>44.61</c:v>
                </c:pt>
                <c:pt idx="19">
                  <c:v>33.799999999999997</c:v>
                </c:pt>
                <c:pt idx="20">
                  <c:v>35.980000000000004</c:v>
                </c:pt>
                <c:pt idx="21">
                  <c:v>43.31</c:v>
                </c:pt>
                <c:pt idx="22">
                  <c:v>40.540000000000006</c:v>
                </c:pt>
                <c:pt idx="23">
                  <c:v>40.81</c:v>
                </c:pt>
                <c:pt idx="24">
                  <c:v>31.96</c:v>
                </c:pt>
                <c:pt idx="25">
                  <c:v>41.570000000000007</c:v>
                </c:pt>
                <c:pt idx="26">
                  <c:v>12.130000000000003</c:v>
                </c:pt>
                <c:pt idx="27">
                  <c:v>26.15</c:v>
                </c:pt>
                <c:pt idx="28">
                  <c:v>20.61</c:v>
                </c:pt>
                <c:pt idx="29">
                  <c:v>39.730000000000004</c:v>
                </c:pt>
                <c:pt idx="30">
                  <c:v>29.239999999999995</c:v>
                </c:pt>
                <c:pt idx="31">
                  <c:v>37.5</c:v>
                </c:pt>
                <c:pt idx="32">
                  <c:v>17.670000000000002</c:v>
                </c:pt>
                <c:pt idx="33">
                  <c:v>22.72</c:v>
                </c:pt>
                <c:pt idx="34">
                  <c:v>19.36</c:v>
                </c:pt>
                <c:pt idx="35">
                  <c:v>13.380000000000003</c:v>
                </c:pt>
                <c:pt idx="36">
                  <c:v>33.53</c:v>
                </c:pt>
                <c:pt idx="37">
                  <c:v>34.56</c:v>
                </c:pt>
                <c:pt idx="38">
                  <c:v>35.760000000000005</c:v>
                </c:pt>
                <c:pt idx="39">
                  <c:v>19.090000000000003</c:v>
                </c:pt>
                <c:pt idx="40">
                  <c:v>20.120000000000005</c:v>
                </c:pt>
                <c:pt idx="41">
                  <c:v>42.06</c:v>
                </c:pt>
                <c:pt idx="42">
                  <c:v>37.549999999999997</c:v>
                </c:pt>
                <c:pt idx="43">
                  <c:v>39.290000000000006</c:v>
                </c:pt>
                <c:pt idx="44">
                  <c:v>40.540000000000006</c:v>
                </c:pt>
                <c:pt idx="45">
                  <c:v>17.939999999999998</c:v>
                </c:pt>
                <c:pt idx="46">
                  <c:v>37.28</c:v>
                </c:pt>
                <c:pt idx="47">
                  <c:v>25.22</c:v>
                </c:pt>
              </c:numCache>
            </c:numRef>
          </c:val>
          <c:smooth val="0"/>
          <c:extLst>
            <c:ext xmlns:c16="http://schemas.microsoft.com/office/drawing/2014/chart" uri="{C3380CC4-5D6E-409C-BE32-E72D297353CC}">
              <c16:uniqueId val="{00000001-F79E-4C69-BE03-CDBB519B11EE}"/>
            </c:ext>
          </c:extLst>
        </c:ser>
        <c:dLbls>
          <c:showLegendKey val="0"/>
          <c:showVal val="0"/>
          <c:showCatName val="0"/>
          <c:showSerName val="0"/>
          <c:showPercent val="0"/>
          <c:showBubbleSize val="0"/>
        </c:dLbls>
        <c:smooth val="0"/>
        <c:axId val="915878128"/>
        <c:axId val="915884032"/>
      </c:lineChart>
      <c:catAx>
        <c:axId val="9158781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884032"/>
        <c:crosses val="autoZero"/>
        <c:auto val="1"/>
        <c:lblAlgn val="ctr"/>
        <c:lblOffset val="100"/>
        <c:noMultiLvlLbl val="0"/>
      </c:catAx>
      <c:valAx>
        <c:axId val="91588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87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刘 琪</cp:lastModifiedBy>
  <cp:revision>30</cp:revision>
  <cp:lastPrinted>2020-02-24T09:52:00Z</cp:lastPrinted>
  <dcterms:created xsi:type="dcterms:W3CDTF">2020-02-24T06:20:00Z</dcterms:created>
  <dcterms:modified xsi:type="dcterms:W3CDTF">2020-02-24T09:52:00Z</dcterms:modified>
</cp:coreProperties>
</file>