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624" w:rsidRDefault="00676AC3" w:rsidP="000409B7">
      <w:pPr>
        <w:rPr>
          <w:color w:val="000000"/>
          <w:sz w:val="27"/>
          <w:szCs w:val="27"/>
          <w:shd w:val="clear" w:color="auto" w:fill="FFFFFF"/>
        </w:rPr>
      </w:pPr>
      <w:r w:rsidRPr="00DF1991">
        <w:rPr>
          <w:color w:val="000000"/>
          <w:sz w:val="27"/>
          <w:szCs w:val="27"/>
          <w:shd w:val="clear" w:color="auto" w:fill="FFFFFF"/>
        </w:rPr>
        <w:t>Gostaria de enfatizar que o entendimento das metas propostas garante a contribuição de um grupo importante na determinação das formas de ação. Podemos já vislumbrar o modo pelo qual a complexidade dos estudos efetuados obstaculiza a apreciação da importância das diretrizes de desenvolvimento para o futuro. Assim mesmo, a contínua expansão de nossa atividade estimula a padronização do orçamento setorial. O empenho em analisar a crescente influência da mídia é uma das consequências do remanejamento dos quadros funcionais.</w:t>
      </w:r>
      <w:r w:rsidRPr="003444A4">
        <w:rPr>
          <w:color w:val="000000"/>
          <w:sz w:val="27"/>
          <w:szCs w:val="27"/>
          <w:shd w:val="clear" w:color="auto" w:fill="FFFFFF"/>
        </w:rPr>
        <w:br/>
      </w:r>
      <w:r w:rsidRPr="00DF1991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É importante questionar o quanto a adoção de políticas descentralizadoras oferece uma interessante oportunidade para verificação do investimento em reciclagem técnica. Por outro lado, o comprometimento entre as equipes assume importantes posições no estabelecimento do retorno esperado a longo prazo. O incentivo ao avanço tecnológico, assim como o fenômeno da Internet nos obriga à análise do processo de comunicação como um todo. Acima de tudo, é fundamental ressaltar que a consolidação das estruturas faz parte de um processo de gerenciamento das condições inegavelmente apropriadas.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Ainda assim, existem dúvidas a respeito de como o desafiador cenário globalizado não pode mais se dissociar dos índices pretendidos. As experiências acumuladas demonstram que o início da atividade geral de formação de atitudes desafia a capacidade de equalização das condições financeiras e administrativas exigidas. No entanto, não podemos esquecer que o desenvolvimento contínuo de distintas formas de atuação cumpre um papel essencial na formulação do sistema de participação geral. Todas estas questões, devidamente ponderadas, levantam dúvidas sobre se a mobilidade dos capitais internacionais ainda não demonstrou convincentemente que vai participar na mudança das direções preferenciais no sentido do progresso.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         É claro que a competitividade nas transações comerciais representa uma abertura para a melhoria do sistema de formação de quadros que corresponde às necessidades. O que temos que ter sempre em mente é que a execução dos pontos do programa facilita a criação das regras de conduta normativas. Não obstante, a expansão dos mercados mundiais prepara-nos para enfrentar situações atípicas decorrentes dos modos de operação convencionais.</w:t>
      </w:r>
    </w:p>
    <w:p w:rsidR="00124624" w:rsidRDefault="00124624" w:rsidP="000409B7">
      <w:pPr>
        <w:rPr>
          <w:color w:val="000000"/>
          <w:sz w:val="27"/>
          <w:szCs w:val="27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124624" w:rsidTr="00124624">
        <w:trPr>
          <w:trHeight w:val="329"/>
        </w:trPr>
        <w:tc>
          <w:tcPr>
            <w:tcW w:w="849" w:type="dxa"/>
            <w:shd w:val="clear" w:color="auto" w:fill="44546A" w:themeFill="text2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44546A" w:themeFill="text2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44546A" w:themeFill="text2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44546A" w:themeFill="text2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44546A" w:themeFill="text2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44546A" w:themeFill="text2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44546A" w:themeFill="text2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44546A" w:themeFill="text2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44546A" w:themeFill="text2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44546A" w:themeFill="text2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</w:tr>
      <w:tr w:rsidR="00124624" w:rsidTr="00124624">
        <w:trPr>
          <w:trHeight w:val="329"/>
        </w:trPr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</w:tr>
      <w:tr w:rsidR="00124624" w:rsidTr="00124624">
        <w:trPr>
          <w:trHeight w:val="329"/>
        </w:trPr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</w:tr>
      <w:tr w:rsidR="00124624" w:rsidTr="00124624">
        <w:trPr>
          <w:trHeight w:val="329"/>
        </w:trPr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</w:tr>
      <w:tr w:rsidR="00124624" w:rsidTr="00124624">
        <w:trPr>
          <w:trHeight w:val="329"/>
        </w:trPr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</w:tr>
      <w:tr w:rsidR="00124624" w:rsidTr="00124624">
        <w:trPr>
          <w:trHeight w:val="329"/>
        </w:trPr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</w:tr>
      <w:tr w:rsidR="00124624" w:rsidTr="00124624">
        <w:trPr>
          <w:trHeight w:val="329"/>
        </w:trPr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49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850" w:type="dxa"/>
            <w:shd w:val="clear" w:color="auto" w:fill="FFC000"/>
          </w:tcPr>
          <w:p w:rsidR="00124624" w:rsidRDefault="00124624" w:rsidP="000409B7">
            <w:pPr>
              <w:rPr>
                <w:color w:val="000000"/>
                <w:sz w:val="27"/>
                <w:szCs w:val="27"/>
              </w:rPr>
            </w:pPr>
          </w:p>
        </w:tc>
      </w:tr>
    </w:tbl>
    <w:p w:rsidR="00975FF0" w:rsidRPr="0089724E" w:rsidRDefault="00676AC3" w:rsidP="0015444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 w:rsidR="0089724E">
        <w:rPr>
          <w:color w:val="000000"/>
          <w:sz w:val="27"/>
          <w:szCs w:val="27"/>
        </w:rPr>
        <w:t xml:space="preserve">                                                           </w:t>
      </w:r>
      <w:r w:rsidR="00154444">
        <w:rPr>
          <w:color w:val="000000"/>
          <w:sz w:val="27"/>
          <w:szCs w:val="27"/>
        </w:rPr>
        <w:t xml:space="preserve">       </w:t>
      </w:r>
      <w:r w:rsidR="0089724E">
        <w:rPr>
          <w:color w:val="000000"/>
          <w:sz w:val="27"/>
          <w:szCs w:val="27"/>
        </w:rPr>
        <w:t xml:space="preserve">  </w:t>
      </w:r>
      <w:r w:rsidR="0089724E" w:rsidRPr="0089724E">
        <w:rPr>
          <w:color w:val="000000"/>
          <w:sz w:val="96"/>
          <w:szCs w:val="96"/>
        </w:rPr>
        <w:t>Ω</w:t>
      </w:r>
    </w:p>
    <w:p w:rsidR="00975FF0" w:rsidRPr="00154444" w:rsidRDefault="00154444" w:rsidP="00154444">
      <w:pPr>
        <w:jc w:val="center"/>
        <w:rPr>
          <w:color w:val="000000"/>
          <w:sz w:val="27"/>
          <w:szCs w:val="27"/>
          <w:u w:val="single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914400" cy="914400"/>
            <wp:effectExtent l="0" t="0" r="0" b="0"/>
            <wp:docPr id="7" name="Gráfico 7" descr="Acesso a cadeir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eelchairacces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 </w:t>
      </w:r>
      <w:r w:rsidR="00975FF0">
        <w:rPr>
          <w:noProof/>
          <w:color w:val="000000"/>
          <w:sz w:val="27"/>
          <w:szCs w:val="27"/>
        </w:rPr>
        <w:drawing>
          <wp:inline distT="0" distB="0" distL="0" distR="0">
            <wp:extent cx="920403" cy="896679"/>
            <wp:effectExtent l="0" t="0" r="0" b="0"/>
            <wp:docPr id="2" name="Gráfico 2" descr="Acesso a cadeir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eelchairacces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46" cy="92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   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914400" cy="914400"/>
            <wp:effectExtent l="0" t="0" r="0" b="0"/>
            <wp:docPr id="6" name="Gráfico 6" descr="Acesso a cadeir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eelchairacces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          </w:t>
      </w:r>
      <w:r w:rsidR="00975FF0">
        <w:rPr>
          <w:noProof/>
          <w:color w:val="000000"/>
          <w:sz w:val="27"/>
          <w:szCs w:val="27"/>
        </w:rPr>
        <w:drawing>
          <wp:inline distT="0" distB="0" distL="0" distR="0">
            <wp:extent cx="768350" cy="768350"/>
            <wp:effectExtent l="0" t="0" r="0" b="0"/>
            <wp:docPr id="3" name="Gráfico 3" descr="Cor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FF0" w:rsidRDefault="00154444" w:rsidP="000409B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89724E" w:rsidRDefault="0089724E" w:rsidP="000409B7">
      <w:pPr>
        <w:rPr>
          <w:color w:val="000000"/>
          <w:sz w:val="27"/>
          <w:szCs w:val="27"/>
        </w:rPr>
      </w:pPr>
    </w:p>
    <w:p w:rsidR="0089724E" w:rsidRDefault="0089724E" w:rsidP="000409B7">
      <w:pPr>
        <w:rPr>
          <w:color w:val="000000"/>
          <w:sz w:val="27"/>
          <w:szCs w:val="27"/>
        </w:rPr>
      </w:pPr>
    </w:p>
    <w:p w:rsidR="007E2A6C" w:rsidRDefault="007E2A6C" w:rsidP="000409B7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183515</wp:posOffset>
                </wp:positionV>
                <wp:extent cx="3752850" cy="1314450"/>
                <wp:effectExtent l="228600" t="266700" r="0" b="4762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3144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4925"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A6C" w:rsidRPr="00975FF0" w:rsidRDefault="00975FF0" w:rsidP="00975FF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975FF0">
                              <w:rPr>
                                <w:color w:val="4472C4" w:themeColor="accent1"/>
                              </w:rPr>
                              <w:t>Borracha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style="position:absolute;margin-left:53.45pt;margin-top:14.45pt;width:295.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" fillcolor="#f4b083 [1941]" stroked="f" strokeweight="2.75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E2A6C" w:rsidRPr="00975FF0" w:rsidRDefault="00975FF0" w:rsidP="00975FF0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975FF0">
                        <w:rPr>
                          <w:color w:val="4472C4" w:themeColor="accent1"/>
                        </w:rPr>
                        <w:t>Borracha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E2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24E" w:rsidRDefault="0089724E" w:rsidP="0089724E">
      <w:pPr>
        <w:spacing w:after="0" w:line="240" w:lineRule="auto"/>
      </w:pPr>
      <w:r>
        <w:separator/>
      </w:r>
    </w:p>
  </w:endnote>
  <w:endnote w:type="continuationSeparator" w:id="0">
    <w:p w:rsidR="0089724E" w:rsidRDefault="0089724E" w:rsidP="0089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24E" w:rsidRDefault="0089724E" w:rsidP="0089724E">
      <w:pPr>
        <w:spacing w:after="0" w:line="240" w:lineRule="auto"/>
      </w:pPr>
      <w:r>
        <w:separator/>
      </w:r>
    </w:p>
  </w:footnote>
  <w:footnote w:type="continuationSeparator" w:id="0">
    <w:p w:rsidR="0089724E" w:rsidRDefault="0089724E" w:rsidP="00897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C3"/>
    <w:rsid w:val="000409B7"/>
    <w:rsid w:val="00124624"/>
    <w:rsid w:val="00154444"/>
    <w:rsid w:val="003444A4"/>
    <w:rsid w:val="00676AC3"/>
    <w:rsid w:val="007E2A6C"/>
    <w:rsid w:val="0089724E"/>
    <w:rsid w:val="00975FF0"/>
    <w:rsid w:val="009A6D52"/>
    <w:rsid w:val="00D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9366D"/>
  <w15:chartTrackingRefBased/>
  <w15:docId w15:val="{17277FBD-03FE-49A6-A104-DF5EA716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4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97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724E"/>
  </w:style>
  <w:style w:type="paragraph" w:styleId="Rodap">
    <w:name w:val="footer"/>
    <w:basedOn w:val="Normal"/>
    <w:link w:val="RodapChar"/>
    <w:uiPriority w:val="99"/>
    <w:unhideWhenUsed/>
    <w:rsid w:val="00897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CAD93-8DAA-40CD-805A-EE483C08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3</cp:revision>
  <dcterms:created xsi:type="dcterms:W3CDTF">2023-04-13T10:42:00Z</dcterms:created>
  <dcterms:modified xsi:type="dcterms:W3CDTF">2023-04-13T11:48:00Z</dcterms:modified>
</cp:coreProperties>
</file>