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F3" w:rsidRPr="002117F3" w:rsidRDefault="002117F3" w:rsidP="002117F3">
      <w:pPr>
        <w:spacing w:before="0" w:after="120"/>
        <w:jc w:val="center"/>
        <w:rPr>
          <w:rFonts w:ascii="Times New Roman" w:hAnsi="Times New Roman"/>
          <w:b/>
          <w:bCs/>
          <w:kern w:val="36"/>
          <w:sz w:val="48"/>
          <w:szCs w:val="48"/>
        </w:rPr>
      </w:pPr>
      <w:r w:rsidRPr="002117F3">
        <w:rPr>
          <w:rFonts w:ascii="Times New Roman" w:hAnsi="Times New Roman"/>
          <w:b/>
          <w:bCs/>
          <w:kern w:val="36"/>
          <w:sz w:val="48"/>
          <w:szCs w:val="48"/>
        </w:rPr>
        <w:t>Bruno Latour — Isto é um ensaio geral?</w:t>
      </w:r>
      <w:r>
        <w:rPr>
          <w:rStyle w:val="Refdenotaderodap"/>
          <w:rFonts w:ascii="Times New Roman" w:hAnsi="Times New Roman"/>
          <w:b/>
          <w:bCs/>
          <w:kern w:val="36"/>
          <w:sz w:val="48"/>
          <w:szCs w:val="48"/>
        </w:rPr>
        <w:footnoteReference w:id="2"/>
      </w:r>
    </w:p>
    <w:p w:rsidR="002117F3" w:rsidRPr="002117F3" w:rsidRDefault="002117F3" w:rsidP="002117F3">
      <w:pPr>
        <w:spacing w:before="0" w:after="120"/>
        <w:jc w:val="center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 xml:space="preserve">Trad. </w:t>
      </w:r>
      <w:hyperlink r:id="rId7" w:history="1">
        <w:r w:rsidRPr="002117F3">
          <w:rPr>
            <w:rFonts w:ascii="Times New Roman" w:hAnsi="Times New Roman"/>
            <w:sz w:val="24"/>
            <w:szCs w:val="24"/>
          </w:rPr>
          <w:t>João Pedro G</w:t>
        </w:r>
      </w:hyperlink>
      <w:r w:rsidRPr="002117F3">
        <w:rPr>
          <w:rFonts w:ascii="Times New Roman" w:hAnsi="Times New Roman"/>
          <w:sz w:val="24"/>
          <w:szCs w:val="24"/>
        </w:rPr>
        <w:t xml:space="preserve">arcez </w:t>
      </w:r>
      <w:r>
        <w:rPr>
          <w:rFonts w:ascii="Times New Roman" w:hAnsi="Times New Roman"/>
          <w:sz w:val="24"/>
          <w:szCs w:val="24"/>
        </w:rPr>
        <w:t>–2020m</w:t>
      </w:r>
      <w:hyperlink r:id="rId8" w:history="1">
        <w:r w:rsidRPr="002117F3">
          <w:rPr>
            <w:rFonts w:ascii="Times New Roman" w:hAnsi="Times New Roman"/>
            <w:sz w:val="24"/>
            <w:szCs w:val="24"/>
          </w:rPr>
          <w:t>ar26</w:t>
        </w:r>
      </w:hyperlink>
    </w:p>
    <w:p w:rsidR="002117F3" w:rsidRPr="002117F3" w:rsidRDefault="00F2381E" w:rsidP="002117F3">
      <w:pPr>
        <w:spacing w:before="0" w:after="120"/>
        <w:jc w:val="center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fldChar w:fldCharType="begin"/>
      </w:r>
      <w:r w:rsidR="002117F3" w:rsidRPr="002117F3">
        <w:rPr>
          <w:rFonts w:ascii="Times New Roman" w:hAnsi="Times New Roman"/>
          <w:sz w:val="24"/>
          <w:szCs w:val="24"/>
        </w:rPr>
        <w:instrText xml:space="preserve"> INCLUDEPICTURE "https://miro.medium.com/max/2560/1*udLqUgr-V88fA_Xzj6LiiQ.jpeg" \* MERGEFORMATINET </w:instrText>
      </w:r>
      <w:r w:rsidRPr="002117F3">
        <w:rPr>
          <w:rFonts w:ascii="Times New Roman" w:hAnsi="Times New Roman"/>
          <w:sz w:val="24"/>
          <w:szCs w:val="24"/>
        </w:rPr>
        <w:fldChar w:fldCharType="separate"/>
      </w:r>
      <w:r w:rsidR="002117F3" w:rsidRPr="002117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20000" cy="3088800"/>
            <wp:effectExtent l="0" t="0" r="0" b="0"/>
            <wp:docPr id="1" name="Imagem 1" descr="Uma imagem contendo foto, grande, relógio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7F3">
        <w:rPr>
          <w:rFonts w:ascii="Times New Roman" w:hAnsi="Times New Roman"/>
          <w:sz w:val="24"/>
          <w:szCs w:val="24"/>
        </w:rPr>
        <w:fldChar w:fldCharType="end"/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>A coincidência imprevista entre um confinamento geral e o período da Quaresma ainda é bastante bem-vinda para aqueles que foram solicitados, por solidariedade, a não fazer nada e permanecer à distância da frente de batalha. Esse jejum obrigatório, esse Ramadã secular e republicano, pode ser uma boa oportunidade para refletir sobre o que é importante e o que é irrisório... É como se a intervenção do vírus pudesse servir como um ensaio geral para a próxima crise, aquela em que a reorientação das condições de vida será posta como um desafio para todos nós, assim como todos os detalhes da existência cotidiana, que teremos que aprender a resolver cuidadosamente. Estou avançando a hipótese, como muitas outras, de que a crise da saúde prepara, induz, nos incita a nos preparar para as mudanças climáticas. Essa hipótese ainda precisa ser testada.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>O que permite que as duas crises ocorram sucessivamente é a súbita e dolorosa percepção de que a definição clássica de sociedade — humanos entre si — não faz sentido. O estado da sociedade depende a cada momento das associações entre muitos atores, a maioria dos quais não possui formas humanas. Isso vale para os micróbios — como conhecemos desde Pasteur -, mas também para a internet, a lei, a organização de hospitais, a logística do estado e o clima. E, é claro, apesar do barulho em torno de um “estado de guerra” contra o vírus, isso é apenas um elo de uma cadeia em que o gerenciamento de estoques de máscaras ou testes, a regulamentação de direitos de propriedade, hábitos cívicos, gestos de solidariedade, importam exatamente na definição do grau de virulência do agente infeccioso. Uma vez que toda a rede da qual ele é apenas um elo é levada em consideração, o mesmo vírus não age da mesma maneira em Taiwan, Cingapura, Nova York ou Paris. A pandemia não é mais um fenômeno “natural” do que são as fomes do passado ou a atual crise climática. A sociedade há muito que ultrapassou os limites estreitos da esfera social.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 xml:space="preserve">Dito isto, não está claro para mim que o paralelo vá muito além. Afinal, as crises de saúde não são novas e a intervenção rápida e radical do Estado não parece ser muito inovadora até agora. </w:t>
      </w:r>
      <w:r w:rsidRPr="002117F3">
        <w:rPr>
          <w:rFonts w:ascii="Times New Roman" w:hAnsi="Times New Roman"/>
          <w:sz w:val="24"/>
          <w:szCs w:val="24"/>
        </w:rPr>
        <w:lastRenderedPageBreak/>
        <w:t>Basta olhar para o entusiasmo do presidente Macron em assumir a figura de chefe de Estado que ele tão pateticamente carecia até então. Muito melhor do que ataques terroristas — que são, afinal, apenas negócios policiais — as pandemias despertam nos líderes e no poder uma espécie de senso evidente de “proteção” — “temos que protegê-lo”, “você tem que nos proteger” — que recarrega a autoridade do estado e permite que ele exija o que de outra forma seria enfrentado com tumultos.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 xml:space="preserve">Mas esse estado não é o estado do século XXI e das mudanças ecológicas; é o estado do século XIX e do chamado biopoder. Nas palavras do falecido Alain Desrosières, é o estado do que é corretamente chamado de </w:t>
      </w:r>
      <w:r w:rsidRPr="002117F3">
        <w:rPr>
          <w:rFonts w:ascii="Times New Roman" w:hAnsi="Times New Roman"/>
          <w:i/>
          <w:iCs/>
          <w:sz w:val="24"/>
          <w:szCs w:val="24"/>
        </w:rPr>
        <w:t>estatísticas</w:t>
      </w:r>
      <w:r w:rsidRPr="002117F3">
        <w:rPr>
          <w:rFonts w:ascii="Times New Roman" w:hAnsi="Times New Roman"/>
          <w:sz w:val="24"/>
          <w:szCs w:val="24"/>
        </w:rPr>
        <w:t xml:space="preserve">: gestão da população em uma grade territorial vista de cima e liderada pelo poder de especialistas. </w:t>
      </w:r>
      <w:r w:rsidRPr="002117F3">
        <w:rPr>
          <w:rFonts w:ascii="Times New Roman" w:hAnsi="Times New Roman"/>
          <w:b/>
          <w:bCs/>
          <w:sz w:val="24"/>
          <w:szCs w:val="24"/>
        </w:rPr>
        <w:t>[1]</w:t>
      </w:r>
      <w:r w:rsidRPr="002117F3">
        <w:rPr>
          <w:rFonts w:ascii="Times New Roman" w:hAnsi="Times New Roman"/>
          <w:sz w:val="24"/>
          <w:szCs w:val="24"/>
        </w:rPr>
        <w:t xml:space="preserve"> É exatamente isso que vemos ressuscitar hoje — com a única diferença de que é replicada de uma nação para outra, a ponto de se tornar mundial. A originalidade da situação atual, me parece, é que, ao ficar preso em casa enquanto lá fora há apenas a extensão dos poderes policiais e o barulho das ambulâncias, nós estamos encenando coletivamente uma forma caricaturizada da figura da </w:t>
      </w:r>
      <w:r w:rsidRPr="002117F3">
        <w:rPr>
          <w:rFonts w:ascii="Times New Roman" w:hAnsi="Times New Roman"/>
          <w:i/>
          <w:iCs/>
          <w:sz w:val="24"/>
          <w:szCs w:val="24"/>
        </w:rPr>
        <w:t>biopolítica</w:t>
      </w:r>
      <w:r w:rsidRPr="002117F3">
        <w:rPr>
          <w:rFonts w:ascii="Times New Roman" w:hAnsi="Times New Roman"/>
          <w:sz w:val="24"/>
          <w:szCs w:val="24"/>
        </w:rPr>
        <w:t xml:space="preserve"> que parece ter vindo direto de uma palestra de Michel Foucault. Incluindo a obliteração dos muitos trabalhadores invisíveis obrigados a trabalhar de qualquer maneira, para que outros possam continuar a se esconder em suas casas — sem mencionar os migrantes que, por definição, não podem ser isolados em nenhuma casa própria. Mas essa caricatura é precisamente a caricatura de um tempo que não é mais nosso.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>Existe um enorme abismo entre o estado que é capaz de dizer “eu protejo você da vida e da morte”, ou seja, da infecção por um vírus cujo rastreio é conhecido apenas pelos cientistas e cujos efeitos só podem ser entendidos através da coleta de estatísticas, e o estado que ousaria dizer: “Eu os protejo da vida e da morte, porque mantenho as condições de habitabilidade de todas as pessoas vivas das quais você depende”.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>Pense nisso. Imagine que o Presidente Macron tenha anunciado, em tom Churchilliano, um pacote de medidas para deixar as reservas de gás e petróleo no solo, impedir a comercialização de pesticidas, abolir aração profunda e, com suprema audácia, proibir aquecedores externos em terraços de bares. Se o imposto sobre o gás desencadeou a revolta dos coletes amarelos, imagine os tumultos que se seguiriam a esse anúncio, incendiando o país. E, no entanto, a demanda para proteger o povo francês para o seu próprio bem e também da morte é infinitamente mais justificada no caso da crise ecológica do que no caso da crise da saúde, porque afeta literalmente todo mundo, não alguns milhares de pessoas — e não por um tempo, mas para sempre.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>É claro que esse estado não existe — e talvez felizmente. O que é mais preocupante é que não vemos como esse estado prepararia a mudança de uma crise para a seguinte. Na crise da saúde, o governo tem um papel educacional muito clássico e sua autoridade coincide perfeitamente com as antigas fronteiras nacionais — o arcaísmo do repentino retorno às fronteiras européias é uma prova dolorosa disso. No caso da mudança ecológica, a relação é invertida: é a administração que deve aprender com um povo multiforme, em múltiplas escalas, quais serão os territórios nos quais as pessoas estão tentando sobreviver de muitas maneiras novas, à medida que buscam escapar da produção globalizada. O estado atual seria completamente incapaz de ditar medidas de cima. Se na crise da saúde, são as valentes pessoas que precisam reaprender a lavar as mãos e tossir nos cotovelos, como fizeram na escola primária, no caso da mutação ecológica, é o estado que se encontra em uma situação de aprendizado.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 xml:space="preserve">Mas há outra razão pela qual a figura da “guerra contra o vírus” é tão injustificada: na crise da saúde, pode ser verdade que os seres humanos como um todo estão “lutando” contra vírus — mesmo que eles não tenham interesse em nós e sigam seu caminho de garganta em garganta nos matando sem nem mesmo querer. A situação é tragicamente revertida na mudança ecológica: desta vez, o patógeno cuja terrível virulência mudou as condições de vida de todos os habitantes do planeta não é o vírus, é a humanidade! Mas isso não se aplica a todos os seres humanos, </w:t>
      </w:r>
      <w:r w:rsidRPr="002117F3">
        <w:rPr>
          <w:rFonts w:ascii="Times New Roman" w:hAnsi="Times New Roman"/>
          <w:sz w:val="24"/>
          <w:szCs w:val="24"/>
        </w:rPr>
        <w:lastRenderedPageBreak/>
        <w:t>apenas àqueles que fazem guerra contra nós sem declarar a guerra contra nós. Para esta guerra, o estado nacional está tão mal preparado, tão mal calibrado, tão mal projetado quanto possível, porque as frentes de batalha são múltiplas e atravessam cada um de nós. É nesse sentido que a “mobilização geral” contra o vírus não prova de forma alguma que estaremos prontos para a próxima. Não são apenas os militares que estão sempre uma guerra atrás.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>Mas, enfim, nunca se sabe; um tempo de Quaresma, seja secular ou republicano, pode levar a conversões espetaculares. Pela primeira vez em anos, um bilhão de pessoas, presas em casa, encontram esse luxo esquecido: tempo para refletir e, assim, discernir o que normalmente e desnecessariamente os agita em todas as direções. Vamos respeitar esse longo, doloroso e inesperado jejum.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2117F3">
        <w:rPr>
          <w:rFonts w:ascii="Times New Roman" w:hAnsi="Times New Roman"/>
          <w:sz w:val="24"/>
          <w:szCs w:val="24"/>
        </w:rPr>
        <w:t>26 de março de 2020</w:t>
      </w:r>
    </w:p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24"/>
          <w:szCs w:val="24"/>
          <w:lang w:val="en-US"/>
        </w:rPr>
      </w:pPr>
      <w:r w:rsidRPr="002117F3">
        <w:rPr>
          <w:rFonts w:ascii="Times New Roman" w:hAnsi="Times New Roman"/>
          <w:sz w:val="24"/>
          <w:szCs w:val="24"/>
          <w:lang w:val="en-US"/>
        </w:rPr>
        <w:t xml:space="preserve">[1] Alain Desrosières, </w:t>
      </w:r>
      <w:r w:rsidRPr="002117F3">
        <w:rPr>
          <w:rFonts w:ascii="Times New Roman" w:hAnsi="Times New Roman"/>
          <w:i/>
          <w:iCs/>
          <w:sz w:val="24"/>
          <w:szCs w:val="24"/>
          <w:lang w:val="en-US"/>
        </w:rPr>
        <w:t>The Politics of Large Numbers: A History of Statistical Reasoning</w:t>
      </w:r>
      <w:r w:rsidRPr="002117F3">
        <w:rPr>
          <w:rFonts w:ascii="Times New Roman" w:hAnsi="Times New Roman"/>
          <w:sz w:val="24"/>
          <w:szCs w:val="24"/>
          <w:lang w:val="en-US"/>
        </w:rPr>
        <w:t>, trans. Camille Naish (Cambridge, Mass., 2002).</w:t>
      </w:r>
    </w:p>
    <w:p w:rsidR="00746686" w:rsidRDefault="0021312E" w:rsidP="002117F3">
      <w:pPr>
        <w:spacing w:before="0" w:after="120"/>
      </w:pPr>
    </w:p>
    <w:sectPr w:rsidR="00746686" w:rsidSect="00227C2E">
      <w:pgSz w:w="11900" w:h="16840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12E" w:rsidRDefault="0021312E" w:rsidP="002117F3">
      <w:pPr>
        <w:spacing w:before="0"/>
      </w:pPr>
      <w:r>
        <w:separator/>
      </w:r>
    </w:p>
  </w:endnote>
  <w:endnote w:type="continuationSeparator" w:id="1">
    <w:p w:rsidR="0021312E" w:rsidRDefault="0021312E" w:rsidP="002117F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12E" w:rsidRDefault="0021312E" w:rsidP="002117F3">
      <w:pPr>
        <w:spacing w:before="0"/>
      </w:pPr>
      <w:r>
        <w:separator/>
      </w:r>
    </w:p>
  </w:footnote>
  <w:footnote w:type="continuationSeparator" w:id="1">
    <w:p w:rsidR="0021312E" w:rsidRDefault="0021312E" w:rsidP="002117F3">
      <w:pPr>
        <w:spacing w:before="0"/>
      </w:pPr>
      <w:r>
        <w:continuationSeparator/>
      </w:r>
    </w:p>
  </w:footnote>
  <w:footnote w:id="2">
    <w:p w:rsidR="002117F3" w:rsidRPr="002117F3" w:rsidRDefault="002117F3" w:rsidP="002117F3">
      <w:pPr>
        <w:spacing w:before="0" w:after="120"/>
        <w:jc w:val="left"/>
        <w:rPr>
          <w:rFonts w:ascii="Times New Roman" w:hAnsi="Times New Roman"/>
          <w:sz w:val="18"/>
          <w:szCs w:val="18"/>
        </w:rPr>
      </w:pPr>
      <w:r>
        <w:rPr>
          <w:rStyle w:val="Refdenotaderodap"/>
        </w:rPr>
        <w:footnoteRef/>
      </w:r>
      <w:r w:rsidRPr="002117F3">
        <w:rPr>
          <w:rFonts w:ascii="Times New Roman" w:hAnsi="Times New Roman"/>
          <w:sz w:val="18"/>
          <w:szCs w:val="18"/>
        </w:rPr>
        <w:t xml:space="preserve">Disponível em </w:t>
      </w:r>
      <w:hyperlink r:id="rId1" w:history="1">
        <w:r w:rsidRPr="002117F3">
          <w:rPr>
            <w:rStyle w:val="Hyperlink"/>
            <w:rFonts w:ascii="Times New Roman" w:hAnsi="Times New Roman"/>
            <w:sz w:val="18"/>
            <w:szCs w:val="18"/>
          </w:rPr>
          <w:t>https://medium.com/@garcez.joaop/bruno-latour-isto-%C3%A9-um-ensaio-geral-8b6e63a19250</w:t>
        </w:r>
      </w:hyperlink>
      <w:r w:rsidRPr="002117F3">
        <w:rPr>
          <w:rFonts w:ascii="Times New Roman" w:hAnsi="Times New Roman"/>
          <w:sz w:val="18"/>
          <w:szCs w:val="18"/>
        </w:rPr>
        <w:t xml:space="preserve">  Acesso em 29mar2020. Original em: </w:t>
      </w:r>
      <w:hyperlink r:id="rId2" w:tgtFrame="_blank" w:history="1">
        <w:r w:rsidRPr="002117F3">
          <w:rPr>
            <w:rFonts w:ascii="Times New Roman" w:hAnsi="Times New Roman"/>
            <w:color w:val="0000FF"/>
            <w:sz w:val="18"/>
            <w:szCs w:val="18"/>
            <w:u w:val="single"/>
          </w:rPr>
          <w:t>https://www.lemonde.fr/idees/article/2020/03/25/la-crise-sanitaire-incite-a-se-preparer-a-la-mutation-climatique_6034312_3232.html</w:t>
        </w:r>
      </w:hyperlink>
      <w:r>
        <w:rPr>
          <w:rFonts w:ascii="Times New Roman" w:hAnsi="Times New Roman"/>
          <w:sz w:val="18"/>
          <w:szCs w:val="18"/>
        </w:rPr>
        <w:t xml:space="preserve"> - </w:t>
      </w:r>
      <w:r w:rsidRPr="002117F3">
        <w:rPr>
          <w:rFonts w:ascii="Times New Roman" w:hAnsi="Times New Roman"/>
          <w:sz w:val="18"/>
          <w:szCs w:val="18"/>
        </w:rPr>
        <w:t xml:space="preserve">Versão em inglês: </w:t>
      </w:r>
      <w:hyperlink r:id="rId3" w:tgtFrame="_blank" w:history="1">
        <w:r w:rsidRPr="002117F3">
          <w:rPr>
            <w:rFonts w:ascii="Times New Roman" w:hAnsi="Times New Roman"/>
            <w:color w:val="0000FF"/>
            <w:sz w:val="18"/>
            <w:szCs w:val="18"/>
            <w:u w:val="single"/>
          </w:rPr>
          <w:t>https://critinq.wordpress.com/2020/03/26/is-this-a-dress-rehearsal/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45116"/>
    <w:multiLevelType w:val="multilevel"/>
    <w:tmpl w:val="0F1C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1B3772E"/>
    <w:multiLevelType w:val="hybridMultilevel"/>
    <w:tmpl w:val="F70898FE"/>
    <w:lvl w:ilvl="0" w:tplc="E4BA407A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17F3"/>
    <w:rsid w:val="000637DC"/>
    <w:rsid w:val="000A57F8"/>
    <w:rsid w:val="002117F3"/>
    <w:rsid w:val="0021312E"/>
    <w:rsid w:val="00227C2E"/>
    <w:rsid w:val="002971E6"/>
    <w:rsid w:val="00327BD5"/>
    <w:rsid w:val="003D6959"/>
    <w:rsid w:val="00711803"/>
    <w:rsid w:val="007E6A7C"/>
    <w:rsid w:val="008E7CE7"/>
    <w:rsid w:val="00EB31EB"/>
    <w:rsid w:val="00F23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D5"/>
    <w:pPr>
      <w:spacing w:before="80"/>
      <w:jc w:val="both"/>
    </w:pPr>
    <w:rPr>
      <w:rFonts w:ascii="Calibri" w:hAnsi="Calibri" w:cs="Times New Roman"/>
      <w:sz w:val="22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2117F3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31EB"/>
    <w:pPr>
      <w:spacing w:before="60"/>
    </w:pPr>
    <w:rPr>
      <w:sz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31EB"/>
    <w:rPr>
      <w:sz w:val="18"/>
      <w:szCs w:val="20"/>
    </w:rPr>
  </w:style>
  <w:style w:type="paragraph" w:styleId="Textodecomentrio">
    <w:name w:val="annotation text"/>
    <w:basedOn w:val="Normal"/>
    <w:link w:val="TextodecomentrioChar"/>
    <w:autoRedefine/>
    <w:uiPriority w:val="99"/>
    <w:rsid w:val="00711803"/>
    <w:pPr>
      <w:spacing w:before="0" w:after="160" w:line="360" w:lineRule="auto"/>
    </w:pPr>
    <w:rPr>
      <w:rFonts w:asciiTheme="majorHAnsi" w:hAnsiTheme="majorHAnsi" w:cstheme="minorBidi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11803"/>
    <w:rPr>
      <w:rFonts w:asciiTheme="majorHAnsi" w:hAnsiTheme="majorHAnsi"/>
      <w:sz w:val="2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327BD5"/>
    <w:rPr>
      <w:sz w:val="22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117F3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2117F3"/>
    <w:rPr>
      <w:color w:val="0000FF"/>
      <w:u w:val="single"/>
    </w:rPr>
  </w:style>
  <w:style w:type="character" w:customStyle="1" w:styleId="cd">
    <w:name w:val="cd"/>
    <w:basedOn w:val="Fontepargpadro"/>
    <w:rsid w:val="002117F3"/>
  </w:style>
  <w:style w:type="paragraph" w:customStyle="1" w:styleId="go">
    <w:name w:val="go"/>
    <w:basedOn w:val="Normal"/>
    <w:rsid w:val="002117F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2117F3"/>
    <w:rPr>
      <w:i/>
      <w:iCs/>
    </w:rPr>
  </w:style>
  <w:style w:type="character" w:styleId="Forte">
    <w:name w:val="Strong"/>
    <w:basedOn w:val="Fontepargpadro"/>
    <w:uiPriority w:val="22"/>
    <w:qFormat/>
    <w:rsid w:val="002117F3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2117F3"/>
    <w:rPr>
      <w:vertAlign w:val="superscript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117F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57F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7F8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0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9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3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61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0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40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4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1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7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arcez.joaop/bruno-latour-isto-&#233;-um-ensaio-geral-8b6e63a19250?source=post_page-----8b6e63a19250---------------------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garcez.joaop?source=post_page-----8b6e63a19250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ritinq.wordpress.com/2020/03/26/is-this-a-dress-rehearsal/" TargetMode="External"/><Relationship Id="rId2" Type="http://schemas.openxmlformats.org/officeDocument/2006/relationships/hyperlink" Target="https://www.lemonde.fr/idees/article/2020/03/25/la-crise-sanitaire-incite-a-se-preparer-a-la-mutation-climatique_6034312_3232.html" TargetMode="External"/><Relationship Id="rId1" Type="http://schemas.openxmlformats.org/officeDocument/2006/relationships/hyperlink" Target="https://medium.com/@garcez.joaop/bruno-latour-isto-%C3%A9-um-ensaio-geral-8b6e63a192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1233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Afonso Rheingantz</dc:creator>
  <cp:lastModifiedBy>Moema</cp:lastModifiedBy>
  <cp:revision>2</cp:revision>
  <dcterms:created xsi:type="dcterms:W3CDTF">2020-04-01T23:14:00Z</dcterms:created>
  <dcterms:modified xsi:type="dcterms:W3CDTF">2020-04-01T23:14:00Z</dcterms:modified>
</cp:coreProperties>
</file>