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A5 — VERIFICAÇÃO DE NORMALIZAÇÃO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Tema: Oficina Mecânica</w:t>
        <w:br w:type="textWrapping"/>
        <w:t xml:space="preserve"> Disciplina: Laboratório de Banco de Dados (GPE17M40083)</w:t>
        <w:br w:type="textWrapping"/>
        <w:t xml:space="preserve"> Etapa 1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Dependências funcionais por relação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estão as dependências funcionais relevantes de cada tabela do esquema. Em todas elas, todo atributo não chave depende inteiramente da chave, e não tem nenhuma dependência transitiva escondida.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Cliente: id_cliente determina nome, cpf_cnpj, telefone, email, endereco.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Veiculo: id_veiculo determina placa, modelo, marca, ano_fabricacao, id_cliente.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Mecanico: id_mecanico determina nome, especialidade, id_supervisor.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MecanicoInterno: id_mecanico determina matricula, salario, data_contratacao.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MecanicoTerceirizado: id_mecanico determina empresa_parceira, cnpj_empresa, valor_hora_padrao.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Fornecedor: id_fornecedor determina nome, cnpj, telefone, endereco.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Peca: id_peca determina nome, descricao, id_fornecedor, preco_atual, estoque_atual.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OrdemServico: id_os determina id_veiculo, data_abertura, data_previsao_entrega, data_entrega_real, status_atual.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StatusHistorico: id_status_hist determina id_os, status, data_hora_mudanca, observacao.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OS_Peca: aqui a chave é composta, id_os e id_peca, e os dois atributos não chave (quantidade, preco_unitario_praticado) dependem dos dois juntos, não de um só. Não faria sentido dizer que a quantidade depende só do id_os ou só do id_peca isoladamente, ela é sempre sobre aquele par específico.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OS_Mecanico: mesma lógica, a chave é composta, id_os e id_mecanico, e horas_trabalhadas e valor_hora_praticado dependem dos dois juntos.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Conclusão sobre a forma normal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em nenhuma tabela existe um atributo não chave que dependa de outro atributo não chave (o que seria dependência transitiva), e nas tabelas de chave composta os atributos dependem da chave inteira e não de uma parte dela, o esquema está pelo menos na Terceira Forma Normal.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Verificando também a Forma Normal de Boyce-Codd (toda dependência funcional não trivial tem como determinante uma superchave): isso vale pra todas as tabelas do modelo, já que em cada uma o único determinante não trivial é justamente a própria chave. Então dá pra dizer que o esquema também está em BCNF.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Desnormalização proposital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decisão de desnormalização que fizemos por escolha, não por erro: preco_unitario_praticado (em OS_Peca) e valor_hora_praticado (em OS_Mecanico) duplicam, no momento do registro, um valor que também existe em outro lugar (preco_atual de Peca, valor_hora_padrao de MecanicoTerceirizado).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intencional. Se a gente não guardasse esse valor separado e dependesse sempre do preço atual da peça pra calcular o total de uma OS antiga, o valor de uma ordem de serviço já fechada mudaria retroativamente toda vez que o fornecedor reajustasse o preço. Isso violaria a regra RN10. A desnormalização aqui evita recalcular o histórico e garante que o que foi cobrado uma vez continue registrado do jeito que foi cobrado.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