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9972" w14:textId="50023C02" w:rsidR="00015A4C" w:rsidRDefault="00EE5F2F" w:rsidP="003A34FC">
      <w:pPr>
        <w:rPr>
          <w:rFonts w:ascii="Times New Roman" w:hAnsi="Times New Roman"/>
        </w:rPr>
      </w:pPr>
      <w:r w:rsidRPr="003A34FC">
        <w:rPr>
          <w:rFonts w:ascii="Times New Roman" w:hAnsi="Times New Roman"/>
          <w:b/>
        </w:rPr>
        <w:t xml:space="preserve">Appendix </w:t>
      </w:r>
      <w:r w:rsidR="00F75D3B" w:rsidRPr="003A34FC">
        <w:rPr>
          <w:rFonts w:ascii="Times New Roman" w:hAnsi="Times New Roman"/>
          <w:b/>
        </w:rPr>
        <w:t>A</w:t>
      </w:r>
      <w:r w:rsidRPr="003A34FC">
        <w:rPr>
          <w:rFonts w:ascii="Times New Roman" w:hAnsi="Times New Roman"/>
          <w:b/>
        </w:rPr>
        <w:t xml:space="preserve"> </w:t>
      </w:r>
      <w:r w:rsidR="003A34FC" w:rsidRPr="003A34FC">
        <w:rPr>
          <w:rFonts w:ascii="Times New Roman" w:hAnsi="Times New Roman"/>
          <w:b/>
        </w:rPr>
        <w:t>–</w:t>
      </w:r>
      <w:r w:rsidRPr="003A34FC">
        <w:rPr>
          <w:rFonts w:ascii="Times New Roman" w:hAnsi="Times New Roman"/>
          <w:b/>
        </w:rPr>
        <w:t xml:space="preserve"> </w:t>
      </w:r>
      <w:r w:rsidR="003A34FC" w:rsidRPr="003A34FC">
        <w:rPr>
          <w:rFonts w:ascii="Times New Roman" w:hAnsi="Times New Roman"/>
        </w:rPr>
        <w:t>Preparation, C</w:t>
      </w:r>
      <w:r w:rsidR="00015A4C" w:rsidRPr="003A34FC">
        <w:rPr>
          <w:rFonts w:ascii="Times New Roman" w:hAnsi="Times New Roman"/>
        </w:rPr>
        <w:t>alibration</w:t>
      </w:r>
      <w:r w:rsidR="003A34FC">
        <w:rPr>
          <w:rFonts w:ascii="Times New Roman" w:hAnsi="Times New Roman"/>
        </w:rPr>
        <w:t xml:space="preserve">, </w:t>
      </w:r>
      <w:r w:rsidR="00015A4C" w:rsidRPr="003A34FC">
        <w:rPr>
          <w:rFonts w:ascii="Times New Roman" w:hAnsi="Times New Roman"/>
        </w:rPr>
        <w:t>and Analytical Uncertainty for Isotopic Measurements</w:t>
      </w:r>
      <w:r w:rsidR="00B9244E" w:rsidRPr="003A34FC">
        <w:rPr>
          <w:rFonts w:ascii="Times New Roman" w:hAnsi="Times New Roman"/>
        </w:rPr>
        <w:t xml:space="preserve"> of Hair Keratin</w:t>
      </w:r>
    </w:p>
    <w:p w14:paraId="76444B7A" w14:textId="47828E4C" w:rsidR="003A34FC" w:rsidRDefault="003A34FC" w:rsidP="003A34FC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 w:rsidRPr="001D3BD5">
        <w:rPr>
          <w:rFonts w:ascii="Times New Roman" w:hAnsi="Times New Roman"/>
        </w:rPr>
        <w:t xml:space="preserve"> cleaned</w:t>
      </w:r>
      <w:r>
        <w:rPr>
          <w:rFonts w:ascii="Times New Roman" w:hAnsi="Times New Roman"/>
        </w:rPr>
        <w:t xml:space="preserve"> segments </w:t>
      </w:r>
      <w:r w:rsidRPr="001D3BD5">
        <w:rPr>
          <w:rFonts w:ascii="Times New Roman" w:hAnsi="Times New Roman"/>
        </w:rPr>
        <w:t xml:space="preserve">following the Archaeological Chemistry Laboratory’s protocol </w:t>
      </w:r>
      <w:r w:rsidRPr="001D3BD5"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EN.CITE &lt;EndNote&gt;&lt;Cite&gt;&lt;Author&gt;Knudson&lt;/Author&gt;&lt;Year&gt;2015&lt;/Year&gt;&lt;RecNum&gt;910&lt;/RecNum&gt;&lt;DisplayText&gt;(Knudson, et al., 2015)&lt;/DisplayText&gt;&lt;record&gt;&lt;rec-number&gt;910&lt;/rec-number&gt;&lt;foreign-keys&gt;&lt;key app="EN" db-id="a0xstfxfwvfap9etf21xwada5v9dra0arpe2" timestamp="0"&gt;910&lt;/key&gt;&lt;/foreign-keys&gt;&lt;ref-type name="Journal Article"&gt;17&lt;/ref-type&gt;&lt;contributors&gt;&lt;authors&gt;&lt;author&gt;Knudson, Kelly J&lt;/author&gt;&lt;author&gt;Peters, Ann H&lt;/author&gt;&lt;author&gt;Cagigao, Elsa Tomasto&lt;/author&gt;&lt;/authors&gt;&lt;/contributors&gt;&lt;titles&gt;&lt;title&gt;Paleodiet in the Paracas Necropolis of Wari Kayan: carbon and nitrogen isotope analysis of keratin samples from the south coast of Peru&lt;/title&gt;&lt;secondary-title&gt;Journal of Archaeological Science&lt;/secondary-title&gt;&lt;/titles&gt;&lt;periodical&gt;&lt;full-title&gt;Journal of Archaeological Science&lt;/full-title&gt;&lt;/periodical&gt;&lt;pages&gt;231-243&lt;/pages&gt;&lt;volume&gt;55&lt;/volume&gt;&lt;dates&gt;&lt;year&gt;2015&lt;/year&gt;&lt;/dates&gt;&lt;isbn&gt;0305-4403&lt;/isbn&gt;&lt;urls&gt;&lt;/urls&gt;&lt;/record&gt;&lt;/Cite&gt;&lt;/EndNote&gt;</w:instrText>
      </w:r>
      <w:r w:rsidRPr="001D3BD5">
        <w:rPr>
          <w:rFonts w:ascii="Times New Roman" w:hAnsi="Times New Roman"/>
        </w:rPr>
        <w:fldChar w:fldCharType="separate"/>
      </w:r>
      <w:r w:rsidRPr="001D3BD5">
        <w:rPr>
          <w:rFonts w:ascii="Times New Roman" w:hAnsi="Times New Roman"/>
          <w:noProof/>
        </w:rPr>
        <w:t>(Knudson, et al., 2015)</w:t>
      </w:r>
      <w:r w:rsidRPr="001D3BD5">
        <w:rPr>
          <w:rFonts w:ascii="Times New Roman" w:hAnsi="Times New Roman"/>
        </w:rPr>
        <w:fldChar w:fldCharType="end"/>
      </w:r>
      <w:r w:rsidRPr="001D3BD5">
        <w:rPr>
          <w:rFonts w:ascii="Times New Roman" w:hAnsi="Times New Roman"/>
        </w:rPr>
        <w:t xml:space="preserve">. We combed </w:t>
      </w:r>
      <w:r>
        <w:rPr>
          <w:rFonts w:ascii="Times New Roman" w:hAnsi="Times New Roman"/>
        </w:rPr>
        <w:t>segment</w:t>
      </w:r>
      <w:r w:rsidRPr="001D3BD5">
        <w:rPr>
          <w:rFonts w:ascii="Times New Roman" w:hAnsi="Times New Roman"/>
        </w:rPr>
        <w:t xml:space="preserve">s parallel, wrapped </w:t>
      </w:r>
      <w:r>
        <w:rPr>
          <w:rFonts w:ascii="Times New Roman" w:hAnsi="Times New Roman"/>
        </w:rPr>
        <w:t>segment</w:t>
      </w:r>
      <w:r w:rsidRPr="001D3BD5">
        <w:rPr>
          <w:rFonts w:ascii="Times New Roman" w:hAnsi="Times New Roman"/>
        </w:rPr>
        <w:t>s in gauze, and suspended wrapped hair in CH</w:t>
      </w:r>
      <w:r w:rsidRPr="001D3BD5">
        <w:rPr>
          <w:rFonts w:ascii="Times New Roman" w:hAnsi="Times New Roman"/>
          <w:vertAlign w:val="subscript"/>
        </w:rPr>
        <w:t>3</w:t>
      </w:r>
      <w:r w:rsidRPr="001D3BD5">
        <w:rPr>
          <w:rFonts w:ascii="Times New Roman" w:hAnsi="Times New Roman"/>
        </w:rPr>
        <w:t>CH</w:t>
      </w:r>
      <w:r w:rsidRPr="001D3BD5">
        <w:rPr>
          <w:rFonts w:ascii="Times New Roman" w:hAnsi="Times New Roman"/>
          <w:vertAlign w:val="subscript"/>
        </w:rPr>
        <w:t>2</w:t>
      </w:r>
      <w:r w:rsidRPr="001D3BD5">
        <w:rPr>
          <w:rFonts w:ascii="Times New Roman" w:hAnsi="Times New Roman"/>
        </w:rPr>
        <w:t>OH (ethanol) for 24 hours, air-dried, and transected gauze at every two cm (section a was proximal). We chemically cleaned sections with alternating rinses of ultrapure water and</w:t>
      </w:r>
      <w:r w:rsidR="00C13FDD">
        <w:rPr>
          <w:rFonts w:ascii="Times New Roman" w:hAnsi="Times New Roman"/>
        </w:rPr>
        <w:t xml:space="preserve"> </w:t>
      </w:r>
      <w:r w:rsidRPr="001D3BD5">
        <w:rPr>
          <w:rFonts w:ascii="Times New Roman" w:hAnsi="Times New Roman"/>
        </w:rPr>
        <w:t>1:2:.0.8 (v/v) ratio of CHCl</w:t>
      </w:r>
      <w:r w:rsidRPr="001D3BD5">
        <w:rPr>
          <w:rFonts w:ascii="Times New Roman" w:hAnsi="Times New Roman"/>
          <w:vertAlign w:val="subscript"/>
        </w:rPr>
        <w:t>3</w:t>
      </w:r>
      <w:r w:rsidRPr="001D3BD5">
        <w:rPr>
          <w:rFonts w:ascii="Times New Roman" w:hAnsi="Times New Roman"/>
        </w:rPr>
        <w:t>(chloroform), CH</w:t>
      </w:r>
      <w:r w:rsidRPr="001D3BD5">
        <w:rPr>
          <w:rFonts w:ascii="Times New Roman" w:hAnsi="Times New Roman"/>
          <w:vertAlign w:val="subscript"/>
        </w:rPr>
        <w:t>3</w:t>
      </w:r>
      <w:r w:rsidRPr="001D3BD5">
        <w:rPr>
          <w:rFonts w:ascii="Times New Roman" w:hAnsi="Times New Roman"/>
        </w:rPr>
        <w:t xml:space="preserve">OH (methanol), and ultrapure water </w:t>
      </w:r>
      <w:r>
        <w:rPr>
          <w:rFonts w:ascii="Times New Roman" w:hAnsi="Times New Roman"/>
        </w:rPr>
        <w:t xml:space="preserve">before </w:t>
      </w:r>
      <w:r w:rsidRPr="001D3BD5">
        <w:rPr>
          <w:rFonts w:ascii="Times New Roman" w:hAnsi="Times New Roman"/>
        </w:rPr>
        <w:t>air dr</w:t>
      </w:r>
      <w:r>
        <w:rPr>
          <w:rFonts w:ascii="Times New Roman" w:hAnsi="Times New Roman"/>
        </w:rPr>
        <w:t xml:space="preserve">ying </w:t>
      </w:r>
      <w:r w:rsidRPr="001D3BD5">
        <w:rPr>
          <w:rFonts w:ascii="Times New Roman" w:hAnsi="Times New Roman"/>
        </w:rPr>
        <w:t xml:space="preserve">at 50° C. </w:t>
      </w:r>
      <w:r>
        <w:rPr>
          <w:rFonts w:ascii="Times New Roman" w:hAnsi="Times New Roman"/>
        </w:rPr>
        <w:t>We homogenized sections with</w:t>
      </w:r>
      <w:r w:rsidR="00C13FDD">
        <w:rPr>
          <w:rFonts w:ascii="Times New Roman" w:hAnsi="Times New Roman"/>
        </w:rPr>
        <w:t xml:space="preserve"> sterilized surgical scissors</w:t>
      </w:r>
      <w:r w:rsidRPr="001D3BD5">
        <w:rPr>
          <w:rFonts w:ascii="Times New Roman" w:hAnsi="Times New Roman"/>
        </w:rPr>
        <w:t xml:space="preserve"> and loaded into capsules. </w:t>
      </w:r>
    </w:p>
    <w:p w14:paraId="61AB837C" w14:textId="77777777" w:rsidR="003A34FC" w:rsidRPr="001D3BD5" w:rsidRDefault="003A34FC" w:rsidP="003A34FC">
      <w:pPr>
        <w:contextualSpacing/>
        <w:rPr>
          <w:rFonts w:ascii="Times New Roman" w:hAnsi="Times New Roman"/>
        </w:rPr>
      </w:pPr>
    </w:p>
    <w:p w14:paraId="2F11E781" w14:textId="6598F291" w:rsidR="00C13FDD" w:rsidRDefault="003A34FC" w:rsidP="003A34FC">
      <w:pPr>
        <w:rPr>
          <w:rFonts w:ascii="Times New Roman" w:hAnsi="Times New Roman"/>
        </w:rPr>
      </w:pPr>
      <w:r w:rsidRPr="001D3BD5">
        <w:rPr>
          <w:rFonts w:ascii="Times New Roman" w:hAnsi="Times New Roman"/>
        </w:rPr>
        <w:t xml:space="preserve">Stable isotope analysis of hair keratin occurred at the </w:t>
      </w:r>
      <w:bookmarkStart w:id="0" w:name="_Hlk74829901"/>
      <w:r w:rsidRPr="001D3BD5">
        <w:rPr>
          <w:rFonts w:ascii="Times New Roman" w:hAnsi="Times New Roman"/>
        </w:rPr>
        <w:t>Metals, Environmental, and Terrestrial Analytical Laboratory (METAL) at Arizona State University</w:t>
      </w:r>
      <w:bookmarkEnd w:id="0"/>
      <w:r w:rsidRPr="001D3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following </w:t>
      </w:r>
      <w:r w:rsidRPr="001D3BD5">
        <w:rPr>
          <w:rFonts w:ascii="Times New Roman" w:hAnsi="Times New Roman"/>
        </w:rPr>
        <w:t xml:space="preserve">standard </w:t>
      </w:r>
      <w:r>
        <w:rPr>
          <w:rFonts w:ascii="Times New Roman" w:hAnsi="Times New Roman"/>
        </w:rPr>
        <w:t xml:space="preserve">analysis and reporting </w:t>
      </w:r>
      <w:r w:rsidRPr="001D3BD5">
        <w:rPr>
          <w:rFonts w:ascii="Times New Roman" w:hAnsi="Times New Roman"/>
        </w:rPr>
        <w:t xml:space="preserve">protocols </w:t>
      </w:r>
      <w:r w:rsidRPr="001D3BD5">
        <w:rPr>
          <w:rFonts w:ascii="Times New Roman" w:hAnsi="Times New Roman"/>
        </w:rPr>
        <w:fldChar w:fldCharType="begin">
          <w:fldData xml:space="preserve">PEVuZE5vdGU+PENpdGU+PEF1dGhvcj5Db3BsZW48L0F1dGhvcj48WWVhcj4xOTk0PC9ZZWFyPjxS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</w:fldData>
        </w:fldChar>
      </w:r>
      <w:r w:rsidR="00C13FDD">
        <w:rPr>
          <w:rFonts w:ascii="Times New Roman" w:hAnsi="Times New Roman"/>
        </w:rPr>
        <w:instrText xml:space="preserve"> ADDIN EN.CITE </w:instrText>
      </w:r>
      <w:r w:rsidR="00C13FDD">
        <w:rPr>
          <w:rFonts w:ascii="Times New Roman" w:hAnsi="Times New Roman"/>
        </w:rPr>
        <w:fldChar w:fldCharType="begin">
          <w:fldData xml:space="preserve">PEVuZE5vdGU+PENpdGU+PEF1dGhvcj5Db3BsZW48L0F1dGhvcj48WWVhcj4xOTk0PC9ZZWFyPjxS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</w:fldData>
        </w:fldChar>
      </w:r>
      <w:r w:rsidR="00C13FDD">
        <w:rPr>
          <w:rFonts w:ascii="Times New Roman" w:hAnsi="Times New Roman"/>
        </w:rPr>
        <w:instrText xml:space="preserve"> ADDIN EN.CITE.DATA </w:instrText>
      </w:r>
      <w:r w:rsidR="00C13FDD">
        <w:rPr>
          <w:rFonts w:ascii="Times New Roman" w:hAnsi="Times New Roman"/>
        </w:rPr>
      </w:r>
      <w:r w:rsidR="00C13FDD">
        <w:rPr>
          <w:rFonts w:ascii="Times New Roman" w:hAnsi="Times New Roman"/>
        </w:rPr>
        <w:fldChar w:fldCharType="end"/>
      </w:r>
      <w:r w:rsidRPr="001D3BD5">
        <w:rPr>
          <w:rFonts w:ascii="Times New Roman" w:hAnsi="Times New Roman"/>
        </w:rPr>
      </w:r>
      <w:r w:rsidRPr="001D3BD5">
        <w:rPr>
          <w:rFonts w:ascii="Times New Roman" w:hAnsi="Times New Roman"/>
        </w:rPr>
        <w:fldChar w:fldCharType="separate"/>
      </w:r>
      <w:r w:rsidR="00C13FDD">
        <w:rPr>
          <w:rFonts w:ascii="Times New Roman" w:hAnsi="Times New Roman"/>
          <w:noProof/>
        </w:rPr>
        <w:t>(Coplen, 1994, Roberts, et al., 2018, Szpak, et al., 2017)</w:t>
      </w:r>
      <w:r w:rsidRPr="001D3BD5">
        <w:rPr>
          <w:rFonts w:ascii="Times New Roman" w:hAnsi="Times New Roman"/>
        </w:rPr>
        <w:fldChar w:fldCharType="end"/>
      </w:r>
      <w:r w:rsidRPr="001D3BD5">
        <w:rPr>
          <w:rFonts w:ascii="Times New Roman" w:hAnsi="Times New Roman"/>
        </w:rPr>
        <w:t xml:space="preserve">. </w:t>
      </w:r>
      <w:r w:rsidR="00015A4C" w:rsidRPr="003A34FC">
        <w:rPr>
          <w:rFonts w:ascii="Times New Roman" w:hAnsi="Times New Roman"/>
        </w:rPr>
        <w:t xml:space="preserve">Carbon and nitrogen isotopic and elemental compositions were determined using </w:t>
      </w:r>
      <w:r w:rsidR="00B9244E" w:rsidRPr="003A34FC">
        <w:rPr>
          <w:rFonts w:ascii="Times New Roman" w:hAnsi="Times New Roman"/>
        </w:rPr>
        <w:t xml:space="preserve">a Thermo Delta Plus Advantage mass spectrometer coupled to a </w:t>
      </w:r>
      <w:proofErr w:type="spellStart"/>
      <w:r w:rsidR="00B9244E" w:rsidRPr="003A34FC">
        <w:rPr>
          <w:rFonts w:ascii="Times New Roman" w:hAnsi="Times New Roman"/>
        </w:rPr>
        <w:t>Costech</w:t>
      </w:r>
      <w:proofErr w:type="spellEnd"/>
      <w:r w:rsidR="00B9244E" w:rsidRPr="003A34FC">
        <w:rPr>
          <w:rFonts w:ascii="Times New Roman" w:hAnsi="Times New Roman"/>
        </w:rPr>
        <w:t xml:space="preserve"> Elemental Analyzer </w:t>
      </w:r>
      <w:r w:rsidR="00DD3429" w:rsidRPr="003A34FC">
        <w:rPr>
          <w:rFonts w:ascii="Times New Roman" w:hAnsi="Times New Roman"/>
        </w:rPr>
        <w:t xml:space="preserve">in </w:t>
      </w:r>
      <w:r w:rsidR="00B9244E" w:rsidRPr="003A34FC">
        <w:rPr>
          <w:rFonts w:ascii="Times New Roman" w:hAnsi="Times New Roman"/>
        </w:rPr>
        <w:t>the Metals, Environmental, and Terrestrial Analytical Laboratory (METAL) at Arizona State University</w:t>
      </w:r>
      <w:r w:rsidR="00015A4C" w:rsidRPr="003A34FC">
        <w:rPr>
          <w:rFonts w:ascii="Times New Roman" w:hAnsi="Times New Roman"/>
        </w:rPr>
        <w:t xml:space="preserve">. </w:t>
      </w:r>
      <w:r w:rsidR="00A85629" w:rsidRPr="003A34FC">
        <w:rPr>
          <w:rFonts w:ascii="Times New Roman" w:hAnsi="Times New Roman"/>
        </w:rPr>
        <w:t xml:space="preserve">Stable carbon isotopic compositions are expressed as delta values relative to VPDB (Vienna </w:t>
      </w:r>
      <w:proofErr w:type="spellStart"/>
      <w:r w:rsidR="00A85629" w:rsidRPr="003A34FC">
        <w:rPr>
          <w:rFonts w:ascii="Times New Roman" w:hAnsi="Times New Roman"/>
        </w:rPr>
        <w:t>Peedee</w:t>
      </w:r>
      <w:proofErr w:type="spellEnd"/>
      <w:r w:rsidR="00A85629" w:rsidRPr="003A34FC">
        <w:rPr>
          <w:rFonts w:ascii="Times New Roman" w:hAnsi="Times New Roman"/>
        </w:rPr>
        <w:t xml:space="preserve"> belemnite) on a scale normalized such that the δ</w:t>
      </w:r>
      <w:r w:rsidR="00A85629" w:rsidRPr="003A34FC">
        <w:rPr>
          <w:rFonts w:ascii="Times New Roman" w:hAnsi="Times New Roman"/>
          <w:vertAlign w:val="superscript"/>
        </w:rPr>
        <w:t>13</w:t>
      </w:r>
      <w:r w:rsidR="00A85629" w:rsidRPr="003A34FC">
        <w:rPr>
          <w:rFonts w:ascii="Times New Roman" w:hAnsi="Times New Roman"/>
        </w:rPr>
        <w:t xml:space="preserve">C values of NBS 19 calcium carbonate and L-SVEC lithium carbonate are +1.95 ‰ and –46.6 ‰, respectively. Stable nitrogen isotopic compositions are expressed relative to atmospheric nitrogen, which is isotopically homogenous. Our in-house glycine standards </w:t>
      </w:r>
      <w:r w:rsidR="00244E67" w:rsidRPr="003A34FC">
        <w:rPr>
          <w:rFonts w:ascii="Times New Roman" w:hAnsi="Times New Roman"/>
        </w:rPr>
        <w:t xml:space="preserve">(glycine low and glycine high) </w:t>
      </w:r>
      <w:r w:rsidR="00A85629" w:rsidRPr="003A34FC">
        <w:rPr>
          <w:rFonts w:ascii="Times New Roman" w:hAnsi="Times New Roman"/>
        </w:rPr>
        <w:t>were characterized using USGS40 and USGS41 reference material</w:t>
      </w:r>
      <w:r w:rsidR="00244E67" w:rsidRPr="003A34FC">
        <w:rPr>
          <w:rFonts w:ascii="Times New Roman" w:hAnsi="Times New Roman"/>
        </w:rPr>
        <w:t xml:space="preserve"> (Table A1). Glycine low and glycine high were used as scale anchors</w:t>
      </w:r>
      <w:r w:rsidR="00F874E2" w:rsidRPr="003A34FC">
        <w:rPr>
          <w:rFonts w:ascii="Times New Roman" w:hAnsi="Times New Roman"/>
        </w:rPr>
        <w:t xml:space="preserve"> in every analytical session</w:t>
      </w:r>
      <w:r w:rsidR="00244E67" w:rsidRPr="003A34FC">
        <w:rPr>
          <w:rFonts w:ascii="Times New Roman" w:hAnsi="Times New Roman"/>
        </w:rPr>
        <w:t xml:space="preserve"> (Table A1). </w:t>
      </w:r>
      <w:r w:rsidR="00C13FDD" w:rsidRPr="001D3BD5">
        <w:rPr>
          <w:rFonts w:ascii="Times New Roman" w:hAnsi="Times New Roman"/>
        </w:rPr>
        <w:t>Stable isotope ratios are reported in per mil (</w:t>
      </w:r>
      <m:oMath>
        <m:r>
          <w:rPr>
            <w:rFonts w:ascii="Cambria Math" w:hAnsi="Cambria Math"/>
          </w:rPr>
          <m:t>‰</m:t>
        </m:r>
      </m:oMath>
      <w:r w:rsidR="00C13FDD" w:rsidRPr="001D3BD5">
        <w:rPr>
          <w:rFonts w:ascii="Times New Roman" w:hAnsi="Times New Roman"/>
        </w:rPr>
        <w:t xml:space="preserve">) notation, e.g., </w:t>
      </w:r>
      <w:r w:rsidR="00C13FDD" w:rsidRPr="001D3BD5">
        <w:rPr>
          <w:rFonts w:ascii="Times New Roman" w:hAnsi="Times New Roman"/>
          <w:i/>
          <w:iCs/>
        </w:rPr>
        <w:t>δ</w:t>
      </w:r>
      <w:r w:rsidR="00C13FDD" w:rsidRPr="001D3BD5">
        <w:rPr>
          <w:rFonts w:ascii="Times New Roman" w:hAnsi="Times New Roman"/>
          <w:vertAlign w:val="superscript"/>
        </w:rPr>
        <w:t>13</w:t>
      </w:r>
      <w:r w:rsidR="00C13FDD" w:rsidRPr="001D3BD5">
        <w:rPr>
          <w:rFonts w:ascii="Times New Roman" w:hAnsi="Times New Roman"/>
        </w:rPr>
        <w:t>C = (((</w:t>
      </w:r>
      <w:r w:rsidR="00C13FDD" w:rsidRPr="001D3BD5">
        <w:rPr>
          <w:rFonts w:ascii="Times New Roman" w:hAnsi="Times New Roman"/>
          <w:vertAlign w:val="superscript"/>
        </w:rPr>
        <w:t>13</w:t>
      </w:r>
      <w:r w:rsidR="00C13FDD" w:rsidRPr="001D3BD5">
        <w:rPr>
          <w:rFonts w:ascii="Times New Roman" w:hAnsi="Times New Roman"/>
        </w:rPr>
        <w:t>C/</w:t>
      </w:r>
      <w:r w:rsidR="00C13FDD" w:rsidRPr="001D3BD5">
        <w:rPr>
          <w:rFonts w:ascii="Times New Roman" w:hAnsi="Times New Roman"/>
          <w:vertAlign w:val="superscript"/>
        </w:rPr>
        <w:t>12</w:t>
      </w:r>
      <w:r w:rsidR="00C13FDD" w:rsidRPr="001D3BD5">
        <w:rPr>
          <w:rFonts w:ascii="Times New Roman" w:hAnsi="Times New Roman"/>
        </w:rPr>
        <w:t>C)/(</w:t>
      </w:r>
      <w:r w:rsidR="00C13FDD" w:rsidRPr="001D3BD5">
        <w:rPr>
          <w:rFonts w:ascii="Times New Roman" w:hAnsi="Times New Roman"/>
          <w:vertAlign w:val="superscript"/>
        </w:rPr>
        <w:t>13</w:t>
      </w:r>
      <w:r w:rsidR="00C13FDD" w:rsidRPr="001D3BD5">
        <w:rPr>
          <w:rFonts w:ascii="Times New Roman" w:hAnsi="Times New Roman"/>
        </w:rPr>
        <w:t>C/</w:t>
      </w:r>
      <w:r w:rsidR="00C13FDD" w:rsidRPr="001D3BD5">
        <w:rPr>
          <w:rFonts w:ascii="Times New Roman" w:hAnsi="Times New Roman"/>
          <w:vertAlign w:val="superscript"/>
        </w:rPr>
        <w:t>12</w:t>
      </w:r>
      <w:r w:rsidR="00C13FDD" w:rsidRPr="001D3BD5">
        <w:rPr>
          <w:rFonts w:ascii="Times New Roman" w:hAnsi="Times New Roman"/>
        </w:rPr>
        <w:t>C</w:t>
      </w:r>
      <w:r w:rsidR="00C13FDD" w:rsidRPr="001D3BD5">
        <w:rPr>
          <w:rFonts w:ascii="Times New Roman" w:hAnsi="Times New Roman"/>
          <w:vertAlign w:val="subscript"/>
        </w:rPr>
        <w:t>standard</w:t>
      </w:r>
      <w:r w:rsidR="00C13FDD" w:rsidRPr="001D3BD5">
        <w:rPr>
          <w:rFonts w:ascii="Times New Roman" w:hAnsi="Times New Roman"/>
        </w:rPr>
        <w:t xml:space="preserve">)) – 1) x 1000 </w:t>
      </w:r>
      <w:r w:rsidR="00C13FDD" w:rsidRPr="00E63F98">
        <w:rPr>
          <w:rFonts w:ascii="Times New Roman" w:hAnsi="Times New Roman"/>
        </w:rPr>
        <w:fldChar w:fldCharType="begin"/>
      </w:r>
      <w:r w:rsidR="00C13FDD" w:rsidRPr="00E63F98">
        <w:rPr>
          <w:rFonts w:ascii="Times New Roman" w:hAnsi="Times New Roman"/>
        </w:rPr>
        <w:instrText xml:space="preserve"> ADDIN EN.CITE &lt;EndNote&gt;&lt;Cite&gt;&lt;Author&gt;Coplen&lt;/Author&gt;&lt;Year&gt;1994&lt;/Year&gt;&lt;RecNum&gt;1268&lt;/RecNum&gt;&lt;DisplayText&gt;(Coplen, 1994)&lt;/DisplayText&gt;&lt;record&gt;&lt;rec-number&gt;1268&lt;/rec-number&gt;&lt;foreign-keys&gt;&lt;key app="EN" db-id="a0xstfxfwvfap9etf21xwada5v9dra0arpe2" timestamp="1540752405"&gt;1268&lt;/key&gt;&lt;/foreign-keys&gt;&lt;ref-type name="Journal Article"&gt;17&lt;/ref-type&gt;&lt;contributors&gt;&lt;authors&gt;&lt;author&gt;Coplen, Tyler B&lt;/author&gt;&lt;/authors&gt;&lt;/contributors&gt;&lt;titles&gt;&lt;title&gt;Reporting of stable hydrogen, carbon, and oxygen isotopic abundances (technical report)&lt;/title&gt;&lt;secondary-title&gt;Journal of Pure Applied Chemistry&lt;/secondary-title&gt;&lt;/titles&gt;&lt;periodical&gt;&lt;full-title&gt;Journal of Pure Applied Chemistry&lt;/full-title&gt;&lt;/periodical&gt;&lt;pages&gt;273-276&lt;/pages&gt;&lt;volume&gt;66&lt;/volume&gt;&lt;number&gt;2&lt;/number&gt;&lt;dates&gt;&lt;year&gt;1994&lt;/year&gt;&lt;/dates&gt;&lt;isbn&gt;1365-3075&lt;/isbn&gt;&lt;urls&gt;&lt;/urls&gt;&lt;/record&gt;&lt;/Cite&gt;&lt;/EndNote&gt;</w:instrText>
      </w:r>
      <w:r w:rsidR="00C13FDD" w:rsidRPr="00E63F98">
        <w:rPr>
          <w:rFonts w:ascii="Times New Roman" w:hAnsi="Times New Roman"/>
        </w:rPr>
        <w:fldChar w:fldCharType="separate"/>
      </w:r>
      <w:r w:rsidR="00C13FDD" w:rsidRPr="00E63F98">
        <w:rPr>
          <w:rFonts w:ascii="Times New Roman" w:hAnsi="Times New Roman"/>
          <w:noProof/>
        </w:rPr>
        <w:t>(Coplen, 1994)</w:t>
      </w:r>
      <w:r w:rsidR="00C13FDD" w:rsidRPr="00E63F98">
        <w:rPr>
          <w:rFonts w:ascii="Times New Roman" w:hAnsi="Times New Roman"/>
        </w:rPr>
        <w:fldChar w:fldCharType="end"/>
      </w:r>
      <w:r w:rsidR="00C13FDD" w:rsidRPr="00E63F98">
        <w:rPr>
          <w:rFonts w:ascii="Times New Roman" w:hAnsi="Times New Roman"/>
        </w:rPr>
        <w:t>.</w:t>
      </w:r>
    </w:p>
    <w:p w14:paraId="5E42B968" w14:textId="77777777" w:rsidR="00C13FDD" w:rsidRPr="00C13FDD" w:rsidRDefault="00C13FDD" w:rsidP="003A34FC">
      <w:pPr>
        <w:rPr>
          <w:rFonts w:ascii="Times New Roman" w:hAnsi="Times New Roman"/>
        </w:rPr>
      </w:pPr>
    </w:p>
    <w:p w14:paraId="000521C1" w14:textId="53C0E9FD" w:rsidR="00015A4C" w:rsidRPr="003A34FC" w:rsidRDefault="00015A4C" w:rsidP="00015A4C">
      <w:pPr>
        <w:rPr>
          <w:rFonts w:ascii="Times New Roman" w:hAnsi="Times New Roman"/>
          <w:b/>
        </w:rPr>
      </w:pPr>
      <w:r w:rsidRPr="003A34FC">
        <w:rPr>
          <w:rFonts w:ascii="Times New Roman" w:hAnsi="Times New Roman"/>
          <w:b/>
        </w:rPr>
        <w:t xml:space="preserve">Table </w:t>
      </w:r>
      <w:r w:rsidR="00B9244E" w:rsidRPr="003A34FC">
        <w:rPr>
          <w:rFonts w:ascii="Times New Roman" w:hAnsi="Times New Roman"/>
          <w:b/>
        </w:rPr>
        <w:t>A</w:t>
      </w:r>
      <w:r w:rsidRPr="003A34FC">
        <w:rPr>
          <w:rFonts w:ascii="Times New Roman" w:hAnsi="Times New Roman"/>
          <w:b/>
        </w:rPr>
        <w:t xml:space="preserve">1. </w:t>
      </w:r>
      <w:r w:rsidRPr="003A34FC">
        <w:rPr>
          <w:rFonts w:ascii="Times New Roman" w:hAnsi="Times New Roman"/>
        </w:rPr>
        <w:t xml:space="preserve">Standard reference materials used </w:t>
      </w:r>
      <w:r w:rsidR="00B9244E" w:rsidRPr="003A34FC">
        <w:rPr>
          <w:rFonts w:ascii="Times New Roman" w:hAnsi="Times New Roman"/>
        </w:rPr>
        <w:t>to calibrate</w:t>
      </w:r>
      <w:r w:rsidRPr="003A34FC">
        <w:rPr>
          <w:rFonts w:ascii="Times New Roman" w:hAnsi="Times New Roman"/>
        </w:rPr>
        <w:t xml:space="preserve"> </w:t>
      </w:r>
      <w:r w:rsidRPr="003A34FC">
        <w:rPr>
          <w:rFonts w:ascii="Times New Roman" w:hAnsi="Times New Roman"/>
          <w:i/>
        </w:rPr>
        <w:sym w:font="Symbol" w:char="F064"/>
      </w:r>
      <w:r w:rsidRPr="003A34FC">
        <w:rPr>
          <w:rFonts w:ascii="Times New Roman" w:hAnsi="Times New Roman"/>
          <w:vertAlign w:val="superscript"/>
        </w:rPr>
        <w:t>13</w:t>
      </w:r>
      <w:r w:rsidRPr="003A34FC">
        <w:rPr>
          <w:rFonts w:ascii="Times New Roman" w:hAnsi="Times New Roman"/>
        </w:rPr>
        <w:t xml:space="preserve">C relative to VPDB and </w:t>
      </w:r>
      <w:r w:rsidRPr="003A34FC">
        <w:rPr>
          <w:rFonts w:ascii="Times New Roman" w:hAnsi="Times New Roman"/>
          <w:i/>
        </w:rPr>
        <w:sym w:font="Symbol" w:char="F064"/>
      </w:r>
      <w:r w:rsidRPr="003A34FC">
        <w:rPr>
          <w:rFonts w:ascii="Times New Roman" w:hAnsi="Times New Roman"/>
          <w:vertAlign w:val="superscript"/>
        </w:rPr>
        <w:t>15</w:t>
      </w:r>
      <w:r w:rsidRPr="003A34FC">
        <w:rPr>
          <w:rFonts w:ascii="Times New Roman" w:hAnsi="Times New Roman"/>
        </w:rPr>
        <w:t>N relative to AIR.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2055"/>
        <w:gridCol w:w="2056"/>
      </w:tblGrid>
      <w:tr w:rsidR="00015A4C" w:rsidRPr="003A34FC" w14:paraId="0192DC38" w14:textId="77777777" w:rsidTr="00015A4C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97B8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Standard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8546F0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Material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FF2567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 xml:space="preserve">Accepted </w:t>
            </w:r>
            <w:r w:rsidRPr="003A34FC">
              <w:rPr>
                <w:rFonts w:ascii="Times New Roman" w:hAnsi="Times New Roman"/>
                <w:i/>
              </w:rPr>
              <w:sym w:font="Symbol" w:char="F064"/>
            </w:r>
            <w:r w:rsidRPr="003A34FC">
              <w:rPr>
                <w:rFonts w:ascii="Times New Roman" w:hAnsi="Times New Roman"/>
                <w:vertAlign w:val="superscript"/>
              </w:rPr>
              <w:t>13</w:t>
            </w:r>
            <w:r w:rsidRPr="003A34FC">
              <w:rPr>
                <w:rFonts w:ascii="Times New Roman" w:hAnsi="Times New Roman"/>
              </w:rPr>
              <w:t xml:space="preserve">C </w:t>
            </w:r>
          </w:p>
          <w:p w14:paraId="604AAD71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(‰, VPDB)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CBDC4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 xml:space="preserve">Accepted </w:t>
            </w:r>
            <w:r w:rsidRPr="003A34FC">
              <w:rPr>
                <w:rFonts w:ascii="Times New Roman" w:hAnsi="Times New Roman"/>
                <w:i/>
              </w:rPr>
              <w:sym w:font="Symbol" w:char="F064"/>
            </w:r>
            <w:r w:rsidRPr="003A34FC">
              <w:rPr>
                <w:rFonts w:ascii="Times New Roman" w:hAnsi="Times New Roman"/>
                <w:vertAlign w:val="superscript"/>
              </w:rPr>
              <w:t>15</w:t>
            </w:r>
            <w:r w:rsidRPr="003A34FC">
              <w:rPr>
                <w:rFonts w:ascii="Times New Roman" w:hAnsi="Times New Roman"/>
              </w:rPr>
              <w:t xml:space="preserve">N </w:t>
            </w:r>
          </w:p>
          <w:p w14:paraId="3438C964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(‰, AIR)</w:t>
            </w:r>
          </w:p>
        </w:tc>
      </w:tr>
      <w:tr w:rsidR="00015A4C" w:rsidRPr="003A34FC" w14:paraId="5F755DDA" w14:textId="77777777" w:rsidTr="00244E67">
        <w:tc>
          <w:tcPr>
            <w:tcW w:w="1809" w:type="dxa"/>
            <w:shd w:val="clear" w:color="auto" w:fill="auto"/>
          </w:tcPr>
          <w:p w14:paraId="00EB710A" w14:textId="2781FA34" w:rsidR="00015A4C" w:rsidRPr="003A34FC" w:rsidRDefault="00244E67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USGS40</w:t>
            </w:r>
          </w:p>
        </w:tc>
        <w:tc>
          <w:tcPr>
            <w:tcW w:w="2552" w:type="dxa"/>
            <w:shd w:val="clear" w:color="auto" w:fill="auto"/>
          </w:tcPr>
          <w:p w14:paraId="635C480D" w14:textId="3290757D" w:rsidR="00015A4C" w:rsidRPr="003A34FC" w:rsidRDefault="00244E67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L-glutamic acid</w:t>
            </w:r>
          </w:p>
        </w:tc>
        <w:tc>
          <w:tcPr>
            <w:tcW w:w="2055" w:type="dxa"/>
            <w:shd w:val="clear" w:color="auto" w:fill="auto"/>
          </w:tcPr>
          <w:p w14:paraId="6644F622" w14:textId="25B61EE3" w:rsidR="00015A4C" w:rsidRPr="003A34FC" w:rsidRDefault="00B9244E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–</w:t>
            </w:r>
            <w:r w:rsidR="00244E67" w:rsidRPr="003A34FC">
              <w:rPr>
                <w:rFonts w:ascii="Times New Roman" w:hAnsi="Times New Roman"/>
              </w:rPr>
              <w:t>26.39</w:t>
            </w:r>
            <w:r w:rsidRPr="003A34FC">
              <w:rPr>
                <w:rFonts w:ascii="Times New Roman" w:hAnsi="Times New Roman"/>
              </w:rPr>
              <w:t>±0.</w:t>
            </w:r>
            <w:r w:rsidR="00244E67" w:rsidRPr="003A34FC">
              <w:rPr>
                <w:rFonts w:ascii="Times New Roman" w:hAnsi="Times New Roman"/>
              </w:rPr>
              <w:t>04</w:t>
            </w:r>
          </w:p>
        </w:tc>
        <w:tc>
          <w:tcPr>
            <w:tcW w:w="2056" w:type="dxa"/>
            <w:shd w:val="clear" w:color="auto" w:fill="auto"/>
          </w:tcPr>
          <w:p w14:paraId="7EA372BB" w14:textId="093CED59" w:rsidR="00015A4C" w:rsidRPr="003A34FC" w:rsidRDefault="00244E67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–4.52</w:t>
            </w:r>
            <w:r w:rsidR="00B9244E" w:rsidRPr="003A34FC">
              <w:rPr>
                <w:rFonts w:ascii="Times New Roman" w:hAnsi="Times New Roman"/>
              </w:rPr>
              <w:t>±0.</w:t>
            </w:r>
            <w:r w:rsidRPr="003A34FC">
              <w:rPr>
                <w:rFonts w:ascii="Times New Roman" w:hAnsi="Times New Roman"/>
              </w:rPr>
              <w:t>06</w:t>
            </w:r>
          </w:p>
        </w:tc>
      </w:tr>
      <w:tr w:rsidR="00244E67" w:rsidRPr="003A34FC" w14:paraId="3D9F39D2" w14:textId="77777777" w:rsidTr="00244E67">
        <w:tc>
          <w:tcPr>
            <w:tcW w:w="1809" w:type="dxa"/>
            <w:shd w:val="clear" w:color="auto" w:fill="auto"/>
          </w:tcPr>
          <w:p w14:paraId="3DA26F72" w14:textId="5621E062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USGS41</w:t>
            </w:r>
          </w:p>
        </w:tc>
        <w:tc>
          <w:tcPr>
            <w:tcW w:w="2552" w:type="dxa"/>
            <w:shd w:val="clear" w:color="auto" w:fill="auto"/>
          </w:tcPr>
          <w:p w14:paraId="1B9A464D" w14:textId="6DAA927E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L-glutamic acid</w:t>
            </w:r>
          </w:p>
        </w:tc>
        <w:tc>
          <w:tcPr>
            <w:tcW w:w="2055" w:type="dxa"/>
            <w:shd w:val="clear" w:color="auto" w:fill="auto"/>
          </w:tcPr>
          <w:p w14:paraId="0887C24E" w14:textId="274A8FF4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+37.63±0.05</w:t>
            </w:r>
          </w:p>
        </w:tc>
        <w:tc>
          <w:tcPr>
            <w:tcW w:w="2056" w:type="dxa"/>
            <w:shd w:val="clear" w:color="auto" w:fill="auto"/>
          </w:tcPr>
          <w:p w14:paraId="5B35E501" w14:textId="49BAC68E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+47.57±0.11</w:t>
            </w:r>
          </w:p>
        </w:tc>
      </w:tr>
      <w:tr w:rsidR="00244E67" w:rsidRPr="003A34FC" w14:paraId="622F1A49" w14:textId="77777777" w:rsidTr="00244E67">
        <w:tc>
          <w:tcPr>
            <w:tcW w:w="1809" w:type="dxa"/>
            <w:shd w:val="clear" w:color="auto" w:fill="auto"/>
          </w:tcPr>
          <w:p w14:paraId="67D0EDEB" w14:textId="0B29C9A8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Glycine low</w:t>
            </w:r>
          </w:p>
        </w:tc>
        <w:tc>
          <w:tcPr>
            <w:tcW w:w="2552" w:type="dxa"/>
            <w:shd w:val="clear" w:color="auto" w:fill="auto"/>
          </w:tcPr>
          <w:p w14:paraId="55444628" w14:textId="240C75D4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Glycine</w:t>
            </w:r>
          </w:p>
        </w:tc>
        <w:tc>
          <w:tcPr>
            <w:tcW w:w="2055" w:type="dxa"/>
            <w:shd w:val="clear" w:color="auto" w:fill="auto"/>
          </w:tcPr>
          <w:p w14:paraId="37445B0D" w14:textId="34618181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–39.64±0.05</w:t>
            </w:r>
          </w:p>
        </w:tc>
        <w:tc>
          <w:tcPr>
            <w:tcW w:w="2056" w:type="dxa"/>
            <w:shd w:val="clear" w:color="auto" w:fill="auto"/>
          </w:tcPr>
          <w:p w14:paraId="5465D87D" w14:textId="46BBECDA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+1.35±0.11</w:t>
            </w:r>
          </w:p>
        </w:tc>
      </w:tr>
      <w:tr w:rsidR="00244E67" w:rsidRPr="003A34FC" w14:paraId="6F70FFC0" w14:textId="77777777" w:rsidTr="00015A4C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3E33078B" w14:textId="4C864490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Glycine high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46B53B5C" w14:textId="6428AD04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Glycine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auto"/>
          </w:tcPr>
          <w:p w14:paraId="31B3066C" w14:textId="67FAD7CC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–15.67±0.05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shd w:val="clear" w:color="auto" w:fill="auto"/>
          </w:tcPr>
          <w:p w14:paraId="3C0A3A72" w14:textId="079E4B8C" w:rsidR="00244E67" w:rsidRPr="003A34FC" w:rsidRDefault="00244E67" w:rsidP="00244E67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–51.8±0.18</w:t>
            </w:r>
          </w:p>
        </w:tc>
      </w:tr>
    </w:tbl>
    <w:p w14:paraId="349E6005" w14:textId="77777777" w:rsidR="00015A4C" w:rsidRPr="003A34FC" w:rsidRDefault="00015A4C" w:rsidP="00015A4C">
      <w:pPr>
        <w:spacing w:after="120"/>
        <w:jc w:val="both"/>
        <w:outlineLvl w:val="0"/>
        <w:rPr>
          <w:rFonts w:ascii="Times New Roman" w:hAnsi="Times New Roman"/>
        </w:rPr>
      </w:pPr>
    </w:p>
    <w:p w14:paraId="3AD661E7" w14:textId="71DBB804" w:rsidR="00015A4C" w:rsidRDefault="00015A4C" w:rsidP="00015A4C">
      <w:pPr>
        <w:contextualSpacing/>
        <w:rPr>
          <w:rFonts w:ascii="Times New Roman" w:hAnsi="Times New Roman"/>
        </w:rPr>
      </w:pPr>
      <w:r w:rsidRPr="003A34FC">
        <w:rPr>
          <w:rFonts w:ascii="Times New Roman" w:hAnsi="Times New Roman"/>
        </w:rPr>
        <w:t>The following</w:t>
      </w:r>
      <w:r w:rsidR="00454302" w:rsidRPr="003A34FC">
        <w:rPr>
          <w:rFonts w:ascii="Times New Roman" w:hAnsi="Times New Roman"/>
        </w:rPr>
        <w:t xml:space="preserve"> internal</w:t>
      </w:r>
      <w:r w:rsidRPr="003A34FC">
        <w:rPr>
          <w:rFonts w:ascii="Times New Roman" w:hAnsi="Times New Roman"/>
        </w:rPr>
        <w:t xml:space="preserve"> standards were used </w:t>
      </w:r>
      <w:r w:rsidR="00F874E2" w:rsidRPr="003A34FC">
        <w:rPr>
          <w:rFonts w:ascii="Times New Roman" w:hAnsi="Times New Roman"/>
        </w:rPr>
        <w:t xml:space="preserve">for </w:t>
      </w:r>
      <w:r w:rsidR="00244E67" w:rsidRPr="003A34FC">
        <w:rPr>
          <w:rFonts w:ascii="Times New Roman" w:hAnsi="Times New Roman"/>
        </w:rPr>
        <w:t>quality control of scale calibration</w:t>
      </w:r>
      <w:r w:rsidRPr="003A34FC">
        <w:rPr>
          <w:rFonts w:ascii="Times New Roman" w:hAnsi="Times New Roman"/>
        </w:rPr>
        <w:t xml:space="preserve"> (Table </w:t>
      </w:r>
      <w:r w:rsidR="00B9244E" w:rsidRPr="003A34FC">
        <w:rPr>
          <w:rFonts w:ascii="Times New Roman" w:hAnsi="Times New Roman"/>
        </w:rPr>
        <w:t>A</w:t>
      </w:r>
      <w:r w:rsidRPr="003A34FC">
        <w:rPr>
          <w:rFonts w:ascii="Times New Roman" w:hAnsi="Times New Roman"/>
        </w:rPr>
        <w:t>2). The isotopic compositions reported here for internal standards represent long term averages calibrated to VPDB and AIR.</w:t>
      </w:r>
    </w:p>
    <w:p w14:paraId="152F5A22" w14:textId="54A17463" w:rsidR="00C13FDD" w:rsidRDefault="00C13FDD" w:rsidP="00015A4C">
      <w:pPr>
        <w:contextualSpacing/>
        <w:rPr>
          <w:rFonts w:ascii="Times New Roman" w:hAnsi="Times New Roman"/>
        </w:rPr>
      </w:pPr>
    </w:p>
    <w:p w14:paraId="50FACFFB" w14:textId="4109BE1B" w:rsidR="00C13FDD" w:rsidRDefault="00C13FDD" w:rsidP="00015A4C">
      <w:pPr>
        <w:contextualSpacing/>
        <w:rPr>
          <w:rFonts w:ascii="Times New Roman" w:hAnsi="Times New Roman"/>
        </w:rPr>
      </w:pPr>
    </w:p>
    <w:p w14:paraId="2DCED732" w14:textId="73225448" w:rsidR="00C13FDD" w:rsidRDefault="00C13FDD" w:rsidP="00015A4C">
      <w:pPr>
        <w:contextualSpacing/>
        <w:rPr>
          <w:rFonts w:ascii="Times New Roman" w:hAnsi="Times New Roman"/>
        </w:rPr>
      </w:pPr>
    </w:p>
    <w:p w14:paraId="07083410" w14:textId="60C1FE7C" w:rsidR="00C13FDD" w:rsidRDefault="00C13FDD" w:rsidP="00015A4C">
      <w:pPr>
        <w:contextualSpacing/>
        <w:rPr>
          <w:rFonts w:ascii="Times New Roman" w:hAnsi="Times New Roman"/>
        </w:rPr>
      </w:pPr>
    </w:p>
    <w:p w14:paraId="0D4CCF7D" w14:textId="56C0AC3A" w:rsidR="00C13FDD" w:rsidRDefault="00C13FDD" w:rsidP="00015A4C">
      <w:pPr>
        <w:contextualSpacing/>
        <w:rPr>
          <w:rFonts w:ascii="Times New Roman" w:hAnsi="Times New Roman"/>
        </w:rPr>
      </w:pPr>
    </w:p>
    <w:p w14:paraId="389C014A" w14:textId="77777777" w:rsidR="00C13FDD" w:rsidRPr="003A34FC" w:rsidRDefault="00C13FDD" w:rsidP="00015A4C">
      <w:pPr>
        <w:contextualSpacing/>
        <w:rPr>
          <w:rFonts w:ascii="Times New Roman" w:hAnsi="Times New Roman"/>
        </w:rPr>
      </w:pPr>
    </w:p>
    <w:p w14:paraId="4D76BCB3" w14:textId="77777777" w:rsidR="00015A4C" w:rsidRPr="003A34FC" w:rsidRDefault="00015A4C" w:rsidP="00015A4C">
      <w:pPr>
        <w:contextualSpacing/>
        <w:rPr>
          <w:rFonts w:ascii="Times New Roman" w:hAnsi="Times New Roman"/>
        </w:rPr>
      </w:pPr>
      <w:r w:rsidRPr="003A34FC">
        <w:rPr>
          <w:rFonts w:ascii="Times New Roman" w:hAnsi="Times New Roman"/>
        </w:rPr>
        <w:lastRenderedPageBreak/>
        <w:t xml:space="preserve"> </w:t>
      </w:r>
    </w:p>
    <w:p w14:paraId="5F31FA70" w14:textId="591C3824" w:rsidR="00015A4C" w:rsidRPr="003A34FC" w:rsidRDefault="00015A4C" w:rsidP="00015A4C">
      <w:pPr>
        <w:rPr>
          <w:rFonts w:ascii="Times New Roman" w:hAnsi="Times New Roman"/>
          <w:b/>
        </w:rPr>
      </w:pPr>
      <w:r w:rsidRPr="003A34FC">
        <w:rPr>
          <w:rFonts w:ascii="Times New Roman" w:hAnsi="Times New Roman"/>
          <w:b/>
        </w:rPr>
        <w:t xml:space="preserve">Table </w:t>
      </w:r>
      <w:r w:rsidR="00B9244E" w:rsidRPr="003A34FC">
        <w:rPr>
          <w:rFonts w:ascii="Times New Roman" w:hAnsi="Times New Roman"/>
          <w:b/>
        </w:rPr>
        <w:t>A2</w:t>
      </w:r>
      <w:r w:rsidRPr="003A34FC">
        <w:rPr>
          <w:rFonts w:ascii="Times New Roman" w:hAnsi="Times New Roman"/>
          <w:b/>
        </w:rPr>
        <w:t xml:space="preserve">. </w:t>
      </w:r>
      <w:r w:rsidR="00244E67" w:rsidRPr="003A34FC">
        <w:rPr>
          <w:rFonts w:ascii="Times New Roman" w:hAnsi="Times New Roman"/>
        </w:rPr>
        <w:t>In-house s</w:t>
      </w:r>
      <w:r w:rsidRPr="003A34FC">
        <w:rPr>
          <w:rFonts w:ascii="Times New Roman" w:hAnsi="Times New Roman"/>
        </w:rPr>
        <w:t>tandard reference materials used for to monitor internal accuracy and precision.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2509"/>
        <w:gridCol w:w="2385"/>
        <w:gridCol w:w="1693"/>
      </w:tblGrid>
      <w:tr w:rsidR="00015A4C" w:rsidRPr="003A34FC" w14:paraId="3A1F4901" w14:textId="77777777" w:rsidTr="00B9244E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618B9B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Standard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588E3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Material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D11C33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 xml:space="preserve">Mean </w:t>
            </w:r>
            <w:r w:rsidRPr="003A34FC">
              <w:rPr>
                <w:rFonts w:ascii="Times New Roman" w:hAnsi="Times New Roman"/>
                <w:i/>
              </w:rPr>
              <w:sym w:font="Symbol" w:char="F064"/>
            </w:r>
            <w:r w:rsidRPr="003A34FC">
              <w:rPr>
                <w:rFonts w:ascii="Times New Roman" w:hAnsi="Times New Roman"/>
                <w:vertAlign w:val="superscript"/>
              </w:rPr>
              <w:t>13</w:t>
            </w:r>
            <w:r w:rsidRPr="003A34FC">
              <w:rPr>
                <w:rFonts w:ascii="Times New Roman" w:hAnsi="Times New Roman"/>
              </w:rPr>
              <w:t xml:space="preserve">C </w:t>
            </w:r>
          </w:p>
          <w:p w14:paraId="593378B0" w14:textId="77777777" w:rsidR="00015A4C" w:rsidRPr="003A34FC" w:rsidRDefault="00015A4C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(‰, VPDB)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9DF91" w14:textId="77777777" w:rsidR="00015A4C" w:rsidRPr="003A34FC" w:rsidRDefault="00015A4C" w:rsidP="00015A4C">
            <w:pPr>
              <w:ind w:right="-149"/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 xml:space="preserve">Mean </w:t>
            </w:r>
            <w:r w:rsidRPr="003A34FC">
              <w:rPr>
                <w:rFonts w:ascii="Times New Roman" w:hAnsi="Times New Roman"/>
                <w:i/>
              </w:rPr>
              <w:sym w:font="Symbol" w:char="F064"/>
            </w:r>
            <w:r w:rsidRPr="003A34FC">
              <w:rPr>
                <w:rFonts w:ascii="Times New Roman" w:hAnsi="Times New Roman"/>
                <w:vertAlign w:val="superscript"/>
              </w:rPr>
              <w:t>15</w:t>
            </w:r>
            <w:r w:rsidRPr="003A34FC">
              <w:rPr>
                <w:rFonts w:ascii="Times New Roman" w:hAnsi="Times New Roman"/>
              </w:rPr>
              <w:t xml:space="preserve">N </w:t>
            </w:r>
          </w:p>
          <w:p w14:paraId="5DF2792B" w14:textId="77777777" w:rsidR="00015A4C" w:rsidRPr="003A34FC" w:rsidRDefault="00015A4C" w:rsidP="00015A4C">
            <w:pPr>
              <w:ind w:right="-149"/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(‰, AIR)</w:t>
            </w:r>
          </w:p>
        </w:tc>
      </w:tr>
      <w:tr w:rsidR="00015A4C" w:rsidRPr="003A34FC" w14:paraId="235F1595" w14:textId="77777777" w:rsidTr="00B9244E"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</w:tcPr>
          <w:p w14:paraId="5D4071CB" w14:textId="51AA004B" w:rsidR="00015A4C" w:rsidRPr="003A34FC" w:rsidRDefault="005127C3" w:rsidP="00015A4C">
            <w:pPr>
              <w:contextualSpacing/>
              <w:rPr>
                <w:rFonts w:ascii="Times New Roman" w:hAnsi="Times New Roman"/>
              </w:rPr>
            </w:pPr>
            <w:proofErr w:type="spellStart"/>
            <w:r w:rsidRPr="003A34FC">
              <w:rPr>
                <w:rFonts w:ascii="Times New Roman" w:hAnsi="Times New Roman"/>
              </w:rPr>
              <w:t>Gly</w:t>
            </w:r>
            <w:proofErr w:type="spellEnd"/>
            <w:r w:rsidRPr="003A34FC">
              <w:rPr>
                <w:rFonts w:ascii="Times New Roman" w:hAnsi="Times New Roman"/>
              </w:rPr>
              <w:t xml:space="preserve"> mid</w:t>
            </w:r>
          </w:p>
        </w:tc>
        <w:tc>
          <w:tcPr>
            <w:tcW w:w="2509" w:type="dxa"/>
            <w:tcBorders>
              <w:top w:val="single" w:sz="4" w:space="0" w:color="auto"/>
            </w:tcBorders>
            <w:shd w:val="clear" w:color="auto" w:fill="auto"/>
          </w:tcPr>
          <w:p w14:paraId="0C5A6F10" w14:textId="5788CB0A" w:rsidR="00015A4C" w:rsidRPr="003A34FC" w:rsidRDefault="005127C3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Glycine mid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shd w:val="clear" w:color="auto" w:fill="auto"/>
          </w:tcPr>
          <w:p w14:paraId="04636506" w14:textId="433FE42D" w:rsidR="00015A4C" w:rsidRPr="003A34FC" w:rsidRDefault="00DD3429" w:rsidP="00015A4C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−</w:t>
            </w:r>
            <w:r w:rsidR="005127C3" w:rsidRPr="003A34FC">
              <w:rPr>
                <w:rFonts w:ascii="Times New Roman" w:hAnsi="Times New Roman"/>
              </w:rPr>
              <w:t>8.36</w:t>
            </w:r>
            <w:r w:rsidRPr="003A34FC">
              <w:rPr>
                <w:rFonts w:ascii="Times New Roman" w:hAnsi="Times New Roman"/>
              </w:rPr>
              <w:t>±0.0</w:t>
            </w:r>
            <w:r w:rsidR="005127C3" w:rsidRPr="003A34FC">
              <w:rPr>
                <w:rFonts w:ascii="Times New Roman" w:hAnsi="Times New Roman"/>
              </w:rPr>
              <w:t>5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auto"/>
          </w:tcPr>
          <w:p w14:paraId="74275119" w14:textId="5A22F4AD" w:rsidR="00015A4C" w:rsidRPr="003A34FC" w:rsidRDefault="00DD3429" w:rsidP="00015A4C">
            <w:pPr>
              <w:ind w:right="-149"/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5127C3" w:rsidRPr="003A34FC">
              <w:rPr>
                <w:rFonts w:ascii="Times New Roman" w:hAnsi="Times New Roman"/>
              </w:rPr>
              <w:t>27.9</w:t>
            </w:r>
            <w:r w:rsidRPr="003A34FC">
              <w:rPr>
                <w:rFonts w:ascii="Times New Roman" w:hAnsi="Times New Roman"/>
              </w:rPr>
              <w:t>±0.</w:t>
            </w:r>
            <w:r w:rsidR="005127C3" w:rsidRPr="003A34FC">
              <w:rPr>
                <w:rFonts w:ascii="Times New Roman" w:hAnsi="Times New Roman"/>
              </w:rPr>
              <w:t>11</w:t>
            </w:r>
          </w:p>
        </w:tc>
      </w:tr>
      <w:tr w:rsidR="005127C3" w:rsidRPr="003A34FC" w14:paraId="33AC72BB" w14:textId="77777777" w:rsidTr="005127C3">
        <w:tc>
          <w:tcPr>
            <w:tcW w:w="1710" w:type="dxa"/>
            <w:shd w:val="clear" w:color="auto" w:fill="auto"/>
          </w:tcPr>
          <w:p w14:paraId="71CC2A3F" w14:textId="7F75CCD3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H Std 2</w:t>
            </w:r>
          </w:p>
        </w:tc>
        <w:tc>
          <w:tcPr>
            <w:tcW w:w="2509" w:type="dxa"/>
            <w:shd w:val="clear" w:color="auto" w:fill="auto"/>
          </w:tcPr>
          <w:p w14:paraId="407D97AA" w14:textId="59A26D49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Human hair</w:t>
            </w:r>
          </w:p>
        </w:tc>
        <w:tc>
          <w:tcPr>
            <w:tcW w:w="2385" w:type="dxa"/>
            <w:shd w:val="clear" w:color="auto" w:fill="auto"/>
          </w:tcPr>
          <w:p w14:paraId="2D303A70" w14:textId="1BA9D058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−16.78±0.05</w:t>
            </w:r>
          </w:p>
        </w:tc>
        <w:tc>
          <w:tcPr>
            <w:tcW w:w="1693" w:type="dxa"/>
            <w:shd w:val="clear" w:color="auto" w:fill="auto"/>
          </w:tcPr>
          <w:p w14:paraId="2E3EA0D2" w14:textId="11D3D152" w:rsidR="005127C3" w:rsidRPr="003A34FC" w:rsidRDefault="005127C3" w:rsidP="005127C3">
            <w:pPr>
              <w:ind w:right="-149"/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+9.11±0.07</w:t>
            </w:r>
          </w:p>
        </w:tc>
      </w:tr>
      <w:tr w:rsidR="005127C3" w:rsidRPr="003A34FC" w14:paraId="4DDBFB61" w14:textId="77777777" w:rsidTr="00B9244E"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1CA35BE9" w14:textId="0612041E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TL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</w:tcPr>
          <w:p w14:paraId="4209CCF7" w14:textId="7C34B7C1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Tomato leaves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shd w:val="clear" w:color="auto" w:fill="auto"/>
          </w:tcPr>
          <w:p w14:paraId="0D08F8F9" w14:textId="0D7A648C" w:rsidR="005127C3" w:rsidRPr="003A34FC" w:rsidRDefault="005127C3" w:rsidP="005127C3">
            <w:pPr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−26.88±0.06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</w:tcPr>
          <w:p w14:paraId="2C4428BF" w14:textId="2B700509" w:rsidR="005127C3" w:rsidRPr="003A34FC" w:rsidRDefault="005127C3" w:rsidP="005127C3">
            <w:pPr>
              <w:ind w:right="-149"/>
              <w:contextualSpacing/>
              <w:rPr>
                <w:rFonts w:ascii="Times New Roman" w:hAnsi="Times New Roman"/>
              </w:rPr>
            </w:pPr>
            <w:r w:rsidRPr="003A34FC">
              <w:rPr>
                <w:rFonts w:ascii="Times New Roman" w:hAnsi="Times New Roman"/>
              </w:rPr>
              <w:t>+3.96±0.12</w:t>
            </w:r>
          </w:p>
        </w:tc>
      </w:tr>
    </w:tbl>
    <w:p w14:paraId="35C2B8CC" w14:textId="77777777" w:rsidR="00015A4C" w:rsidRPr="003A34FC" w:rsidRDefault="00015A4C" w:rsidP="00015A4C">
      <w:pPr>
        <w:contextualSpacing/>
        <w:rPr>
          <w:rFonts w:ascii="Times New Roman" w:hAnsi="Times New Roman"/>
        </w:rPr>
      </w:pPr>
    </w:p>
    <w:p w14:paraId="4AD68D98" w14:textId="3AC115C3" w:rsidR="00DD3429" w:rsidRDefault="00DD3429" w:rsidP="00015A4C">
      <w:pPr>
        <w:contextualSpacing/>
        <w:rPr>
          <w:rFonts w:ascii="Times New Roman" w:hAnsi="Times New Roman"/>
        </w:rPr>
      </w:pPr>
      <w:r w:rsidRPr="003A34FC">
        <w:rPr>
          <w:rFonts w:ascii="Times New Roman" w:hAnsi="Times New Roman"/>
        </w:rPr>
        <w:t>Table</w:t>
      </w:r>
      <w:r w:rsidR="00B9244E" w:rsidRPr="003A34FC">
        <w:rPr>
          <w:rFonts w:ascii="Times New Roman" w:hAnsi="Times New Roman"/>
        </w:rPr>
        <w:t xml:space="preserve"> A3</w:t>
      </w:r>
      <w:r w:rsidRPr="003A34FC">
        <w:rPr>
          <w:rFonts w:ascii="Times New Roman" w:hAnsi="Times New Roman"/>
        </w:rPr>
        <w:t xml:space="preserve"> presents the means and standard deviations of the </w:t>
      </w:r>
      <w:r w:rsidRPr="003A34FC">
        <w:rPr>
          <w:rFonts w:ascii="Times New Roman" w:hAnsi="Times New Roman"/>
          <w:i/>
        </w:rPr>
        <w:t>δ</w:t>
      </w:r>
      <w:r w:rsidRPr="003A34FC">
        <w:rPr>
          <w:rFonts w:ascii="Times New Roman" w:hAnsi="Times New Roman"/>
          <w:vertAlign w:val="superscript"/>
        </w:rPr>
        <w:t>13</w:t>
      </w:r>
      <w:r w:rsidRPr="003A34FC">
        <w:rPr>
          <w:rFonts w:ascii="Times New Roman" w:hAnsi="Times New Roman"/>
        </w:rPr>
        <w:t xml:space="preserve">C and </w:t>
      </w:r>
      <w:r w:rsidRPr="003A34FC">
        <w:rPr>
          <w:rFonts w:ascii="Times New Roman" w:hAnsi="Times New Roman"/>
          <w:i/>
        </w:rPr>
        <w:t>δ</w:t>
      </w:r>
      <w:r w:rsidRPr="003A34FC">
        <w:rPr>
          <w:rFonts w:ascii="Times New Roman" w:hAnsi="Times New Roman"/>
          <w:vertAlign w:val="superscript"/>
        </w:rPr>
        <w:t>15</w:t>
      </w:r>
      <w:r w:rsidRPr="003A34FC">
        <w:rPr>
          <w:rFonts w:ascii="Times New Roman" w:hAnsi="Times New Roman"/>
        </w:rPr>
        <w:t xml:space="preserve">N values for the check and calibration standards as well as the number of standards in each analytical </w:t>
      </w:r>
      <w:r w:rsidR="0097615E" w:rsidRPr="003A34FC">
        <w:rPr>
          <w:rFonts w:ascii="Times New Roman" w:hAnsi="Times New Roman"/>
        </w:rPr>
        <w:t>session. M</w:t>
      </w:r>
      <w:r w:rsidR="0028562C" w:rsidRPr="003A34FC">
        <w:rPr>
          <w:rFonts w:ascii="Times New Roman" w:hAnsi="Times New Roman"/>
        </w:rPr>
        <w:t>easurement precision (the pooled standard deviation of the check and calibration standards) was ±0.</w:t>
      </w:r>
      <w:r w:rsidR="00BF028C" w:rsidRPr="003A34FC">
        <w:rPr>
          <w:rFonts w:ascii="Times New Roman" w:hAnsi="Times New Roman"/>
        </w:rPr>
        <w:t>20</w:t>
      </w:r>
      <w:r w:rsidR="0028562C" w:rsidRPr="003A34FC">
        <w:rPr>
          <w:rFonts w:ascii="Times New Roman" w:hAnsi="Times New Roman"/>
        </w:rPr>
        <w:t xml:space="preserve"> ‰ for </w:t>
      </w:r>
      <w:r w:rsidR="0028562C" w:rsidRPr="003A34FC">
        <w:rPr>
          <w:rFonts w:ascii="Times New Roman" w:hAnsi="Times New Roman"/>
          <w:i/>
        </w:rPr>
        <w:t>δ</w:t>
      </w:r>
      <w:r w:rsidR="0028562C" w:rsidRPr="003A34FC">
        <w:rPr>
          <w:rFonts w:ascii="Times New Roman" w:hAnsi="Times New Roman"/>
          <w:vertAlign w:val="superscript"/>
        </w:rPr>
        <w:t>13</w:t>
      </w:r>
      <w:r w:rsidR="0028562C" w:rsidRPr="003A34FC">
        <w:rPr>
          <w:rFonts w:ascii="Times New Roman" w:hAnsi="Times New Roman"/>
        </w:rPr>
        <w:t xml:space="preserve">C and ±0.18 ‰ for </w:t>
      </w:r>
      <w:r w:rsidR="0028562C" w:rsidRPr="003A34FC">
        <w:rPr>
          <w:rFonts w:ascii="Times New Roman" w:hAnsi="Times New Roman"/>
          <w:i/>
        </w:rPr>
        <w:t>δ</w:t>
      </w:r>
      <w:r w:rsidR="0028562C" w:rsidRPr="003A34FC">
        <w:rPr>
          <w:rFonts w:ascii="Times New Roman" w:hAnsi="Times New Roman"/>
          <w:vertAlign w:val="superscript"/>
        </w:rPr>
        <w:t>15</w:t>
      </w:r>
      <w:r w:rsidR="0028562C" w:rsidRPr="003A34FC">
        <w:rPr>
          <w:rFonts w:ascii="Times New Roman" w:hAnsi="Times New Roman"/>
        </w:rPr>
        <w:t>N (</w:t>
      </w:r>
      <w:r w:rsidR="0028562C" w:rsidRPr="003A34FC">
        <w:rPr>
          <w:rFonts w:ascii="Times New Roman" w:hAnsi="Times New Roman"/>
          <w:i/>
        </w:rPr>
        <w:t>df</w:t>
      </w:r>
      <w:r w:rsidR="0028562C" w:rsidRPr="003A34FC">
        <w:rPr>
          <w:rFonts w:ascii="Times New Roman" w:hAnsi="Times New Roman"/>
        </w:rPr>
        <w:t>=</w:t>
      </w:r>
      <w:r w:rsidR="00BF028C" w:rsidRPr="003A34FC">
        <w:rPr>
          <w:rFonts w:ascii="Times New Roman" w:hAnsi="Times New Roman"/>
        </w:rPr>
        <w:t>56</w:t>
      </w:r>
      <w:r w:rsidR="0028562C" w:rsidRPr="003A34FC">
        <w:rPr>
          <w:rFonts w:ascii="Times New Roman" w:hAnsi="Times New Roman"/>
        </w:rPr>
        <w:t>)</w:t>
      </w:r>
      <w:r w:rsidR="00BF028C" w:rsidRPr="003A34FC">
        <w:rPr>
          <w:rFonts w:ascii="Times New Roman" w:hAnsi="Times New Roman"/>
        </w:rPr>
        <w:t xml:space="preserve">, calculated from Appendix B following </w:t>
      </w:r>
      <w:r w:rsidR="001040C2" w:rsidRPr="003A34FC">
        <w:rPr>
          <w:rFonts w:ascii="Times New Roman" w:hAnsi="Times New Roman"/>
        </w:rPr>
        <w:t xml:space="preserve">the standard uncertainty calculator in Appendix G of </w:t>
      </w:r>
      <w:r w:rsidR="00BF028C" w:rsidRPr="003A34FC">
        <w:rPr>
          <w:rFonts w:ascii="Times New Roman" w:hAnsi="Times New Roman"/>
        </w:rPr>
        <w:t>Szpak et al. (2017)</w:t>
      </w:r>
      <w:r w:rsidR="0028562C" w:rsidRPr="003A34FC">
        <w:rPr>
          <w:rFonts w:ascii="Times New Roman" w:hAnsi="Times New Roman"/>
        </w:rPr>
        <w:t xml:space="preserve">. </w:t>
      </w:r>
      <w:r w:rsidR="0049649C" w:rsidRPr="003A34FC">
        <w:rPr>
          <w:rFonts w:ascii="Times New Roman" w:hAnsi="Times New Roman"/>
        </w:rPr>
        <w:t xml:space="preserve">Measurement accuracy (bias) was evaluated by comparing the known and measured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13</w:t>
      </w:r>
      <w:r w:rsidR="0049649C" w:rsidRPr="003A34FC">
        <w:rPr>
          <w:rFonts w:ascii="Times New Roman" w:hAnsi="Times New Roman"/>
        </w:rPr>
        <w:t xml:space="preserve">C and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15</w:t>
      </w:r>
      <w:r w:rsidR="0049649C" w:rsidRPr="003A34FC">
        <w:rPr>
          <w:rFonts w:ascii="Times New Roman" w:hAnsi="Times New Roman"/>
        </w:rPr>
        <w:t xml:space="preserve">N values for </w:t>
      </w:r>
      <w:r w:rsidR="002870D6" w:rsidRPr="003A34FC">
        <w:rPr>
          <w:rFonts w:ascii="Times New Roman" w:hAnsi="Times New Roman"/>
        </w:rPr>
        <w:t>H Std 2</w:t>
      </w:r>
      <w:r w:rsidR="0049649C" w:rsidRPr="003A34FC">
        <w:rPr>
          <w:rFonts w:ascii="Times New Roman" w:hAnsi="Times New Roman"/>
        </w:rPr>
        <w:t xml:space="preserve"> and </w:t>
      </w:r>
      <w:r w:rsidR="002870D6" w:rsidRPr="003A34FC">
        <w:rPr>
          <w:rFonts w:ascii="Times New Roman" w:hAnsi="Times New Roman"/>
        </w:rPr>
        <w:t xml:space="preserve">tomato leaves and </w:t>
      </w:r>
      <w:r w:rsidR="0049649C" w:rsidRPr="003A34FC">
        <w:rPr>
          <w:rFonts w:ascii="Times New Roman" w:hAnsi="Times New Roman"/>
        </w:rPr>
        <w:t xml:space="preserve">factoring in the long-term uncertainty in these known measurements </w:t>
      </w:r>
      <w:r w:rsidR="001040C2" w:rsidRPr="003A34FC">
        <w:rPr>
          <w:rFonts w:ascii="Times New Roman" w:hAnsi="Times New Roman"/>
        </w:rPr>
        <w:t>using the standard uncertainty calculator of Szpak et al. (2017)</w:t>
      </w:r>
      <w:r w:rsidR="0049649C" w:rsidRPr="003A34FC">
        <w:rPr>
          <w:rFonts w:ascii="Times New Roman" w:hAnsi="Times New Roman"/>
        </w:rPr>
        <w:t>. Measurement bias due to systematic error (accuracy) was determined to be ±0.1</w:t>
      </w:r>
      <w:r w:rsidR="001040C2" w:rsidRPr="003A34FC">
        <w:rPr>
          <w:rFonts w:ascii="Times New Roman" w:hAnsi="Times New Roman"/>
        </w:rPr>
        <w:t>4</w:t>
      </w:r>
      <w:r w:rsidR="0049649C" w:rsidRPr="003A34FC">
        <w:rPr>
          <w:rFonts w:ascii="Times New Roman" w:hAnsi="Times New Roman"/>
        </w:rPr>
        <w:t xml:space="preserve"> ‰ for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13</w:t>
      </w:r>
      <w:r w:rsidR="0049649C" w:rsidRPr="003A34FC">
        <w:rPr>
          <w:rFonts w:ascii="Times New Roman" w:hAnsi="Times New Roman"/>
        </w:rPr>
        <w:t>C and ±0.1</w:t>
      </w:r>
      <w:r w:rsidR="001040C2" w:rsidRPr="003A34FC">
        <w:rPr>
          <w:rFonts w:ascii="Times New Roman" w:hAnsi="Times New Roman"/>
        </w:rPr>
        <w:t>6</w:t>
      </w:r>
      <w:r w:rsidR="0049649C" w:rsidRPr="003A34FC">
        <w:rPr>
          <w:rFonts w:ascii="Times New Roman" w:hAnsi="Times New Roman"/>
        </w:rPr>
        <w:t xml:space="preserve"> ‰ for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15</w:t>
      </w:r>
      <w:r w:rsidR="0049649C" w:rsidRPr="003A34FC">
        <w:rPr>
          <w:rFonts w:ascii="Times New Roman" w:hAnsi="Times New Roman"/>
        </w:rPr>
        <w:t xml:space="preserve">N. </w:t>
      </w:r>
    </w:p>
    <w:p w14:paraId="1C6CAF56" w14:textId="108F3363" w:rsidR="00102784" w:rsidRDefault="00102784" w:rsidP="00015A4C">
      <w:pPr>
        <w:contextualSpacing/>
        <w:rPr>
          <w:rFonts w:ascii="Times New Roman" w:hAnsi="Times New Roman"/>
        </w:rPr>
      </w:pPr>
    </w:p>
    <w:p w14:paraId="60B318D5" w14:textId="77777777" w:rsidR="00102784" w:rsidRPr="003A34FC" w:rsidRDefault="00102784" w:rsidP="00015A4C">
      <w:pPr>
        <w:contextualSpacing/>
        <w:rPr>
          <w:rFonts w:ascii="Times New Roman" w:hAnsi="Times New Roman"/>
        </w:rPr>
      </w:pPr>
    </w:p>
    <w:p w14:paraId="0A384826" w14:textId="7E9AFA24" w:rsidR="00583B8E" w:rsidRPr="003A34FC" w:rsidRDefault="00583B8E" w:rsidP="00583B8E">
      <w:pPr>
        <w:pStyle w:val="Caption"/>
        <w:keepNext/>
        <w:spacing w:after="0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3A34FC">
        <w:rPr>
          <w:rFonts w:ascii="Times New Roman" w:hAnsi="Times New Roman"/>
          <w:color w:val="auto"/>
          <w:sz w:val="24"/>
          <w:szCs w:val="24"/>
        </w:rPr>
        <w:t xml:space="preserve">Table </w:t>
      </w:r>
      <w:r w:rsidR="00B9244E" w:rsidRPr="003A34FC">
        <w:rPr>
          <w:rFonts w:ascii="Times New Roman" w:hAnsi="Times New Roman"/>
          <w:color w:val="auto"/>
          <w:sz w:val="24"/>
          <w:szCs w:val="24"/>
        </w:rPr>
        <w:t>A3</w:t>
      </w:r>
      <w:r w:rsidRPr="003A34FC">
        <w:rPr>
          <w:rFonts w:ascii="Times New Roman" w:hAnsi="Times New Roman"/>
          <w:color w:val="auto"/>
          <w:sz w:val="24"/>
          <w:szCs w:val="24"/>
        </w:rPr>
        <w:t xml:space="preserve">. 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Mean and standard deviation of all check and calibration standards for </w:t>
      </w:r>
      <w:r w:rsidR="00244E67" w:rsidRPr="003A34FC">
        <w:rPr>
          <w:rFonts w:ascii="Times New Roman" w:hAnsi="Times New Roman"/>
          <w:b w:val="0"/>
          <w:color w:val="auto"/>
          <w:sz w:val="24"/>
          <w:szCs w:val="24"/>
        </w:rPr>
        <w:t>the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analytical sessions containing data presented in this paper. </w:t>
      </w:r>
    </w:p>
    <w:p w14:paraId="2C348BB5" w14:textId="77777777" w:rsidR="00583B8E" w:rsidRPr="003A34FC" w:rsidRDefault="00583B8E" w:rsidP="00583B8E">
      <w:pPr>
        <w:contextualSpacing/>
        <w:rPr>
          <w:rFonts w:ascii="Times New Roman" w:hAnsi="Times New Roman"/>
        </w:rPr>
      </w:pPr>
    </w:p>
    <w:tbl>
      <w:tblPr>
        <w:tblW w:w="90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02"/>
        <w:gridCol w:w="1973"/>
        <w:gridCol w:w="671"/>
        <w:gridCol w:w="1286"/>
        <w:gridCol w:w="336"/>
        <w:gridCol w:w="843"/>
        <w:gridCol w:w="1178"/>
        <w:gridCol w:w="504"/>
        <w:gridCol w:w="845"/>
      </w:tblGrid>
      <w:tr w:rsidR="00583B8E" w:rsidRPr="003A34FC" w14:paraId="5D739108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778A" w14:textId="169C6741" w:rsidR="00583B8E" w:rsidRPr="003A34FC" w:rsidRDefault="00245868" w:rsidP="00583B8E">
            <w:pPr>
              <w:spacing w:after="0"/>
              <w:contextualSpacing/>
              <w:rPr>
                <w:rFonts w:ascii="Times New Roman" w:hAnsi="Times New Roman"/>
                <w:b/>
                <w:bCs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color w:val="000000"/>
              </w:rPr>
              <w:t>Session ID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2B4" w14:textId="77777777" w:rsidR="00583B8E" w:rsidRPr="003A34FC" w:rsidRDefault="00583B8E" w:rsidP="00583B8E">
            <w:pPr>
              <w:spacing w:after="0"/>
              <w:contextualSpacing/>
              <w:rPr>
                <w:rFonts w:ascii="Times New Roman" w:hAnsi="Times New Roman"/>
                <w:b/>
                <w:bCs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color w:val="000000"/>
              </w:rPr>
              <w:t>Standard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A9BF" w14:textId="77777777" w:rsidR="00583B8E" w:rsidRPr="003A34FC" w:rsidRDefault="00583B8E" w:rsidP="00583B8E">
            <w:pPr>
              <w:spacing w:after="0"/>
              <w:contextualSpacing/>
              <w:rPr>
                <w:rFonts w:ascii="Times New Roman" w:hAnsi="Times New Roman"/>
                <w:b/>
                <w:bCs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color w:val="000000"/>
              </w:rPr>
              <w:t>n</w:t>
            </w: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F3BB" w14:textId="77777777" w:rsidR="00583B8E" w:rsidRPr="003A34FC" w:rsidRDefault="00583B8E" w:rsidP="00583B8E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13</w:t>
            </w:r>
            <w:r w:rsidRPr="003A34FC">
              <w:rPr>
                <w:rFonts w:ascii="Times New Roman" w:hAnsi="Times New Roman"/>
                <w:b/>
                <w:bCs/>
              </w:rPr>
              <w:t>C (‰, VPDB)</w:t>
            </w:r>
          </w:p>
        </w:tc>
        <w:tc>
          <w:tcPr>
            <w:tcW w:w="2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23A0" w14:textId="77777777" w:rsidR="00583B8E" w:rsidRPr="003A34FC" w:rsidRDefault="00583B8E" w:rsidP="00583B8E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15</w:t>
            </w:r>
            <w:r w:rsidRPr="003A34FC">
              <w:rPr>
                <w:rFonts w:ascii="Times New Roman" w:hAnsi="Times New Roman"/>
                <w:b/>
                <w:bCs/>
              </w:rPr>
              <w:t>N (‰, AIR)</w:t>
            </w:r>
          </w:p>
        </w:tc>
      </w:tr>
      <w:tr w:rsidR="00AC74DE" w:rsidRPr="003A34FC" w14:paraId="58D6E8A4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CEE" w14:textId="185AB432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84F3" w14:textId="04D847C2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low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4ADA" w14:textId="41D0EC6D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D6483E" w14:textId="1429300E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-39.64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E2B18" w14:textId="546482F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816E1" w14:textId="22FBF76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C28370" w14:textId="1DB8B582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Pr="003A34FC">
              <w:rPr>
                <w:rFonts w:ascii="Times New Roman" w:eastAsia="Times New Roman" w:hAnsi="Times New Roman"/>
                <w:color w:val="000000"/>
              </w:rPr>
              <w:t>1.42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394764" w14:textId="32188921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9C9" w14:textId="656AFA31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6D5560" w:rsidRPr="003A34FC">
              <w:rPr>
                <w:rFonts w:ascii="Times New Roman" w:eastAsia="Times New Roman" w:hAnsi="Times New Roman"/>
                <w:color w:val="000000"/>
              </w:rPr>
              <w:t>06</w:t>
            </w:r>
          </w:p>
        </w:tc>
      </w:tr>
      <w:tr w:rsidR="00AC74DE" w:rsidRPr="003A34FC" w14:paraId="1BCEF6D2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99DE" w14:textId="20C00092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9884" w14:textId="38110AB5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low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C2A5" w14:textId="4AC0F576" w:rsidR="00AC74DE" w:rsidRPr="003A34FC" w:rsidRDefault="00C00AF6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2DA62" w14:textId="1FC1DAA9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39.40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709C0C" w14:textId="0CB1C5F5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F45E9" w14:textId="4FB25890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4</w:t>
            </w:r>
            <w:r w:rsidRPr="003A34FC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C9D568" w14:textId="52180355" w:rsidR="00AC74DE" w:rsidRPr="003A34FC" w:rsidRDefault="00C00AF6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Pr="003A34FC">
              <w:rPr>
                <w:rFonts w:ascii="Times New Roman" w:eastAsia="Times New Roman" w:hAnsi="Times New Roman"/>
                <w:color w:val="000000"/>
              </w:rPr>
              <w:t>1.41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0CE7DA" w14:textId="7C2CADA8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74D58" w14:textId="0E343DAA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02</w:t>
            </w:r>
          </w:p>
        </w:tc>
      </w:tr>
      <w:tr w:rsidR="00AC74DE" w:rsidRPr="003A34FC" w14:paraId="537A2347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7B71D" w14:textId="12E93547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8A25C" w14:textId="5861C817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low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9808E" w14:textId="70E47E7F" w:rsidR="00AC74DE" w:rsidRPr="003A34FC" w:rsidRDefault="00C00AF6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35BF52" w14:textId="019E7C4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39.66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F990AB" w14:textId="1AD80B83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CED4" w14:textId="33888A79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1E8BA1" w14:textId="7E44BC2D" w:rsidR="00AC74DE" w:rsidRPr="003A34FC" w:rsidRDefault="00C00AF6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Pr="003A34FC">
              <w:rPr>
                <w:rFonts w:ascii="Times New Roman" w:eastAsia="Times New Roman" w:hAnsi="Times New Roman"/>
                <w:color w:val="000000"/>
              </w:rPr>
              <w:t>1.35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DF9FFD" w14:textId="2B7E1A21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99A87" w14:textId="7CAF2BF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03</w:t>
            </w:r>
          </w:p>
        </w:tc>
      </w:tr>
      <w:tr w:rsidR="00AC74DE" w:rsidRPr="003A34FC" w14:paraId="4FED6D65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C0A" w14:textId="2E462021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45F6" w14:textId="3F7BA9C6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high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CF66" w14:textId="070AE140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AD5E96" w14:textId="17821272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Pr="003A34FC">
              <w:rPr>
                <w:rFonts w:ascii="Times New Roman" w:eastAsia="Times New Roman" w:hAnsi="Times New Roman"/>
                <w:color w:val="000000"/>
              </w:rPr>
              <w:t>15.67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274DC" w14:textId="2D20B10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09FD" w14:textId="0EA1A0E1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FE2897" w14:textId="2DF4048F" w:rsidR="00AC74DE" w:rsidRPr="003A34FC" w:rsidRDefault="00C00AF6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+51.81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682876" w14:textId="60419B25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F73B" w14:textId="5920649E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06</w:t>
            </w:r>
          </w:p>
        </w:tc>
      </w:tr>
      <w:tr w:rsidR="00AC74DE" w:rsidRPr="003A34FC" w14:paraId="1D74FCAB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AA929" w14:textId="58228CDF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87231" w14:textId="186E102E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high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BC03" w14:textId="67959791" w:rsidR="00AC74DE" w:rsidRPr="003A34FC" w:rsidRDefault="00C00AF6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E67C76" w14:textId="3CC1D74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15.67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16547" w14:textId="0634ECDE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274B" w14:textId="3D7DE049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0B1B32" w14:textId="055F9F52" w:rsidR="00AC74DE" w:rsidRPr="003A34FC" w:rsidRDefault="00C00AF6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+51.81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F3AC9" w14:textId="38DE530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00F9" w14:textId="08F107E8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05</w:t>
            </w:r>
          </w:p>
        </w:tc>
      </w:tr>
      <w:tr w:rsidR="00AC74DE" w:rsidRPr="003A34FC" w14:paraId="661BAACF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DE60B" w14:textId="23A6CF25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F02A3" w14:textId="6DFD25E5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high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DFC1" w14:textId="08D5D2C3" w:rsidR="00AC74DE" w:rsidRPr="003A34FC" w:rsidRDefault="00C00AF6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18913E" w14:textId="5D322453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15.66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88DA78" w14:textId="323CE85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EEC7" w14:textId="431BF492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A2498C" w14:textId="18D3F207" w:rsidR="00AC74DE" w:rsidRPr="003A34FC" w:rsidRDefault="00C00AF6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+51.81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C4013" w14:textId="553CAD04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2E5EE" w14:textId="3622ADAB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</w:t>
            </w:r>
            <w:r w:rsidR="00C00AF6" w:rsidRPr="003A34FC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AC74DE" w:rsidRPr="003A34FC" w14:paraId="536051E9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FAAE" w14:textId="2FCE4343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BB4D" w14:textId="16F72082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mid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6DDD" w14:textId="21A6D36D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17788D" w14:textId="1809B8EB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-8.46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7874B7" w14:textId="4807CB50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72DC" w14:textId="6E0FA1E3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0.09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9D4ECC" w14:textId="15F8A97F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27.78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E498A9" w14:textId="0817F8E8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8036" w14:textId="1AB4814C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0.10</w:t>
            </w:r>
          </w:p>
        </w:tc>
      </w:tr>
      <w:tr w:rsidR="00AC74DE" w:rsidRPr="003A34FC" w14:paraId="58CE1D87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8E6" w14:textId="08A81F6D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F9EC" w14:textId="702739D6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mid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8875" w14:textId="6BC79316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1D369" w14:textId="40A619E2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-8.30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833FE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70BC" w14:textId="3748301B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44D7DA" w14:textId="0889ABB9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27.71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9B431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8827" w14:textId="4B26F92D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0.25</w:t>
            </w:r>
          </w:p>
        </w:tc>
      </w:tr>
      <w:tr w:rsidR="00AC74DE" w:rsidRPr="003A34FC" w14:paraId="7F30FF4E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AA51" w14:textId="10DEA1F8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E34E" w14:textId="360E02A1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Glycine mid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072C" w14:textId="7CA737C2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5E2AD" w14:textId="589A863E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-8.37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5C975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79B4" w14:textId="5BA24CC0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FACF4" w14:textId="248D8DB5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27.81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B002E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CD77" w14:textId="7DFB234C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0.09</w:t>
            </w:r>
          </w:p>
        </w:tc>
      </w:tr>
      <w:tr w:rsidR="00AC74DE" w:rsidRPr="003A34FC" w14:paraId="3D255858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5291" w14:textId="3EC8D3B1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48A2" w14:textId="0EAD2CB0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H Std 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6564" w14:textId="20E2D5F9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986E71" w14:textId="43B9C0F3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-16.70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1B8F9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ECB8" w14:textId="3A0A844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D31486" w14:textId="658226C1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9.11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75609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6CC4" w14:textId="24031D7E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0.05</w:t>
            </w:r>
          </w:p>
        </w:tc>
      </w:tr>
      <w:tr w:rsidR="00AC74DE" w:rsidRPr="003A34FC" w14:paraId="6C5B9FD5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0A33" w14:textId="4A6B8066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2564" w14:textId="405A9224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H Std 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1F27" w14:textId="20A5EE47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E135A" w14:textId="54CED03C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-16.58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94B07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B2B" w14:textId="559D22B9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0.21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D76C2" w14:textId="4D159753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9.28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1F2C7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6341" w14:textId="40E39BEA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0.48</w:t>
            </w:r>
          </w:p>
        </w:tc>
      </w:tr>
      <w:tr w:rsidR="00AC74DE" w:rsidRPr="003A34FC" w14:paraId="64B4C9E4" w14:textId="77777777" w:rsidTr="00C00AF6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ABD0" w14:textId="6FED3F3F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Session 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00BB" w14:textId="2514D4EA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Tomato leaves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12A6" w14:textId="21CF5B55" w:rsidR="00AC74DE" w:rsidRPr="003A34FC" w:rsidRDefault="00AC74DE" w:rsidP="00AC74DE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448F1" w14:textId="4618250F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-27.06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F08D6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D7EE" w14:textId="1A241766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0.25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854C" w14:textId="505B237E" w:rsidR="00AC74DE" w:rsidRPr="003A34FC" w:rsidRDefault="006D5560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</w:rPr>
              <w:t>+</w:t>
            </w:r>
            <w:r w:rsidR="00AC74DE" w:rsidRPr="003A34FC">
              <w:rPr>
                <w:rFonts w:ascii="Times New Roman" w:eastAsia="Times New Roman" w:hAnsi="Times New Roman"/>
                <w:color w:val="000000"/>
              </w:rPr>
              <w:t>3.89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AB84" w14:textId="77777777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color w:val="000000"/>
              </w:rPr>
              <w:t>±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F145" w14:textId="54786642" w:rsidR="00AC74DE" w:rsidRPr="003A34FC" w:rsidRDefault="00AC74DE" w:rsidP="00C00AF6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0.10</w:t>
            </w:r>
          </w:p>
        </w:tc>
      </w:tr>
    </w:tbl>
    <w:p w14:paraId="13947D51" w14:textId="45B438DB" w:rsidR="0028562C" w:rsidRDefault="0028562C" w:rsidP="006C3804">
      <w:pPr>
        <w:pStyle w:val="Caption"/>
        <w:keepNext/>
        <w:rPr>
          <w:rFonts w:ascii="Times New Roman" w:hAnsi="Times New Roman"/>
          <w:b w:val="0"/>
          <w:color w:val="auto"/>
          <w:sz w:val="24"/>
          <w:szCs w:val="24"/>
        </w:rPr>
      </w:pPr>
    </w:p>
    <w:p w14:paraId="2DF5FE4E" w14:textId="77777777" w:rsidR="00C13FDD" w:rsidRPr="00C13FDD" w:rsidRDefault="00C13FDD" w:rsidP="00C13FDD"/>
    <w:p w14:paraId="791C173B" w14:textId="51CC823D" w:rsidR="00C13FDD" w:rsidRPr="00102784" w:rsidRDefault="00B9244E" w:rsidP="00102784">
      <w:pPr>
        <w:pStyle w:val="Caption"/>
        <w:keepNext/>
        <w:rPr>
          <w:rFonts w:ascii="Times New Roman" w:hAnsi="Times New Roman"/>
          <w:b w:val="0"/>
          <w:color w:val="auto"/>
          <w:sz w:val="24"/>
          <w:szCs w:val="24"/>
        </w:rPr>
      </w:pPr>
      <w:r w:rsidRPr="003A34FC">
        <w:rPr>
          <w:rFonts w:ascii="Times New Roman" w:hAnsi="Times New Roman"/>
          <w:b w:val="0"/>
          <w:color w:val="auto"/>
          <w:sz w:val="24"/>
          <w:szCs w:val="24"/>
        </w:rPr>
        <w:lastRenderedPageBreak/>
        <w:t>We analyzed 12.5%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of the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40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samples (</w:t>
      </w:r>
      <w:r w:rsidR="00E4297E" w:rsidRPr="003A34FC">
        <w:rPr>
          <w:rFonts w:ascii="Times New Roman" w:hAnsi="Times New Roman"/>
          <w:b w:val="0"/>
          <w:color w:val="auto"/>
          <w:sz w:val="24"/>
          <w:szCs w:val="24"/>
        </w:rPr>
        <w:t>5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>/40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>)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as replicates</w:t>
      </w:r>
      <w:r w:rsidR="00B40DBA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>(</w:t>
      </w:r>
      <w:r w:rsidR="00B40DBA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Table 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>A4)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. The measurement precision specific to the samples (the pooled standard deviation of all samples analyzed in </w:t>
      </w:r>
      <w:r w:rsidR="002870D6" w:rsidRPr="003A34FC">
        <w:rPr>
          <w:rFonts w:ascii="Times New Roman" w:hAnsi="Times New Roman"/>
          <w:b w:val="0"/>
          <w:color w:val="auto"/>
          <w:sz w:val="24"/>
          <w:szCs w:val="24"/>
        </w:rPr>
        <w:t>replicate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>) was ±</w:t>
      </w:r>
      <w:r w:rsidR="00115E1B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.23 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‰ for </w:t>
      </w:r>
      <w:r w:rsidR="0028562C" w:rsidRPr="003A34FC">
        <w:rPr>
          <w:rFonts w:ascii="Times New Roman" w:hAnsi="Times New Roman"/>
          <w:b w:val="0"/>
          <w:i/>
          <w:color w:val="auto"/>
          <w:sz w:val="24"/>
          <w:szCs w:val="24"/>
        </w:rPr>
        <w:t>δ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  <w:vertAlign w:val="superscript"/>
        </w:rPr>
        <w:t>13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C and </w:t>
      </w:r>
      <w:r w:rsidR="005127C3" w:rsidRPr="003A34FC">
        <w:rPr>
          <w:rFonts w:ascii="Times New Roman" w:hAnsi="Times New Roman"/>
          <w:b w:val="0"/>
          <w:color w:val="auto"/>
          <w:sz w:val="24"/>
          <w:szCs w:val="24"/>
        </w:rPr>
        <w:t>±</w:t>
      </w:r>
      <w:r w:rsidR="00115E1B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.12 </w:t>
      </w:r>
      <w:r w:rsidR="005127C3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‰ </w:t>
      </w:r>
      <w:r w:rsidR="0028562C" w:rsidRPr="003A34FC">
        <w:rPr>
          <w:rFonts w:ascii="Times New Roman" w:hAnsi="Times New Roman"/>
          <w:b w:val="0"/>
          <w:i/>
          <w:color w:val="auto"/>
          <w:sz w:val="24"/>
          <w:szCs w:val="24"/>
        </w:rPr>
        <w:t>δ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  <w:vertAlign w:val="superscript"/>
        </w:rPr>
        <w:t>15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>N (</w:t>
      </w:r>
      <w:r w:rsidR="0028562C" w:rsidRPr="003A34FC">
        <w:rPr>
          <w:rFonts w:ascii="Times New Roman" w:hAnsi="Times New Roman"/>
          <w:b w:val="0"/>
          <w:i/>
          <w:color w:val="auto"/>
          <w:sz w:val="24"/>
          <w:szCs w:val="24"/>
        </w:rPr>
        <w:t>df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>=</w:t>
      </w:r>
      <w:r w:rsidR="00115E1B" w:rsidRPr="003A34FC">
        <w:rPr>
          <w:rFonts w:ascii="Times New Roman" w:hAnsi="Times New Roman"/>
          <w:b w:val="0"/>
          <w:color w:val="auto"/>
          <w:sz w:val="24"/>
          <w:szCs w:val="24"/>
        </w:rPr>
        <w:t>9</w:t>
      </w:r>
      <w:r w:rsidR="0028562C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). </w:t>
      </w:r>
    </w:p>
    <w:p w14:paraId="1477AC7A" w14:textId="76F197B6" w:rsidR="00B40DBA" w:rsidRPr="003A34FC" w:rsidRDefault="00B40DBA" w:rsidP="00B40DBA">
      <w:pPr>
        <w:pStyle w:val="Caption"/>
        <w:keepNext/>
        <w:spacing w:after="0"/>
        <w:contextualSpacing/>
        <w:rPr>
          <w:rFonts w:ascii="Times New Roman" w:hAnsi="Times New Roman"/>
          <w:b w:val="0"/>
          <w:color w:val="auto"/>
          <w:sz w:val="24"/>
          <w:szCs w:val="24"/>
        </w:rPr>
      </w:pPr>
      <w:r w:rsidRPr="003A34FC">
        <w:rPr>
          <w:rFonts w:ascii="Times New Roman" w:hAnsi="Times New Roman"/>
          <w:color w:val="auto"/>
          <w:sz w:val="24"/>
          <w:szCs w:val="24"/>
        </w:rPr>
        <w:t xml:space="preserve">Table </w:t>
      </w:r>
      <w:r w:rsidR="00B9244E" w:rsidRPr="003A34FC">
        <w:rPr>
          <w:rFonts w:ascii="Times New Roman" w:hAnsi="Times New Roman"/>
          <w:color w:val="auto"/>
          <w:sz w:val="24"/>
          <w:szCs w:val="24"/>
        </w:rPr>
        <w:t>A4</w:t>
      </w:r>
      <w:r w:rsidRPr="003A34FC">
        <w:rPr>
          <w:rFonts w:ascii="Times New Roman" w:hAnsi="Times New Roman"/>
          <w:color w:val="auto"/>
          <w:sz w:val="24"/>
          <w:szCs w:val="24"/>
        </w:rPr>
        <w:t xml:space="preserve">. </w:t>
      </w:r>
      <w:r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Stable carbon and nitrogen isotopic compositions for all samples analyzed </w:t>
      </w:r>
      <w:r w:rsidR="00B9244E" w:rsidRPr="003A34FC">
        <w:rPr>
          <w:rFonts w:ascii="Times New Roman" w:hAnsi="Times New Roman"/>
          <w:b w:val="0"/>
          <w:color w:val="auto"/>
          <w:sz w:val="24"/>
          <w:szCs w:val="24"/>
        </w:rPr>
        <w:t xml:space="preserve">as replicates. Subscripts indicate the analytical session. </w:t>
      </w:r>
    </w:p>
    <w:p w14:paraId="4E207792" w14:textId="77777777" w:rsidR="00B40DBA" w:rsidRPr="003A34FC" w:rsidRDefault="00B40DBA" w:rsidP="00B40DBA">
      <w:pPr>
        <w:contextualSpacing/>
        <w:rPr>
          <w:rFonts w:ascii="Times New Roman" w:hAnsi="Times New Roman"/>
        </w:rPr>
      </w:pP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12"/>
        <w:gridCol w:w="1025"/>
        <w:gridCol w:w="1205"/>
        <w:gridCol w:w="1205"/>
        <w:gridCol w:w="1205"/>
        <w:gridCol w:w="1205"/>
        <w:gridCol w:w="1205"/>
      </w:tblGrid>
      <w:tr w:rsidR="00453A1D" w:rsidRPr="003A34FC" w14:paraId="7276F903" w14:textId="569A2222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6C2E" w14:textId="6B56C1F7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b/>
                <w:color w:val="000000"/>
              </w:rPr>
            </w:pPr>
            <w:r w:rsidRPr="003A34FC">
              <w:rPr>
                <w:rFonts w:ascii="Times New Roman" w:eastAsia="Times New Roman" w:hAnsi="Times New Roman"/>
                <w:b/>
                <w:color w:val="000000"/>
              </w:rPr>
              <w:t>Sample ID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60796" w14:textId="1039C755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13</w:t>
            </w:r>
            <w:r w:rsidRPr="003A34FC">
              <w:rPr>
                <w:rFonts w:ascii="Times New Roman" w:hAnsi="Times New Roman"/>
                <w:b/>
                <w:bCs/>
              </w:rPr>
              <w:t>C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DEE65" w14:textId="1A9928B4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13</w:t>
            </w:r>
            <w:r w:rsidRPr="003A34FC">
              <w:rPr>
                <w:rFonts w:ascii="Times New Roman" w:hAnsi="Times New Roman"/>
                <w:b/>
                <w:bCs/>
              </w:rPr>
              <w:t>C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578E" w14:textId="161B5082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13</w:t>
            </w:r>
            <w:r w:rsidRPr="003A34FC">
              <w:rPr>
                <w:rFonts w:ascii="Times New Roman" w:hAnsi="Times New Roman"/>
                <w:b/>
                <w:bCs/>
              </w:rPr>
              <w:t>C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BD9D" w14:textId="05BBF0ED" w:rsidR="00453A1D" w:rsidRPr="003A34FC" w:rsidRDefault="00453A1D" w:rsidP="00B40DBA">
            <w:pPr>
              <w:spacing w:after="0"/>
              <w:contextualSpacing/>
              <w:rPr>
                <w:rFonts w:ascii="Times New Roman" w:hAnsi="Times New Roman"/>
                <w:b/>
                <w:bCs/>
                <w:i/>
                <w:iCs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15</w:t>
            </w:r>
            <w:r w:rsidRPr="003A34FC">
              <w:rPr>
                <w:rFonts w:ascii="Times New Roman" w:hAnsi="Times New Roman"/>
                <w:b/>
                <w:bCs/>
              </w:rPr>
              <w:t>N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CBA4" w14:textId="27A7CA25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15</w:t>
            </w:r>
            <w:r w:rsidRPr="003A34FC">
              <w:rPr>
                <w:rFonts w:ascii="Times New Roman" w:hAnsi="Times New Roman"/>
                <w:b/>
                <w:bCs/>
              </w:rPr>
              <w:t>N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5148" w14:textId="5B6FE588" w:rsidR="00453A1D" w:rsidRPr="003A34FC" w:rsidRDefault="00453A1D" w:rsidP="00B40DBA">
            <w:pPr>
              <w:spacing w:after="0"/>
              <w:contextualSpacing/>
              <w:rPr>
                <w:rFonts w:ascii="Times New Roman" w:hAnsi="Times New Roman"/>
                <w:b/>
                <w:bCs/>
                <w:i/>
                <w:iCs/>
              </w:rPr>
            </w:pPr>
            <w:r w:rsidRPr="003A34FC">
              <w:rPr>
                <w:rFonts w:ascii="Times New Roman" w:hAnsi="Times New Roman"/>
                <w:b/>
                <w:bCs/>
                <w:i/>
                <w:iCs/>
              </w:rPr>
              <w:t>δ</w:t>
            </w:r>
            <w:r w:rsidRPr="003A34FC">
              <w:rPr>
                <w:rFonts w:ascii="Times New Roman" w:hAnsi="Times New Roman"/>
                <w:b/>
                <w:bCs/>
                <w:vertAlign w:val="superscript"/>
              </w:rPr>
              <w:t>15</w:t>
            </w:r>
            <w:r w:rsidRPr="003A34FC">
              <w:rPr>
                <w:rFonts w:ascii="Times New Roman" w:hAnsi="Times New Roman"/>
                <w:b/>
                <w:bCs/>
              </w:rPr>
              <w:t>N</w:t>
            </w:r>
            <w:r w:rsidRPr="003A34FC">
              <w:rPr>
                <w:rFonts w:ascii="Times New Roman" w:hAnsi="Times New Roman"/>
                <w:b/>
                <w:bCs/>
                <w:vertAlign w:val="subscript"/>
              </w:rPr>
              <w:t>3</w:t>
            </w:r>
          </w:p>
        </w:tc>
      </w:tr>
      <w:tr w:rsidR="00453A1D" w:rsidRPr="003A34FC" w14:paraId="2E0BBC7C" w14:textId="43673CAE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8A55" w14:textId="20362143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ACL 10050a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31067E" w14:textId="2AEAA236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-17.27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EDDB" w14:textId="3D1EFE8A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-17.35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7C1B" w14:textId="611D8C0C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-17.69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D095" w14:textId="5DF905DA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8.69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068D" w14:textId="0C1098BF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8.61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AD0F" w14:textId="2F1ACE61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8.63</w:t>
            </w:r>
          </w:p>
        </w:tc>
      </w:tr>
      <w:tr w:rsidR="00453A1D" w:rsidRPr="003A34FC" w14:paraId="6A81CA96" w14:textId="24EF0E17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E696" w14:textId="5712AF66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ACL 10030e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50FC77" w14:textId="48A893AD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29A24" w14:textId="3E423AF4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-14.36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3DC9" w14:textId="239CD218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-14.61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DBC6" w14:textId="63CDEA6D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8.95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EC49" w14:textId="36FC62F9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9.00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294" w14:textId="2764E8FA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8.94</w:t>
            </w:r>
          </w:p>
        </w:tc>
      </w:tr>
      <w:tr w:rsidR="00453A1D" w:rsidRPr="003A34FC" w14:paraId="010B8613" w14:textId="4592E069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0F1F" w14:textId="4ED1D9FF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ACL 10040a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A40394" w14:textId="7613F241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-18.25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07B6A" w14:textId="6F311054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-18.65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CEC9" w14:textId="666A7EE7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-18.55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01B9" w14:textId="5F9E502D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11.65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C412" w14:textId="3A9EB51B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11.96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0247" w14:textId="71E0B50B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11.54</w:t>
            </w:r>
          </w:p>
        </w:tc>
      </w:tr>
      <w:tr w:rsidR="00453A1D" w:rsidRPr="003A34FC" w14:paraId="314C185A" w14:textId="643C1803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3809" w14:textId="1E22CDCF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ACL 10029a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827234" w14:textId="0124EA31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-14.78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9182" w14:textId="2D0C3CF3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-14.27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D35A" w14:textId="0DA574A9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-14.63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B525" w14:textId="219099C9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6.99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08B3" w14:textId="5A04C6DE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7.03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A19" w14:textId="201ACA99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6.89</w:t>
            </w:r>
          </w:p>
        </w:tc>
      </w:tr>
      <w:tr w:rsidR="00453A1D" w:rsidRPr="003A34FC" w14:paraId="1949EB6B" w14:textId="61FA4735" w:rsidTr="00453A1D">
        <w:trPr>
          <w:trHeight w:val="30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A546" w14:textId="1E339674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ACL 10033a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E2127" w14:textId="08287173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-17.12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D440" w14:textId="0AFDDB26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-16.98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5120" w14:textId="665C93BF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10AE" w14:textId="00B57E7A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10.02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031A" w14:textId="2C2296FC" w:rsidR="00453A1D" w:rsidRPr="003A34FC" w:rsidRDefault="00454302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3A34FC">
              <w:rPr>
                <w:rFonts w:ascii="Times New Roman" w:eastAsia="Times New Roman" w:hAnsi="Times New Roman"/>
                <w:color w:val="000000"/>
              </w:rPr>
              <w:t>10.25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AC45" w14:textId="77777777" w:rsidR="00453A1D" w:rsidRPr="003A34FC" w:rsidRDefault="00453A1D" w:rsidP="00B40DBA">
            <w:pPr>
              <w:spacing w:after="0"/>
              <w:contextualSpacing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20D131FE" w14:textId="77777777" w:rsidR="00B40DBA" w:rsidRPr="003A34FC" w:rsidRDefault="00B40DBA" w:rsidP="00B40DBA">
      <w:pPr>
        <w:rPr>
          <w:rFonts w:ascii="Times New Roman" w:hAnsi="Times New Roman"/>
        </w:rPr>
      </w:pPr>
    </w:p>
    <w:p w14:paraId="1F82ED56" w14:textId="16AAFFFA" w:rsidR="006F4155" w:rsidRPr="003A34FC" w:rsidRDefault="0028562C" w:rsidP="006F4155">
      <w:pPr>
        <w:contextualSpacing/>
        <w:rPr>
          <w:rFonts w:ascii="Times New Roman" w:hAnsi="Times New Roman"/>
          <w:b/>
        </w:rPr>
      </w:pPr>
      <w:r w:rsidRPr="003A34FC">
        <w:rPr>
          <w:rFonts w:ascii="Times New Roman" w:hAnsi="Times New Roman"/>
          <w:b/>
        </w:rPr>
        <w:t xml:space="preserve">Standard </w:t>
      </w:r>
      <w:r w:rsidR="006F4155" w:rsidRPr="003A34FC">
        <w:rPr>
          <w:rFonts w:ascii="Times New Roman" w:hAnsi="Times New Roman"/>
          <w:b/>
        </w:rPr>
        <w:t>Uncertainty</w:t>
      </w:r>
    </w:p>
    <w:p w14:paraId="7CD7C691" w14:textId="5129BA85" w:rsidR="006F4155" w:rsidRDefault="0097615E" w:rsidP="006F4155">
      <w:pPr>
        <w:contextualSpacing/>
        <w:rPr>
          <w:rFonts w:ascii="Times New Roman" w:hAnsi="Times New Roman"/>
        </w:rPr>
      </w:pPr>
      <w:r w:rsidRPr="003A34FC">
        <w:rPr>
          <w:rFonts w:ascii="Times New Roman" w:hAnsi="Times New Roman"/>
        </w:rPr>
        <w:t>We estimated s</w:t>
      </w:r>
      <w:r w:rsidR="0028562C" w:rsidRPr="003A34FC">
        <w:rPr>
          <w:rFonts w:ascii="Times New Roman" w:hAnsi="Times New Roman"/>
        </w:rPr>
        <w:t>tandard</w:t>
      </w:r>
      <w:r w:rsidR="006F4155" w:rsidRPr="003A34FC">
        <w:rPr>
          <w:rFonts w:ascii="Times New Roman" w:hAnsi="Times New Roman"/>
        </w:rPr>
        <w:t xml:space="preserve"> uncertainty for the </w:t>
      </w:r>
      <w:r w:rsidR="006F4155" w:rsidRPr="003A34FC">
        <w:rPr>
          <w:rFonts w:ascii="Times New Roman" w:hAnsi="Times New Roman"/>
          <w:i/>
        </w:rPr>
        <w:t>δ</w:t>
      </w:r>
      <w:r w:rsidR="006F4155" w:rsidRPr="003A34FC">
        <w:rPr>
          <w:rFonts w:ascii="Times New Roman" w:hAnsi="Times New Roman"/>
          <w:vertAlign w:val="superscript"/>
        </w:rPr>
        <w:t>13</w:t>
      </w:r>
      <w:r w:rsidR="006F4155" w:rsidRPr="003A34FC">
        <w:rPr>
          <w:rFonts w:ascii="Times New Roman" w:hAnsi="Times New Roman"/>
        </w:rPr>
        <w:t xml:space="preserve">C and </w:t>
      </w:r>
      <w:r w:rsidR="006F4155" w:rsidRPr="003A34FC">
        <w:rPr>
          <w:rFonts w:ascii="Times New Roman" w:hAnsi="Times New Roman"/>
          <w:i/>
        </w:rPr>
        <w:t>δ</w:t>
      </w:r>
      <w:r w:rsidR="006F4155" w:rsidRPr="003A34FC">
        <w:rPr>
          <w:rFonts w:ascii="Times New Roman" w:hAnsi="Times New Roman"/>
          <w:vertAlign w:val="superscript"/>
        </w:rPr>
        <w:t>15</w:t>
      </w:r>
      <w:r w:rsidR="006F4155" w:rsidRPr="003A34FC">
        <w:rPr>
          <w:rFonts w:ascii="Times New Roman" w:hAnsi="Times New Roman"/>
        </w:rPr>
        <w:t>N measurements of the samples (</w:t>
      </w:r>
      <w:r w:rsidR="006F4155" w:rsidRPr="003A34FC">
        <w:rPr>
          <w:rFonts w:ascii="Times New Roman" w:hAnsi="Times New Roman"/>
          <w:i/>
        </w:rPr>
        <w:t>u</w:t>
      </w:r>
      <w:r w:rsidR="006F4155" w:rsidRPr="003A34FC">
        <w:rPr>
          <w:rFonts w:ascii="Times New Roman" w:hAnsi="Times New Roman"/>
          <w:i/>
          <w:vertAlign w:val="subscript"/>
        </w:rPr>
        <w:t>s</w:t>
      </w:r>
      <w:r w:rsidR="006F4155" w:rsidRPr="003A34FC">
        <w:rPr>
          <w:rFonts w:ascii="Times New Roman" w:hAnsi="Times New Roman"/>
        </w:rPr>
        <w:t xml:space="preserve">) </w:t>
      </w:r>
      <w:r w:rsidR="00AC74DE" w:rsidRPr="003A34FC">
        <w:rPr>
          <w:rFonts w:ascii="Times New Roman" w:hAnsi="Times New Roman"/>
        </w:rPr>
        <w:t xml:space="preserve">using </w:t>
      </w:r>
      <w:r w:rsidR="00DE5FB3" w:rsidRPr="003A34FC">
        <w:rPr>
          <w:rFonts w:ascii="Times New Roman" w:hAnsi="Times New Roman"/>
        </w:rPr>
        <w:t>the spreadsheet calculations presented in Appendix G of</w:t>
      </w:r>
      <w:r w:rsidR="00AC74DE" w:rsidRPr="003A34FC">
        <w:rPr>
          <w:rFonts w:ascii="Times New Roman" w:hAnsi="Times New Roman"/>
        </w:rPr>
        <w:t xml:space="preserve"> Szpak et al.</w:t>
      </w:r>
      <w:r w:rsidR="00115E1B" w:rsidRPr="003A34FC">
        <w:rPr>
          <w:rFonts w:ascii="Times New Roman" w:hAnsi="Times New Roman"/>
        </w:rPr>
        <w:t xml:space="preserve"> </w:t>
      </w:r>
      <w:r w:rsidR="00AC74DE" w:rsidRPr="003A34FC">
        <w:rPr>
          <w:rFonts w:ascii="Times New Roman" w:hAnsi="Times New Roman"/>
        </w:rPr>
        <w:fldChar w:fldCharType="begin"/>
      </w:r>
      <w:r w:rsidR="00C00AF6" w:rsidRPr="003A34FC">
        <w:rPr>
          <w:rFonts w:ascii="Times New Roman" w:hAnsi="Times New Roman"/>
        </w:rPr>
        <w:instrText xml:space="preserve"> ADDIN EN.CITE &lt;EndNote&gt;&lt;Cite ExcludeAuth="1"&gt;&lt;Author&gt;Szpak&lt;/Author&gt;&lt;Year&gt;2017&lt;/Year&gt;&lt;RecNum&gt;2326&lt;/RecNum&gt;&lt;DisplayText&gt;(2017)&lt;/DisplayText&gt;&lt;record&gt;&lt;rec-number&gt;2326&lt;/rec-number&gt;&lt;foreign-keys&gt;&lt;key app="EN" db-id="a0xstfxfwvfap9etf21xwada5v9dra0arpe2" timestamp="1606223935"&gt;2326&lt;/key&gt;&lt;/foreign-keys&gt;&lt;ref-type name="Journal Article"&gt;17&lt;/ref-type&gt;&lt;contributors&gt;&lt;authors&gt;&lt;author&gt;Szpak, Paul&lt;/author&gt;&lt;author&gt;Metcalfe, Jessica Z&lt;/author&gt;&lt;author&gt;Macdonald, Rebecca A&lt;/author&gt;&lt;/authors&gt;&lt;/contributors&gt;&lt;titles&gt;&lt;title&gt;Best practices for calibrating and reporting stable isotope measurements in archaeology&lt;/title&gt;&lt;secondary-title&gt;Journal of Archaeological Science: Reports&lt;/secondary-title&gt;&lt;/titles&gt;&lt;periodical&gt;&lt;full-title&gt;Journal of Archaeological Science: Reports&lt;/full-title&gt;&lt;/periodical&gt;&lt;pages&gt;609-616&lt;/pages&gt;&lt;volume&gt;13&lt;/volume&gt;&lt;dates&gt;&lt;year&gt;2017&lt;/year&gt;&lt;/dates&gt;&lt;isbn&gt;2352-409X&lt;/isbn&gt;&lt;urls&gt;&lt;/urls&gt;&lt;/record&gt;&lt;/Cite&gt;&lt;/EndNote&gt;</w:instrText>
      </w:r>
      <w:r w:rsidR="00AC74DE" w:rsidRPr="003A34FC">
        <w:rPr>
          <w:rFonts w:ascii="Times New Roman" w:hAnsi="Times New Roman"/>
        </w:rPr>
        <w:fldChar w:fldCharType="separate"/>
      </w:r>
      <w:r w:rsidR="00C00AF6" w:rsidRPr="003A34FC">
        <w:rPr>
          <w:rFonts w:ascii="Times New Roman" w:hAnsi="Times New Roman"/>
          <w:noProof/>
        </w:rPr>
        <w:t>(2017)</w:t>
      </w:r>
      <w:r w:rsidR="00AC74DE" w:rsidRPr="003A34FC">
        <w:rPr>
          <w:rFonts w:ascii="Times New Roman" w:hAnsi="Times New Roman"/>
        </w:rPr>
        <w:fldChar w:fldCharType="end"/>
      </w:r>
      <w:r w:rsidR="00AC74DE" w:rsidRPr="003A34FC">
        <w:rPr>
          <w:rFonts w:ascii="Times New Roman" w:hAnsi="Times New Roman"/>
        </w:rPr>
        <w:t xml:space="preserve">. </w:t>
      </w:r>
      <w:r w:rsidRPr="003A34FC">
        <w:rPr>
          <w:rFonts w:ascii="Times New Roman" w:hAnsi="Times New Roman"/>
        </w:rPr>
        <w:t>This</w:t>
      </w:r>
      <w:r w:rsidR="0049649C" w:rsidRPr="003A34FC">
        <w:rPr>
          <w:rFonts w:ascii="Times New Roman" w:hAnsi="Times New Roman"/>
        </w:rPr>
        <w:t xml:space="preserve"> </w:t>
      </w:r>
      <w:r w:rsidRPr="003A34FC">
        <w:rPr>
          <w:rFonts w:ascii="Times New Roman" w:hAnsi="Times New Roman"/>
        </w:rPr>
        <w:t>was</w:t>
      </w:r>
      <w:r w:rsidR="0049649C" w:rsidRPr="003A34FC">
        <w:rPr>
          <w:rFonts w:ascii="Times New Roman" w:hAnsi="Times New Roman"/>
        </w:rPr>
        <w:t xml:space="preserve"> ±0.</w:t>
      </w:r>
      <w:r w:rsidRPr="003A34FC">
        <w:rPr>
          <w:rFonts w:ascii="Times New Roman" w:hAnsi="Times New Roman"/>
        </w:rPr>
        <w:t>29</w:t>
      </w:r>
      <w:r w:rsidR="0049649C" w:rsidRPr="003A34FC">
        <w:rPr>
          <w:rFonts w:ascii="Times New Roman" w:hAnsi="Times New Roman"/>
        </w:rPr>
        <w:t xml:space="preserve"> ‰ for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13</w:t>
      </w:r>
      <w:r w:rsidR="0049649C" w:rsidRPr="003A34FC">
        <w:rPr>
          <w:rFonts w:ascii="Times New Roman" w:hAnsi="Times New Roman"/>
        </w:rPr>
        <w:t>C and ±0.</w:t>
      </w:r>
      <w:r w:rsidRPr="003A34FC">
        <w:rPr>
          <w:rFonts w:ascii="Times New Roman" w:hAnsi="Times New Roman"/>
        </w:rPr>
        <w:t>2</w:t>
      </w:r>
      <w:r w:rsidR="00115E1B" w:rsidRPr="003A34FC">
        <w:rPr>
          <w:rFonts w:ascii="Times New Roman" w:hAnsi="Times New Roman"/>
        </w:rPr>
        <w:t>6</w:t>
      </w:r>
      <w:r w:rsidR="0049649C" w:rsidRPr="003A34FC">
        <w:rPr>
          <w:rFonts w:ascii="Times New Roman" w:hAnsi="Times New Roman"/>
        </w:rPr>
        <w:t xml:space="preserve"> ‰ for </w:t>
      </w:r>
      <w:r w:rsidR="0049649C" w:rsidRPr="003A34FC">
        <w:rPr>
          <w:rFonts w:ascii="Times New Roman" w:hAnsi="Times New Roman"/>
          <w:i/>
        </w:rPr>
        <w:t>δ</w:t>
      </w:r>
      <w:r w:rsidR="0049649C" w:rsidRPr="003A34FC">
        <w:rPr>
          <w:rFonts w:ascii="Times New Roman" w:hAnsi="Times New Roman"/>
          <w:vertAlign w:val="superscript"/>
        </w:rPr>
        <w:t>15</w:t>
      </w:r>
      <w:r w:rsidR="0049649C" w:rsidRPr="003A34FC">
        <w:rPr>
          <w:rFonts w:ascii="Times New Roman" w:hAnsi="Times New Roman"/>
        </w:rPr>
        <w:t>N</w:t>
      </w:r>
      <w:r w:rsidR="006F4155" w:rsidRPr="003A34FC">
        <w:rPr>
          <w:rFonts w:ascii="Times New Roman" w:hAnsi="Times New Roman"/>
        </w:rPr>
        <w:t xml:space="preserve">. </w:t>
      </w:r>
    </w:p>
    <w:p w14:paraId="48E56565" w14:textId="52FF76B1" w:rsidR="00C13FDD" w:rsidRDefault="00C13FDD" w:rsidP="006F4155">
      <w:pPr>
        <w:contextualSpacing/>
        <w:rPr>
          <w:rFonts w:ascii="Times New Roman" w:hAnsi="Times New Roman"/>
          <w:bCs/>
        </w:rPr>
      </w:pPr>
    </w:p>
    <w:p w14:paraId="6A2DE6ED" w14:textId="7E0103AF" w:rsidR="00F8021C" w:rsidRDefault="00F8021C" w:rsidP="00F8021C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 w14:paraId="07F75EDE" w14:textId="77777777" w:rsidR="00F8021C" w:rsidRDefault="00F8021C" w:rsidP="00F8021C">
      <w:pPr>
        <w:contextualSpacing/>
        <w:rPr>
          <w:rFonts w:ascii="Times New Roman" w:hAnsi="Times New Roman"/>
          <w:b/>
        </w:rPr>
      </w:pPr>
    </w:p>
    <w:p w14:paraId="298C9A46" w14:textId="690E71BA" w:rsidR="00F8021C" w:rsidRPr="00F8021C" w:rsidRDefault="00AC74DE" w:rsidP="00F8021C">
      <w:pPr>
        <w:contextualSpacing/>
        <w:rPr>
          <w:rFonts w:ascii="Times New Roman" w:hAnsi="Times New Roman"/>
          <w:b/>
        </w:rPr>
      </w:pPr>
      <w:r w:rsidRPr="003A34FC">
        <w:fldChar w:fldCharType="begin"/>
      </w:r>
      <w:r w:rsidRPr="003A34FC">
        <w:instrText xml:space="preserve"> ADDIN EN.REFLIST </w:instrText>
      </w:r>
      <w:r w:rsidRPr="003A34FC">
        <w:fldChar w:fldCharType="separate"/>
      </w:r>
      <w:r w:rsidR="00F8021C" w:rsidRPr="00F8021C">
        <w:rPr>
          <w:noProof/>
        </w:rPr>
        <w:t>Coplen, T.B., 1994. Reporting of stable hydrogen, carbon, and oxygen isotopic abundances (technical report), Journal of Pure Applied Chemistry 66, 273-276.</w:t>
      </w:r>
    </w:p>
    <w:p w14:paraId="17AA1EB3" w14:textId="77777777" w:rsidR="00F8021C" w:rsidRPr="00F8021C" w:rsidRDefault="00F8021C" w:rsidP="00F8021C">
      <w:pPr>
        <w:pStyle w:val="EndNoteBibliography"/>
        <w:spacing w:after="240"/>
        <w:rPr>
          <w:noProof/>
        </w:rPr>
      </w:pPr>
      <w:r w:rsidRPr="00F8021C">
        <w:rPr>
          <w:noProof/>
        </w:rPr>
        <w:t>Knudson, K.J., Peters, A.H., Cagigao, E.T., 2015. Paleodiet in the Paracas Necropolis of Wari Kayan: carbon and nitrogen isotope analysis of keratin samples from the south coast of Peru, Journal of Archaeological Science 55, 231-243.</w:t>
      </w:r>
    </w:p>
    <w:p w14:paraId="3AB7B67C" w14:textId="77777777" w:rsidR="00F8021C" w:rsidRPr="00F8021C" w:rsidRDefault="00F8021C" w:rsidP="00F8021C">
      <w:pPr>
        <w:pStyle w:val="EndNoteBibliography"/>
        <w:spacing w:after="240"/>
        <w:rPr>
          <w:noProof/>
        </w:rPr>
      </w:pPr>
      <w:r w:rsidRPr="00F8021C">
        <w:rPr>
          <w:noProof/>
        </w:rPr>
        <w:t>Roberts, P., Fernandes, R., Craig, O.E., Larsen, T., Lucquin, A., Swift, J., Zech, J., 2018. Calling all archaeologists: Guidelines for terminology, methodology, data handling, and reporting when undertaking and reviewing stable isotope applications in archaeology, Rapid Communications in Mass Spectrometry 32, 361-372.</w:t>
      </w:r>
    </w:p>
    <w:p w14:paraId="69E1A50D" w14:textId="77777777" w:rsidR="00F8021C" w:rsidRPr="00F8021C" w:rsidRDefault="00F8021C" w:rsidP="00F8021C">
      <w:pPr>
        <w:pStyle w:val="EndNoteBibliography"/>
        <w:rPr>
          <w:noProof/>
        </w:rPr>
      </w:pPr>
      <w:r w:rsidRPr="00F8021C">
        <w:rPr>
          <w:noProof/>
        </w:rPr>
        <w:t>Szpak, P., Metcalfe, J.Z., Macdonald, R.A., 2017. Best practices for calibrating and reporting stable isotope measurements in archaeology, Journal of Archaeological Science: Reports 13, 609-616.</w:t>
      </w:r>
    </w:p>
    <w:p w14:paraId="4C43222C" w14:textId="23CC262F" w:rsidR="006C3804" w:rsidRPr="003A34FC" w:rsidRDefault="00AC74DE">
      <w:pPr>
        <w:contextualSpacing/>
        <w:rPr>
          <w:rFonts w:ascii="Times New Roman" w:hAnsi="Times New Roman"/>
        </w:rPr>
      </w:pPr>
      <w:r w:rsidRPr="003A34FC">
        <w:rPr>
          <w:rFonts w:ascii="Times New Roman" w:hAnsi="Times New Roman"/>
        </w:rPr>
        <w:fldChar w:fldCharType="end"/>
      </w:r>
    </w:p>
    <w:sectPr w:rsidR="006C3804" w:rsidRPr="003A34FC" w:rsidSect="00E62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rchaeological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xstfxfwvfap9etf21xwada5v9dra0arpe2&quot;&gt;2021_references2&lt;record-ids&gt;&lt;item&gt;910&lt;/item&gt;&lt;item&gt;1268&lt;/item&gt;&lt;item&gt;2221&lt;/item&gt;&lt;item&gt;2326&lt;/item&gt;&lt;/record-ids&gt;&lt;/item&gt;&lt;/Libraries&gt;"/>
  </w:docVars>
  <w:rsids>
    <w:rsidRoot w:val="006C3804"/>
    <w:rsid w:val="000045F6"/>
    <w:rsid w:val="00015A4C"/>
    <w:rsid w:val="00102784"/>
    <w:rsid w:val="001040C2"/>
    <w:rsid w:val="00115E1B"/>
    <w:rsid w:val="001C45D4"/>
    <w:rsid w:val="001F3B85"/>
    <w:rsid w:val="00244E67"/>
    <w:rsid w:val="00245868"/>
    <w:rsid w:val="0026381D"/>
    <w:rsid w:val="0028212A"/>
    <w:rsid w:val="0028562C"/>
    <w:rsid w:val="002870D6"/>
    <w:rsid w:val="00303792"/>
    <w:rsid w:val="00315D10"/>
    <w:rsid w:val="003A34FC"/>
    <w:rsid w:val="00453A1D"/>
    <w:rsid w:val="00454302"/>
    <w:rsid w:val="00474410"/>
    <w:rsid w:val="0049649C"/>
    <w:rsid w:val="005127C3"/>
    <w:rsid w:val="00583B8E"/>
    <w:rsid w:val="00600A8B"/>
    <w:rsid w:val="00673081"/>
    <w:rsid w:val="006C3804"/>
    <w:rsid w:val="006D5560"/>
    <w:rsid w:val="006F4155"/>
    <w:rsid w:val="00815C26"/>
    <w:rsid w:val="0084224C"/>
    <w:rsid w:val="00861254"/>
    <w:rsid w:val="0097615E"/>
    <w:rsid w:val="00A04A94"/>
    <w:rsid w:val="00A85629"/>
    <w:rsid w:val="00AA1A4E"/>
    <w:rsid w:val="00AC4038"/>
    <w:rsid w:val="00AC74DE"/>
    <w:rsid w:val="00B40DBA"/>
    <w:rsid w:val="00B42BEB"/>
    <w:rsid w:val="00B9244E"/>
    <w:rsid w:val="00BF028C"/>
    <w:rsid w:val="00C00AF6"/>
    <w:rsid w:val="00C13FDD"/>
    <w:rsid w:val="00C36024"/>
    <w:rsid w:val="00C826E9"/>
    <w:rsid w:val="00C945A4"/>
    <w:rsid w:val="00CB2BF0"/>
    <w:rsid w:val="00D11208"/>
    <w:rsid w:val="00DD3429"/>
    <w:rsid w:val="00DE5FB3"/>
    <w:rsid w:val="00E11CC0"/>
    <w:rsid w:val="00E4297E"/>
    <w:rsid w:val="00E620BD"/>
    <w:rsid w:val="00EE5F2F"/>
    <w:rsid w:val="00EF1933"/>
    <w:rsid w:val="00F358BF"/>
    <w:rsid w:val="00F464AF"/>
    <w:rsid w:val="00F75D3B"/>
    <w:rsid w:val="00F8021C"/>
    <w:rsid w:val="00F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2D1FD"/>
  <w14:defaultImageDpi w14:val="330"/>
  <w15:docId w15:val="{06967E4C-D479-4814-AEB4-D44D5B7E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04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C3804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C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8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04"/>
    <w:rPr>
      <w:rFonts w:ascii="Lucida Grande" w:eastAsia="Cambria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015A4C"/>
    <w:pPr>
      <w:spacing w:after="0"/>
      <w:jc w:val="center"/>
    </w:pPr>
    <w:rPr>
      <w:rFonts w:ascii="Times New Roman" w:hAnsi="Times New Roman"/>
    </w:rPr>
  </w:style>
  <w:style w:type="paragraph" w:customStyle="1" w:styleId="EndNoteBibliography">
    <w:name w:val="EndNote Bibliography"/>
    <w:basedOn w:val="Normal"/>
    <w:rsid w:val="00015A4C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87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0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0D6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0D6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Beth Scaffidi</dc:creator>
  <cp:lastModifiedBy>Cassandra Scaffidi</cp:lastModifiedBy>
  <cp:revision>15</cp:revision>
  <dcterms:created xsi:type="dcterms:W3CDTF">2021-06-17T20:14:00Z</dcterms:created>
  <dcterms:modified xsi:type="dcterms:W3CDTF">2021-06-24T13:48:00Z</dcterms:modified>
</cp:coreProperties>
</file>