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49972" w14:textId="65944806" w:rsidR="00015A4C" w:rsidRPr="00DB1957" w:rsidRDefault="00EE5F2F" w:rsidP="00DB1957">
      <w:pPr>
        <w:rPr>
          <w:rFonts w:ascii="Times New Roman" w:hAnsi="Times New Roman"/>
          <w:b/>
        </w:rPr>
      </w:pPr>
      <w:r w:rsidRPr="00DB1957">
        <w:rPr>
          <w:rFonts w:ascii="Times New Roman" w:hAnsi="Times New Roman"/>
          <w:b/>
        </w:rPr>
        <w:t xml:space="preserve">Appendix </w:t>
      </w:r>
      <w:r w:rsidR="005B62FE" w:rsidRPr="00DB1957">
        <w:rPr>
          <w:rFonts w:ascii="Times New Roman" w:hAnsi="Times New Roman"/>
          <w:b/>
        </w:rPr>
        <w:t>C</w:t>
      </w:r>
      <w:r w:rsidRPr="00DB1957">
        <w:rPr>
          <w:rFonts w:ascii="Times New Roman" w:hAnsi="Times New Roman"/>
          <w:b/>
        </w:rPr>
        <w:t xml:space="preserve"> </w:t>
      </w:r>
      <w:r w:rsidR="00DB1957">
        <w:rPr>
          <w:rFonts w:ascii="Times New Roman" w:hAnsi="Times New Roman"/>
          <w:b/>
        </w:rPr>
        <w:t>–</w:t>
      </w:r>
      <w:r w:rsidRPr="00DB1957">
        <w:rPr>
          <w:rFonts w:ascii="Times New Roman" w:hAnsi="Times New Roman"/>
          <w:b/>
        </w:rPr>
        <w:t xml:space="preserve"> </w:t>
      </w:r>
      <w:r w:rsidR="00DB1957" w:rsidRPr="00DB1957">
        <w:rPr>
          <w:rFonts w:ascii="Times New Roman" w:hAnsi="Times New Roman"/>
          <w:bCs/>
        </w:rPr>
        <w:t xml:space="preserve">Preparation, </w:t>
      </w:r>
      <w:r w:rsidR="00015A4C" w:rsidRPr="00DB1957">
        <w:rPr>
          <w:rFonts w:ascii="Times New Roman" w:hAnsi="Times New Roman"/>
        </w:rPr>
        <w:t>Calibration</w:t>
      </w:r>
      <w:r w:rsidR="00DB1957">
        <w:rPr>
          <w:rFonts w:ascii="Times New Roman" w:hAnsi="Times New Roman"/>
        </w:rPr>
        <w:t>,</w:t>
      </w:r>
      <w:r w:rsidR="00015A4C" w:rsidRPr="00DB1957">
        <w:rPr>
          <w:rFonts w:ascii="Times New Roman" w:hAnsi="Times New Roman"/>
        </w:rPr>
        <w:t xml:space="preserve"> and Analytical Uncertainty for Isotopic Measurements</w:t>
      </w:r>
    </w:p>
    <w:p w14:paraId="4FE51F00" w14:textId="5C78032B" w:rsidR="00DB1957" w:rsidRDefault="00DB1957" w:rsidP="00DB1957">
      <w:pPr>
        <w:rPr>
          <w:rFonts w:ascii="Times New Roman" w:hAnsi="Times New Roman"/>
        </w:rPr>
      </w:pPr>
      <w:r>
        <w:rPr>
          <w:rFonts w:ascii="Times New Roman" w:hAnsi="Times New Roman"/>
        </w:rPr>
        <w:t>To prepare samples for analysis, we</w:t>
      </w:r>
      <w:r w:rsidRPr="001D3BD5">
        <w:rPr>
          <w:rFonts w:ascii="Times New Roman" w:hAnsi="Times New Roman"/>
        </w:rPr>
        <w:t xml:space="preserve"> crushed bone into 1-2 mm fragments, sonicated with ultrapure water for 30 minutes, and used a modified </w:t>
      </w:r>
      <w:proofErr w:type="spellStart"/>
      <w:r w:rsidRPr="001D3BD5">
        <w:rPr>
          <w:rFonts w:ascii="Times New Roman" w:hAnsi="Times New Roman"/>
        </w:rPr>
        <w:t>Longin</w:t>
      </w:r>
      <w:proofErr w:type="spellEnd"/>
      <w:r w:rsidRPr="001D3BD5">
        <w:rPr>
          <w:rFonts w:ascii="Times New Roman" w:hAnsi="Times New Roman"/>
        </w:rPr>
        <w:t xml:space="preserve"> </w:t>
      </w:r>
      <w:r w:rsidRPr="001D3BD5">
        <w:rPr>
          <w:rFonts w:ascii="Times New Roman" w:hAnsi="Times New Roman"/>
        </w:rPr>
        <w:fldChar w:fldCharType="begin"/>
      </w:r>
      <w:r>
        <w:rPr>
          <w:rFonts w:ascii="Times New Roman" w:hAnsi="Times New Roman"/>
        </w:rPr>
        <w:instrText xml:space="preserve"> ADDIN EN.CITE &lt;EndNote&gt;&lt;Cite ExcludeAuth="1"&gt;&lt;Author&gt;Longin&lt;/Author&gt;&lt;Year&gt;1971&lt;/Year&gt;&lt;RecNum&gt;2333&lt;/RecNum&gt;&lt;DisplayText&gt;(1971)&lt;/DisplayText&gt;&lt;record&gt;&lt;rec-number&gt;2333&lt;/rec-number&gt;&lt;foreign-keys&gt;&lt;key app="EN" db-id="a0xstfxfwvfap9etf21xwada5v9dra0arpe2" timestamp="1607958151"&gt;2333&lt;/key&gt;&lt;/foreign-keys&gt;&lt;ref-type name="Journal Article"&gt;17&lt;/ref-type&gt;&lt;contributors&gt;&lt;authors&gt;&lt;author&gt;Longin, Robert&lt;/author&gt;&lt;/authors&gt;&lt;/contributors&gt;&lt;titles&gt;&lt;title&gt;New method of collagen extraction for radiocarbon dating&lt;/title&gt;&lt;secondary-title&gt;Nature&lt;/secondary-title&gt;&lt;/titles&gt;&lt;periodical&gt;&lt;full-title&gt;Nature&lt;/full-title&gt;&lt;/periodical&gt;&lt;pages&gt;241-242&lt;/pages&gt;&lt;volume&gt;230&lt;/volume&gt;&lt;number&gt;5291&lt;/number&gt;&lt;dates&gt;&lt;year&gt;1971&lt;/year&gt;&lt;/dates&gt;&lt;isbn&gt;1476-4687&lt;/isbn&gt;&lt;urls&gt;&lt;/urls&gt;&lt;/record&gt;&lt;/Cite&gt;&lt;/EndNote&gt;</w:instrText>
      </w:r>
      <w:r w:rsidRPr="001D3BD5">
        <w:rPr>
          <w:rFonts w:ascii="Times New Roman" w:hAnsi="Times New Roman"/>
        </w:rPr>
        <w:fldChar w:fldCharType="separate"/>
      </w:r>
      <w:r w:rsidRPr="001D3BD5">
        <w:rPr>
          <w:rFonts w:ascii="Times New Roman" w:hAnsi="Times New Roman"/>
          <w:noProof/>
        </w:rPr>
        <w:t>(1971)</w:t>
      </w:r>
      <w:r w:rsidRPr="001D3BD5">
        <w:rPr>
          <w:rFonts w:ascii="Times New Roman" w:hAnsi="Times New Roman"/>
        </w:rPr>
        <w:fldChar w:fldCharType="end"/>
      </w:r>
      <w:r w:rsidRPr="001D3BD5">
        <w:rPr>
          <w:rFonts w:ascii="Times New Roman" w:hAnsi="Times New Roman"/>
        </w:rPr>
        <w:t xml:space="preserve"> method to extract collagen. We soaked bone in 5 ml of 0.5M hydrochloric acid (HCl), refrigerated at 4</w:t>
      </w:r>
      <w:r w:rsidRPr="001D3BD5">
        <w:rPr>
          <w:rFonts w:ascii="Times New Roman" w:hAnsi="Times New Roman"/>
          <w:vertAlign w:val="superscript"/>
        </w:rPr>
        <w:t xml:space="preserve">o </w:t>
      </w:r>
      <w:r w:rsidRPr="001D3BD5">
        <w:rPr>
          <w:rFonts w:ascii="Times New Roman" w:hAnsi="Times New Roman"/>
        </w:rPr>
        <w:t xml:space="preserve">C to demineralize, rinsed with ultrapure water, and soaked in 5 ml of sodium hydroxide (NaOH) to remove </w:t>
      </w:r>
      <w:proofErr w:type="spellStart"/>
      <w:r w:rsidRPr="001D3BD5">
        <w:rPr>
          <w:rFonts w:ascii="Times New Roman" w:hAnsi="Times New Roman"/>
        </w:rPr>
        <w:t>humic</w:t>
      </w:r>
      <w:proofErr w:type="spellEnd"/>
      <w:r w:rsidRPr="001D3BD5">
        <w:rPr>
          <w:rFonts w:ascii="Times New Roman" w:hAnsi="Times New Roman"/>
        </w:rPr>
        <w:t xml:space="preserve"> contaminants. W</w:t>
      </w:r>
      <w:r>
        <w:rPr>
          <w:rFonts w:ascii="Times New Roman" w:hAnsi="Times New Roman"/>
        </w:rPr>
        <w:t xml:space="preserve">e </w:t>
      </w:r>
      <w:r w:rsidRPr="001D3BD5">
        <w:rPr>
          <w:rFonts w:ascii="Times New Roman" w:hAnsi="Times New Roman"/>
        </w:rPr>
        <w:t>rinsed samples and extracted lipids using a 1:2:.0.8 (v/v) ratio of CHCl</w:t>
      </w:r>
      <w:r w:rsidRPr="001D3BD5">
        <w:rPr>
          <w:rFonts w:ascii="Times New Roman" w:hAnsi="Times New Roman"/>
          <w:vertAlign w:val="subscript"/>
        </w:rPr>
        <w:t>3</w:t>
      </w:r>
      <w:r w:rsidRPr="001D3BD5">
        <w:rPr>
          <w:rFonts w:ascii="Times New Roman" w:hAnsi="Times New Roman"/>
        </w:rPr>
        <w:t>(chloroform), CH</w:t>
      </w:r>
      <w:r w:rsidRPr="001D3BD5">
        <w:rPr>
          <w:rFonts w:ascii="Times New Roman" w:hAnsi="Times New Roman"/>
          <w:vertAlign w:val="subscript"/>
        </w:rPr>
        <w:t>3</w:t>
      </w:r>
      <w:r w:rsidRPr="001D3BD5">
        <w:rPr>
          <w:rFonts w:ascii="Times New Roman" w:hAnsi="Times New Roman"/>
        </w:rPr>
        <w:t xml:space="preserve">OH (methanol), and ultrapure water. We then </w:t>
      </w:r>
      <w:r>
        <w:rPr>
          <w:rFonts w:ascii="Times New Roman" w:hAnsi="Times New Roman"/>
        </w:rPr>
        <w:t xml:space="preserve">refluxed </w:t>
      </w:r>
      <w:r w:rsidRPr="001D3BD5">
        <w:rPr>
          <w:rFonts w:ascii="Times New Roman" w:hAnsi="Times New Roman"/>
        </w:rPr>
        <w:t xml:space="preserve">samples in a dry bath with 0.01M HCl for 16 hours. </w:t>
      </w:r>
      <w:r>
        <w:rPr>
          <w:rFonts w:ascii="Times New Roman" w:hAnsi="Times New Roman"/>
        </w:rPr>
        <w:t xml:space="preserve">We then froze samples and lyophilized collagen prior to shipment for analysis. </w:t>
      </w:r>
    </w:p>
    <w:p w14:paraId="41AF6010" w14:textId="505162B4" w:rsidR="00015A4C" w:rsidRPr="00DB1957" w:rsidRDefault="00015A4C" w:rsidP="00DB1957">
      <w:pPr>
        <w:rPr>
          <w:rFonts w:ascii="Times New Roman" w:hAnsi="Times New Roman"/>
        </w:rPr>
      </w:pPr>
      <w:r w:rsidRPr="00DB1957">
        <w:rPr>
          <w:rFonts w:ascii="Times New Roman" w:hAnsi="Times New Roman"/>
        </w:rPr>
        <w:t xml:space="preserve">Carbon and nitrogen isotopic and elemental compositions were determined using </w:t>
      </w:r>
      <w:r w:rsidR="007E65E1" w:rsidRPr="00DB1957">
        <w:rPr>
          <w:rFonts w:ascii="Times New Roman" w:hAnsi="Times New Roman"/>
        </w:rPr>
        <w:t xml:space="preserve">a Thermo </w:t>
      </w:r>
      <w:proofErr w:type="spellStart"/>
      <w:r w:rsidR="007E65E1" w:rsidRPr="00DB1957">
        <w:rPr>
          <w:rFonts w:ascii="Times New Roman" w:hAnsi="Times New Roman"/>
        </w:rPr>
        <w:t>DeltaPlus</w:t>
      </w:r>
      <w:proofErr w:type="spellEnd"/>
      <w:r w:rsidR="007E65E1" w:rsidRPr="00DB1957">
        <w:rPr>
          <w:rFonts w:ascii="Times New Roman" w:hAnsi="Times New Roman"/>
        </w:rPr>
        <w:t xml:space="preserve"> XP coupled to a </w:t>
      </w:r>
      <w:proofErr w:type="spellStart"/>
      <w:r w:rsidR="007E65E1" w:rsidRPr="00DB1957">
        <w:rPr>
          <w:rFonts w:ascii="Times New Roman" w:hAnsi="Times New Roman"/>
        </w:rPr>
        <w:t>Costech</w:t>
      </w:r>
      <w:proofErr w:type="spellEnd"/>
      <w:r w:rsidR="007E65E1" w:rsidRPr="00DB1957">
        <w:rPr>
          <w:rFonts w:ascii="Times New Roman" w:hAnsi="Times New Roman"/>
        </w:rPr>
        <w:t xml:space="preserve"> 4010 Elemental Analyzer in the Yale Analytical Stable Isotope Center (YASIC) o</w:t>
      </w:r>
      <w:r w:rsidR="009A5A6C" w:rsidRPr="00DB1957">
        <w:rPr>
          <w:rFonts w:ascii="Times New Roman" w:hAnsi="Times New Roman"/>
        </w:rPr>
        <w:t>f</w:t>
      </w:r>
      <w:r w:rsidR="007E65E1" w:rsidRPr="00DB1957">
        <w:rPr>
          <w:rFonts w:ascii="Times New Roman" w:hAnsi="Times New Roman"/>
        </w:rPr>
        <w:t xml:space="preserve"> Yale University. </w:t>
      </w:r>
      <w:r w:rsidR="00E12E73" w:rsidRPr="003A34FC">
        <w:rPr>
          <w:rFonts w:ascii="Times New Roman" w:hAnsi="Times New Roman"/>
        </w:rPr>
        <w:t xml:space="preserve">Stable carbon isotopic compositions are expressed as delta values relative to VPDB (Vienna </w:t>
      </w:r>
      <w:proofErr w:type="spellStart"/>
      <w:r w:rsidR="00E12E73" w:rsidRPr="003A34FC">
        <w:rPr>
          <w:rFonts w:ascii="Times New Roman" w:hAnsi="Times New Roman"/>
        </w:rPr>
        <w:t>Peedee</w:t>
      </w:r>
      <w:proofErr w:type="spellEnd"/>
      <w:r w:rsidR="00E12E73" w:rsidRPr="003A34FC">
        <w:rPr>
          <w:rFonts w:ascii="Times New Roman" w:hAnsi="Times New Roman"/>
        </w:rPr>
        <w:t xml:space="preserve"> belemnite) on a scale normalized such that the δ</w:t>
      </w:r>
      <w:r w:rsidR="00E12E73" w:rsidRPr="003A34FC">
        <w:rPr>
          <w:rFonts w:ascii="Times New Roman" w:hAnsi="Times New Roman"/>
          <w:vertAlign w:val="superscript"/>
        </w:rPr>
        <w:t>13</w:t>
      </w:r>
      <w:r w:rsidR="00E12E73" w:rsidRPr="003A34FC">
        <w:rPr>
          <w:rFonts w:ascii="Times New Roman" w:hAnsi="Times New Roman"/>
        </w:rPr>
        <w:t xml:space="preserve">C values of NBS 19 calcium carbonate and L-SVEC lithium carbonate are +1.95 ‰ and –46.6 ‰, respectively. Stable nitrogen isotopic compositions are expressed relative to atmospheric nitrogen, which is isotopically homogenous. Our in-house glycine standards (glycine low and glycine high) were characterized using USGS40 and USGS41 reference material (Table A1). Glycine low and glycine high were used as scale anchors in every analytical session (Table A1). </w:t>
      </w:r>
      <w:r w:rsidR="00E12E73" w:rsidRPr="001D3BD5">
        <w:rPr>
          <w:rFonts w:ascii="Times New Roman" w:hAnsi="Times New Roman"/>
        </w:rPr>
        <w:t>Stable isotope ratios are reported in per mil (</w:t>
      </w:r>
      <m:oMath>
        <m:r>
          <w:rPr>
            <w:rFonts w:ascii="Cambria Math" w:hAnsi="Cambria Math"/>
          </w:rPr>
          <m:t>‰</m:t>
        </m:r>
      </m:oMath>
      <w:r w:rsidR="00E12E73" w:rsidRPr="001D3BD5">
        <w:rPr>
          <w:rFonts w:ascii="Times New Roman" w:hAnsi="Times New Roman"/>
        </w:rPr>
        <w:t xml:space="preserve">) notation, e.g., </w:t>
      </w:r>
      <w:r w:rsidR="00E12E73" w:rsidRPr="001D3BD5">
        <w:rPr>
          <w:rFonts w:ascii="Times New Roman" w:hAnsi="Times New Roman"/>
          <w:i/>
          <w:iCs/>
        </w:rPr>
        <w:t>δ</w:t>
      </w:r>
      <w:r w:rsidR="00E12E73" w:rsidRPr="001D3BD5">
        <w:rPr>
          <w:rFonts w:ascii="Times New Roman" w:hAnsi="Times New Roman"/>
          <w:vertAlign w:val="superscript"/>
        </w:rPr>
        <w:t>13</w:t>
      </w:r>
      <w:r w:rsidR="00E12E73" w:rsidRPr="001D3BD5">
        <w:rPr>
          <w:rFonts w:ascii="Times New Roman" w:hAnsi="Times New Roman"/>
        </w:rPr>
        <w:t>C = (((</w:t>
      </w:r>
      <w:r w:rsidR="00E12E73" w:rsidRPr="001D3BD5">
        <w:rPr>
          <w:rFonts w:ascii="Times New Roman" w:hAnsi="Times New Roman"/>
          <w:vertAlign w:val="superscript"/>
        </w:rPr>
        <w:t>13</w:t>
      </w:r>
      <w:r w:rsidR="00E12E73" w:rsidRPr="001D3BD5">
        <w:rPr>
          <w:rFonts w:ascii="Times New Roman" w:hAnsi="Times New Roman"/>
        </w:rPr>
        <w:t>C/</w:t>
      </w:r>
      <w:r w:rsidR="00E12E73" w:rsidRPr="001D3BD5">
        <w:rPr>
          <w:rFonts w:ascii="Times New Roman" w:hAnsi="Times New Roman"/>
          <w:vertAlign w:val="superscript"/>
        </w:rPr>
        <w:t>12</w:t>
      </w:r>
      <w:r w:rsidR="00E12E73" w:rsidRPr="001D3BD5">
        <w:rPr>
          <w:rFonts w:ascii="Times New Roman" w:hAnsi="Times New Roman"/>
        </w:rPr>
        <w:t>C)/(</w:t>
      </w:r>
      <w:r w:rsidR="00E12E73" w:rsidRPr="001D3BD5">
        <w:rPr>
          <w:rFonts w:ascii="Times New Roman" w:hAnsi="Times New Roman"/>
          <w:vertAlign w:val="superscript"/>
        </w:rPr>
        <w:t>13</w:t>
      </w:r>
      <w:r w:rsidR="00E12E73" w:rsidRPr="001D3BD5">
        <w:rPr>
          <w:rFonts w:ascii="Times New Roman" w:hAnsi="Times New Roman"/>
        </w:rPr>
        <w:t>C/</w:t>
      </w:r>
      <w:r w:rsidR="00E12E73" w:rsidRPr="001D3BD5">
        <w:rPr>
          <w:rFonts w:ascii="Times New Roman" w:hAnsi="Times New Roman"/>
          <w:vertAlign w:val="superscript"/>
        </w:rPr>
        <w:t>12</w:t>
      </w:r>
      <w:r w:rsidR="00E12E73" w:rsidRPr="001D3BD5">
        <w:rPr>
          <w:rFonts w:ascii="Times New Roman" w:hAnsi="Times New Roman"/>
        </w:rPr>
        <w:t>C</w:t>
      </w:r>
      <w:r w:rsidR="00E12E73" w:rsidRPr="001D3BD5">
        <w:rPr>
          <w:rFonts w:ascii="Times New Roman" w:hAnsi="Times New Roman"/>
          <w:vertAlign w:val="subscript"/>
        </w:rPr>
        <w:t>standard</w:t>
      </w:r>
      <w:r w:rsidR="00E12E73" w:rsidRPr="001D3BD5">
        <w:rPr>
          <w:rFonts w:ascii="Times New Roman" w:hAnsi="Times New Roman"/>
        </w:rPr>
        <w:t xml:space="preserve">)) – 1) x 1000 </w:t>
      </w:r>
      <w:r w:rsidR="00E12E73" w:rsidRPr="00E63F98">
        <w:rPr>
          <w:rFonts w:ascii="Times New Roman" w:hAnsi="Times New Roman"/>
        </w:rPr>
        <w:fldChar w:fldCharType="begin"/>
      </w:r>
      <w:r w:rsidR="00E12E73" w:rsidRPr="00E63F98">
        <w:rPr>
          <w:rFonts w:ascii="Times New Roman" w:hAnsi="Times New Roman"/>
        </w:rPr>
        <w:instrText xml:space="preserve"> ADDIN EN.CITE &lt;EndNote&gt;&lt;Cite&gt;&lt;Author&gt;Coplen&lt;/Author&gt;&lt;Year&gt;1994&lt;/Year&gt;&lt;RecNum&gt;1268&lt;/RecNum&gt;&lt;DisplayText&gt;(Coplen, 1994)&lt;/DisplayText&gt;&lt;record&gt;&lt;rec-number&gt;1268&lt;/rec-number&gt;&lt;foreign-keys&gt;&lt;key app="EN" db-id="a0xstfxfwvfap9etf21xwada5v9dra0arpe2" timestamp="1540752405"&gt;1268&lt;/key&gt;&lt;/foreign-keys&gt;&lt;ref-type name="Journal Article"&gt;17&lt;/ref-type&gt;&lt;contributors&gt;&lt;authors&gt;&lt;author&gt;Coplen, Tyler B&lt;/author&gt;&lt;/authors&gt;&lt;/contributors&gt;&lt;titles&gt;&lt;title&gt;Reporting of stable hydrogen, carbon, and oxygen isotopic abundances (technical report)&lt;/title&gt;&lt;secondary-title&gt;Journal of Pure Applied Chemistry&lt;/secondary-title&gt;&lt;/titles&gt;&lt;periodical&gt;&lt;full-title&gt;Journal of Pure Applied Chemistry&lt;/full-title&gt;&lt;/periodical&gt;&lt;pages&gt;273-276&lt;/pages&gt;&lt;volume&gt;66&lt;/volume&gt;&lt;number&gt;2&lt;/number&gt;&lt;dates&gt;&lt;year&gt;1994&lt;/year&gt;&lt;/dates&gt;&lt;isbn&gt;1365-3075&lt;/isbn&gt;&lt;urls&gt;&lt;/urls&gt;&lt;/record&gt;&lt;/Cite&gt;&lt;/EndNote&gt;</w:instrText>
      </w:r>
      <w:r w:rsidR="00E12E73" w:rsidRPr="00E63F98">
        <w:rPr>
          <w:rFonts w:ascii="Times New Roman" w:hAnsi="Times New Roman"/>
        </w:rPr>
        <w:fldChar w:fldCharType="separate"/>
      </w:r>
      <w:r w:rsidR="00E12E73" w:rsidRPr="00E63F98">
        <w:rPr>
          <w:rFonts w:ascii="Times New Roman" w:hAnsi="Times New Roman"/>
          <w:noProof/>
        </w:rPr>
        <w:t>(Coplen, 1994)</w:t>
      </w:r>
      <w:r w:rsidR="00E12E73" w:rsidRPr="00E63F98">
        <w:rPr>
          <w:rFonts w:ascii="Times New Roman" w:hAnsi="Times New Roman"/>
        </w:rPr>
        <w:fldChar w:fldCharType="end"/>
      </w:r>
      <w:r w:rsidR="00E12E73" w:rsidRPr="00E63F98">
        <w:rPr>
          <w:rFonts w:ascii="Times New Roman" w:hAnsi="Times New Roman"/>
        </w:rPr>
        <w:t>.</w:t>
      </w:r>
    </w:p>
    <w:p w14:paraId="000521C1" w14:textId="7F893A28" w:rsidR="00015A4C" w:rsidRPr="00DB1957" w:rsidRDefault="00015A4C" w:rsidP="00015A4C">
      <w:pPr>
        <w:rPr>
          <w:rFonts w:ascii="Times New Roman" w:hAnsi="Times New Roman"/>
          <w:b/>
        </w:rPr>
      </w:pPr>
      <w:r w:rsidRPr="00DB1957">
        <w:rPr>
          <w:rFonts w:ascii="Times New Roman" w:hAnsi="Times New Roman"/>
          <w:b/>
        </w:rPr>
        <w:t xml:space="preserve">Table </w:t>
      </w:r>
      <w:r w:rsidR="007E65E1" w:rsidRPr="00DB1957">
        <w:rPr>
          <w:rFonts w:ascii="Times New Roman" w:hAnsi="Times New Roman"/>
          <w:b/>
        </w:rPr>
        <w:t>A</w:t>
      </w:r>
      <w:r w:rsidRPr="00DB1957">
        <w:rPr>
          <w:rFonts w:ascii="Times New Roman" w:hAnsi="Times New Roman"/>
          <w:b/>
        </w:rPr>
        <w:t xml:space="preserve">1. </w:t>
      </w:r>
      <w:r w:rsidRPr="00DB1957">
        <w:rPr>
          <w:rFonts w:ascii="Times New Roman" w:hAnsi="Times New Roman"/>
        </w:rPr>
        <w:t xml:space="preserve">Standard reference materials used for calibration of </w:t>
      </w:r>
      <w:r w:rsidRPr="00DB1957">
        <w:rPr>
          <w:rFonts w:ascii="Times New Roman" w:hAnsi="Times New Roman"/>
          <w:i/>
        </w:rPr>
        <w:sym w:font="Symbol" w:char="F064"/>
      </w:r>
      <w:r w:rsidRPr="00DB1957">
        <w:rPr>
          <w:rFonts w:ascii="Times New Roman" w:hAnsi="Times New Roman"/>
          <w:vertAlign w:val="superscript"/>
        </w:rPr>
        <w:t>13</w:t>
      </w:r>
      <w:r w:rsidRPr="00DB1957">
        <w:rPr>
          <w:rFonts w:ascii="Times New Roman" w:hAnsi="Times New Roman"/>
        </w:rPr>
        <w:t xml:space="preserve">C relative to VPDB and </w:t>
      </w:r>
      <w:r w:rsidRPr="00DB1957">
        <w:rPr>
          <w:rFonts w:ascii="Times New Roman" w:hAnsi="Times New Roman"/>
          <w:i/>
        </w:rPr>
        <w:sym w:font="Symbol" w:char="F064"/>
      </w:r>
      <w:r w:rsidRPr="00DB1957">
        <w:rPr>
          <w:rFonts w:ascii="Times New Roman" w:hAnsi="Times New Roman"/>
          <w:vertAlign w:val="superscript"/>
        </w:rPr>
        <w:t>15</w:t>
      </w:r>
      <w:r w:rsidRPr="00DB1957">
        <w:rPr>
          <w:rFonts w:ascii="Times New Roman" w:hAnsi="Times New Roman"/>
        </w:rPr>
        <w:t>N relative to AIR.</w:t>
      </w:r>
    </w:p>
    <w:tbl>
      <w:tblPr>
        <w:tblW w:w="0" w:type="auto"/>
        <w:tblLook w:val="04A0" w:firstRow="1" w:lastRow="0" w:firstColumn="1" w:lastColumn="0" w:noHBand="0" w:noVBand="1"/>
      </w:tblPr>
      <w:tblGrid>
        <w:gridCol w:w="1809"/>
        <w:gridCol w:w="2552"/>
        <w:gridCol w:w="2055"/>
        <w:gridCol w:w="2056"/>
      </w:tblGrid>
      <w:tr w:rsidR="00015A4C" w:rsidRPr="00DB1957" w14:paraId="0192DC38" w14:textId="77777777" w:rsidTr="00015A4C">
        <w:tc>
          <w:tcPr>
            <w:tcW w:w="1809" w:type="dxa"/>
            <w:tcBorders>
              <w:top w:val="single" w:sz="4" w:space="0" w:color="auto"/>
              <w:bottom w:val="single" w:sz="4" w:space="0" w:color="auto"/>
            </w:tcBorders>
            <w:shd w:val="clear" w:color="auto" w:fill="auto"/>
          </w:tcPr>
          <w:p w14:paraId="5FEC97B8" w14:textId="77777777" w:rsidR="00015A4C" w:rsidRPr="00DB1957" w:rsidRDefault="00015A4C" w:rsidP="00015A4C">
            <w:pPr>
              <w:contextualSpacing/>
              <w:rPr>
                <w:rFonts w:ascii="Times New Roman" w:hAnsi="Times New Roman"/>
              </w:rPr>
            </w:pPr>
            <w:r w:rsidRPr="00DB1957">
              <w:rPr>
                <w:rFonts w:ascii="Times New Roman" w:hAnsi="Times New Roman"/>
              </w:rPr>
              <w:t>Standard</w:t>
            </w:r>
          </w:p>
        </w:tc>
        <w:tc>
          <w:tcPr>
            <w:tcW w:w="2552" w:type="dxa"/>
            <w:tcBorders>
              <w:top w:val="single" w:sz="4" w:space="0" w:color="auto"/>
              <w:bottom w:val="single" w:sz="4" w:space="0" w:color="auto"/>
            </w:tcBorders>
            <w:shd w:val="clear" w:color="auto" w:fill="auto"/>
          </w:tcPr>
          <w:p w14:paraId="128546F0" w14:textId="77777777" w:rsidR="00015A4C" w:rsidRPr="00DB1957" w:rsidRDefault="00015A4C" w:rsidP="00015A4C">
            <w:pPr>
              <w:contextualSpacing/>
              <w:rPr>
                <w:rFonts w:ascii="Times New Roman" w:hAnsi="Times New Roman"/>
              </w:rPr>
            </w:pPr>
            <w:r w:rsidRPr="00DB1957">
              <w:rPr>
                <w:rFonts w:ascii="Times New Roman" w:hAnsi="Times New Roman"/>
              </w:rPr>
              <w:t>Material</w:t>
            </w:r>
          </w:p>
        </w:tc>
        <w:tc>
          <w:tcPr>
            <w:tcW w:w="2055" w:type="dxa"/>
            <w:tcBorders>
              <w:top w:val="single" w:sz="4" w:space="0" w:color="auto"/>
              <w:bottom w:val="single" w:sz="4" w:space="0" w:color="auto"/>
            </w:tcBorders>
            <w:shd w:val="clear" w:color="auto" w:fill="auto"/>
          </w:tcPr>
          <w:p w14:paraId="1DFF2567" w14:textId="77777777" w:rsidR="00015A4C" w:rsidRPr="00DB1957" w:rsidRDefault="00015A4C" w:rsidP="00015A4C">
            <w:pPr>
              <w:contextualSpacing/>
              <w:rPr>
                <w:rFonts w:ascii="Times New Roman" w:hAnsi="Times New Roman"/>
              </w:rPr>
            </w:pPr>
            <w:r w:rsidRPr="00DB1957">
              <w:rPr>
                <w:rFonts w:ascii="Times New Roman" w:hAnsi="Times New Roman"/>
              </w:rPr>
              <w:t xml:space="preserve">Accepted </w:t>
            </w:r>
            <w:r w:rsidRPr="00DB1957">
              <w:rPr>
                <w:rFonts w:ascii="Times New Roman" w:hAnsi="Times New Roman"/>
                <w:i/>
              </w:rPr>
              <w:sym w:font="Symbol" w:char="F064"/>
            </w:r>
            <w:r w:rsidRPr="00DB1957">
              <w:rPr>
                <w:rFonts w:ascii="Times New Roman" w:hAnsi="Times New Roman"/>
                <w:vertAlign w:val="superscript"/>
              </w:rPr>
              <w:t>13</w:t>
            </w:r>
            <w:r w:rsidRPr="00DB1957">
              <w:rPr>
                <w:rFonts w:ascii="Times New Roman" w:hAnsi="Times New Roman"/>
              </w:rPr>
              <w:t xml:space="preserve">C </w:t>
            </w:r>
          </w:p>
          <w:p w14:paraId="604AAD71" w14:textId="77777777" w:rsidR="00015A4C" w:rsidRPr="00DB1957" w:rsidRDefault="00015A4C" w:rsidP="00015A4C">
            <w:pPr>
              <w:contextualSpacing/>
              <w:rPr>
                <w:rFonts w:ascii="Times New Roman" w:hAnsi="Times New Roman"/>
              </w:rPr>
            </w:pPr>
            <w:r w:rsidRPr="00DB1957">
              <w:rPr>
                <w:rFonts w:ascii="Times New Roman" w:hAnsi="Times New Roman"/>
              </w:rPr>
              <w:t>(‰, VPDB)</w:t>
            </w:r>
          </w:p>
        </w:tc>
        <w:tc>
          <w:tcPr>
            <w:tcW w:w="2056" w:type="dxa"/>
            <w:tcBorders>
              <w:top w:val="single" w:sz="4" w:space="0" w:color="auto"/>
              <w:bottom w:val="single" w:sz="4" w:space="0" w:color="auto"/>
            </w:tcBorders>
            <w:shd w:val="clear" w:color="auto" w:fill="auto"/>
          </w:tcPr>
          <w:p w14:paraId="2BECBDC4" w14:textId="77777777" w:rsidR="00015A4C" w:rsidRPr="00DB1957" w:rsidRDefault="00015A4C" w:rsidP="00015A4C">
            <w:pPr>
              <w:contextualSpacing/>
              <w:rPr>
                <w:rFonts w:ascii="Times New Roman" w:hAnsi="Times New Roman"/>
              </w:rPr>
            </w:pPr>
            <w:r w:rsidRPr="00DB1957">
              <w:rPr>
                <w:rFonts w:ascii="Times New Roman" w:hAnsi="Times New Roman"/>
              </w:rPr>
              <w:t xml:space="preserve">Accepted </w:t>
            </w:r>
            <w:r w:rsidRPr="00DB1957">
              <w:rPr>
                <w:rFonts w:ascii="Times New Roman" w:hAnsi="Times New Roman"/>
                <w:i/>
              </w:rPr>
              <w:sym w:font="Symbol" w:char="F064"/>
            </w:r>
            <w:r w:rsidRPr="00DB1957">
              <w:rPr>
                <w:rFonts w:ascii="Times New Roman" w:hAnsi="Times New Roman"/>
                <w:vertAlign w:val="superscript"/>
              </w:rPr>
              <w:t>15</w:t>
            </w:r>
            <w:r w:rsidRPr="00DB1957">
              <w:rPr>
                <w:rFonts w:ascii="Times New Roman" w:hAnsi="Times New Roman"/>
              </w:rPr>
              <w:t xml:space="preserve">N </w:t>
            </w:r>
          </w:p>
          <w:p w14:paraId="3438C964" w14:textId="77777777" w:rsidR="00015A4C" w:rsidRPr="00DB1957" w:rsidRDefault="00015A4C" w:rsidP="00015A4C">
            <w:pPr>
              <w:contextualSpacing/>
              <w:rPr>
                <w:rFonts w:ascii="Times New Roman" w:hAnsi="Times New Roman"/>
              </w:rPr>
            </w:pPr>
            <w:r w:rsidRPr="00DB1957">
              <w:rPr>
                <w:rFonts w:ascii="Times New Roman" w:hAnsi="Times New Roman"/>
              </w:rPr>
              <w:t>(‰, AIR)</w:t>
            </w:r>
          </w:p>
        </w:tc>
      </w:tr>
      <w:tr w:rsidR="001F07E7" w:rsidRPr="00DB1957" w14:paraId="47B8358E" w14:textId="77777777" w:rsidTr="00015A4C">
        <w:tc>
          <w:tcPr>
            <w:tcW w:w="1809" w:type="dxa"/>
            <w:tcBorders>
              <w:top w:val="single" w:sz="4" w:space="0" w:color="auto"/>
            </w:tcBorders>
            <w:shd w:val="clear" w:color="auto" w:fill="auto"/>
          </w:tcPr>
          <w:p w14:paraId="7A17107B" w14:textId="77777777" w:rsidR="001F07E7" w:rsidRPr="00E12E73" w:rsidRDefault="001F07E7" w:rsidP="001F07E7">
            <w:pPr>
              <w:contextualSpacing/>
              <w:rPr>
                <w:rFonts w:ascii="Times New Roman" w:hAnsi="Times New Roman"/>
              </w:rPr>
            </w:pPr>
            <w:r w:rsidRPr="00E12E73">
              <w:rPr>
                <w:rFonts w:ascii="Times New Roman" w:hAnsi="Times New Roman"/>
              </w:rPr>
              <w:t>USGS40</w:t>
            </w:r>
          </w:p>
        </w:tc>
        <w:tc>
          <w:tcPr>
            <w:tcW w:w="2552" w:type="dxa"/>
            <w:tcBorders>
              <w:top w:val="single" w:sz="4" w:space="0" w:color="auto"/>
            </w:tcBorders>
            <w:shd w:val="clear" w:color="auto" w:fill="auto"/>
          </w:tcPr>
          <w:p w14:paraId="61E02B1B" w14:textId="77777777" w:rsidR="001F07E7" w:rsidRPr="00E12E73" w:rsidRDefault="001F07E7" w:rsidP="001F07E7">
            <w:pPr>
              <w:contextualSpacing/>
              <w:rPr>
                <w:rFonts w:ascii="Times New Roman" w:hAnsi="Times New Roman"/>
              </w:rPr>
            </w:pPr>
            <w:r w:rsidRPr="00E12E73">
              <w:rPr>
                <w:rFonts w:ascii="Times New Roman" w:hAnsi="Times New Roman"/>
              </w:rPr>
              <w:t>Glutamic Acid</w:t>
            </w:r>
          </w:p>
        </w:tc>
        <w:tc>
          <w:tcPr>
            <w:tcW w:w="2055" w:type="dxa"/>
            <w:tcBorders>
              <w:top w:val="single" w:sz="4" w:space="0" w:color="auto"/>
            </w:tcBorders>
            <w:shd w:val="clear" w:color="auto" w:fill="auto"/>
          </w:tcPr>
          <w:p w14:paraId="6FE289E4" w14:textId="2093090A" w:rsidR="001F07E7" w:rsidRPr="00E12E73" w:rsidRDefault="001F07E7" w:rsidP="001F07E7">
            <w:pPr>
              <w:contextualSpacing/>
              <w:rPr>
                <w:rFonts w:ascii="Times New Roman" w:hAnsi="Times New Roman"/>
              </w:rPr>
            </w:pPr>
            <w:r w:rsidRPr="003A34FC">
              <w:rPr>
                <w:rFonts w:ascii="Times New Roman" w:hAnsi="Times New Roman"/>
              </w:rPr>
              <w:t>–26.39±0.04</w:t>
            </w:r>
          </w:p>
        </w:tc>
        <w:tc>
          <w:tcPr>
            <w:tcW w:w="2056" w:type="dxa"/>
            <w:tcBorders>
              <w:top w:val="single" w:sz="4" w:space="0" w:color="auto"/>
            </w:tcBorders>
            <w:shd w:val="clear" w:color="auto" w:fill="auto"/>
          </w:tcPr>
          <w:p w14:paraId="60D0DCEC" w14:textId="66BD0070" w:rsidR="001F07E7" w:rsidRPr="00E12E73" w:rsidRDefault="001F07E7" w:rsidP="001F07E7">
            <w:pPr>
              <w:contextualSpacing/>
              <w:rPr>
                <w:rFonts w:ascii="Times New Roman" w:hAnsi="Times New Roman"/>
              </w:rPr>
            </w:pPr>
            <w:r w:rsidRPr="003A34FC">
              <w:rPr>
                <w:rFonts w:ascii="Times New Roman" w:hAnsi="Times New Roman"/>
              </w:rPr>
              <w:t>–4.52±0.06</w:t>
            </w:r>
          </w:p>
        </w:tc>
      </w:tr>
      <w:tr w:rsidR="001F07E7" w:rsidRPr="00DB1957" w14:paraId="5F755DDA" w14:textId="77777777" w:rsidTr="00E12E73">
        <w:tc>
          <w:tcPr>
            <w:tcW w:w="1809" w:type="dxa"/>
            <w:shd w:val="clear" w:color="auto" w:fill="auto"/>
          </w:tcPr>
          <w:p w14:paraId="00EB710A" w14:textId="77777777" w:rsidR="001F07E7" w:rsidRPr="00E12E73" w:rsidRDefault="001F07E7" w:rsidP="001F07E7">
            <w:pPr>
              <w:contextualSpacing/>
              <w:rPr>
                <w:rFonts w:ascii="Times New Roman" w:hAnsi="Times New Roman"/>
              </w:rPr>
            </w:pPr>
            <w:r w:rsidRPr="00E12E73">
              <w:rPr>
                <w:rFonts w:ascii="Times New Roman" w:hAnsi="Times New Roman"/>
              </w:rPr>
              <w:t>USGS41</w:t>
            </w:r>
          </w:p>
        </w:tc>
        <w:tc>
          <w:tcPr>
            <w:tcW w:w="2552" w:type="dxa"/>
            <w:shd w:val="clear" w:color="auto" w:fill="auto"/>
          </w:tcPr>
          <w:p w14:paraId="635C480D" w14:textId="77777777" w:rsidR="001F07E7" w:rsidRPr="00E12E73" w:rsidRDefault="001F07E7" w:rsidP="001F07E7">
            <w:pPr>
              <w:contextualSpacing/>
              <w:rPr>
                <w:rFonts w:ascii="Times New Roman" w:hAnsi="Times New Roman"/>
              </w:rPr>
            </w:pPr>
            <w:r w:rsidRPr="00E12E73">
              <w:rPr>
                <w:rFonts w:ascii="Times New Roman" w:hAnsi="Times New Roman"/>
              </w:rPr>
              <w:t>Glutamic Acid</w:t>
            </w:r>
          </w:p>
        </w:tc>
        <w:tc>
          <w:tcPr>
            <w:tcW w:w="2055" w:type="dxa"/>
            <w:shd w:val="clear" w:color="auto" w:fill="auto"/>
          </w:tcPr>
          <w:p w14:paraId="6644F622" w14:textId="451204AA" w:rsidR="001F07E7" w:rsidRPr="00E12E73" w:rsidRDefault="001F07E7" w:rsidP="001F07E7">
            <w:pPr>
              <w:contextualSpacing/>
              <w:rPr>
                <w:rFonts w:ascii="Times New Roman" w:hAnsi="Times New Roman"/>
              </w:rPr>
            </w:pPr>
            <w:r w:rsidRPr="003A34FC">
              <w:rPr>
                <w:rFonts w:ascii="Times New Roman" w:hAnsi="Times New Roman"/>
              </w:rPr>
              <w:t>+37.63±0.05</w:t>
            </w:r>
          </w:p>
        </w:tc>
        <w:tc>
          <w:tcPr>
            <w:tcW w:w="2056" w:type="dxa"/>
            <w:shd w:val="clear" w:color="auto" w:fill="auto"/>
          </w:tcPr>
          <w:p w14:paraId="7EA372BB" w14:textId="0FB09E9E" w:rsidR="001F07E7" w:rsidRPr="00E12E73" w:rsidRDefault="001F07E7" w:rsidP="001F07E7">
            <w:pPr>
              <w:contextualSpacing/>
              <w:rPr>
                <w:rFonts w:ascii="Times New Roman" w:hAnsi="Times New Roman"/>
              </w:rPr>
            </w:pPr>
            <w:r w:rsidRPr="003A34FC">
              <w:rPr>
                <w:rFonts w:ascii="Times New Roman" w:hAnsi="Times New Roman"/>
              </w:rPr>
              <w:t>+47.57±0.11</w:t>
            </w:r>
          </w:p>
        </w:tc>
      </w:tr>
      <w:tr w:rsidR="001F07E7" w:rsidRPr="00DB1957" w14:paraId="65EAF64A" w14:textId="77777777" w:rsidTr="00E12E73">
        <w:tc>
          <w:tcPr>
            <w:tcW w:w="1809" w:type="dxa"/>
            <w:shd w:val="clear" w:color="auto" w:fill="auto"/>
          </w:tcPr>
          <w:p w14:paraId="3591C973" w14:textId="510DD531" w:rsidR="001F07E7" w:rsidRPr="00E12E73" w:rsidRDefault="001F07E7" w:rsidP="001F07E7">
            <w:pPr>
              <w:contextualSpacing/>
              <w:rPr>
                <w:rFonts w:ascii="Times New Roman" w:hAnsi="Times New Roman"/>
              </w:rPr>
            </w:pPr>
            <w:r>
              <w:rPr>
                <w:rFonts w:ascii="Times New Roman" w:hAnsi="Times New Roman"/>
              </w:rPr>
              <w:t>YGA</w:t>
            </w:r>
          </w:p>
        </w:tc>
        <w:tc>
          <w:tcPr>
            <w:tcW w:w="2552" w:type="dxa"/>
            <w:shd w:val="clear" w:color="auto" w:fill="auto"/>
          </w:tcPr>
          <w:p w14:paraId="34EA050A" w14:textId="7EA2B498" w:rsidR="001F07E7" w:rsidRPr="00E12E73" w:rsidRDefault="001F07E7" w:rsidP="001F07E7">
            <w:pPr>
              <w:contextualSpacing/>
              <w:rPr>
                <w:rFonts w:ascii="Times New Roman" w:hAnsi="Times New Roman"/>
              </w:rPr>
            </w:pPr>
            <w:r>
              <w:rPr>
                <w:rFonts w:ascii="Times New Roman" w:hAnsi="Times New Roman"/>
              </w:rPr>
              <w:t>Yale Glutamic Acid</w:t>
            </w:r>
          </w:p>
        </w:tc>
        <w:tc>
          <w:tcPr>
            <w:tcW w:w="2055" w:type="dxa"/>
            <w:shd w:val="clear" w:color="auto" w:fill="auto"/>
          </w:tcPr>
          <w:p w14:paraId="10D01652" w14:textId="65164717" w:rsidR="001F07E7" w:rsidRPr="00E12E73" w:rsidRDefault="001F07E7" w:rsidP="001F07E7">
            <w:pPr>
              <w:contextualSpacing/>
              <w:rPr>
                <w:rFonts w:ascii="Times New Roman" w:hAnsi="Times New Roman"/>
              </w:rPr>
            </w:pPr>
            <w:r w:rsidRPr="00E12E73">
              <w:rPr>
                <w:rFonts w:ascii="Times New Roman" w:hAnsi="Times New Roman"/>
              </w:rPr>
              <w:t>+3</w:t>
            </w:r>
            <w:r>
              <w:rPr>
                <w:rFonts w:ascii="Times New Roman" w:hAnsi="Times New Roman"/>
              </w:rPr>
              <w:t>1.02</w:t>
            </w:r>
            <w:r w:rsidRPr="003A34FC">
              <w:rPr>
                <w:rFonts w:ascii="Times New Roman" w:hAnsi="Times New Roman"/>
              </w:rPr>
              <w:t>±0.</w:t>
            </w:r>
            <w:r>
              <w:rPr>
                <w:rFonts w:ascii="Times New Roman" w:hAnsi="Times New Roman"/>
              </w:rPr>
              <w:t>22</w:t>
            </w:r>
          </w:p>
        </w:tc>
        <w:tc>
          <w:tcPr>
            <w:tcW w:w="2056" w:type="dxa"/>
            <w:shd w:val="clear" w:color="auto" w:fill="auto"/>
          </w:tcPr>
          <w:p w14:paraId="19F4F86C" w14:textId="271901FC" w:rsidR="001F07E7" w:rsidRPr="00E12E73" w:rsidRDefault="001F07E7" w:rsidP="001F07E7">
            <w:pPr>
              <w:contextualSpacing/>
              <w:rPr>
                <w:rFonts w:ascii="Times New Roman" w:hAnsi="Times New Roman"/>
              </w:rPr>
            </w:pPr>
            <w:r w:rsidRPr="00E12E73">
              <w:rPr>
                <w:rFonts w:ascii="Times New Roman" w:hAnsi="Times New Roman"/>
              </w:rPr>
              <w:t>+</w:t>
            </w:r>
            <w:r>
              <w:rPr>
                <w:rFonts w:ascii="Times New Roman" w:hAnsi="Times New Roman"/>
              </w:rPr>
              <w:t>31.80</w:t>
            </w:r>
            <w:r w:rsidRPr="003A34FC">
              <w:rPr>
                <w:rFonts w:ascii="Times New Roman" w:hAnsi="Times New Roman"/>
              </w:rPr>
              <w:t>±0.</w:t>
            </w:r>
            <w:r>
              <w:rPr>
                <w:rFonts w:ascii="Times New Roman" w:hAnsi="Times New Roman"/>
              </w:rPr>
              <w:t>1</w:t>
            </w:r>
            <w:r>
              <w:rPr>
                <w:rFonts w:ascii="Times New Roman" w:hAnsi="Times New Roman"/>
              </w:rPr>
              <w:t>7</w:t>
            </w:r>
          </w:p>
        </w:tc>
      </w:tr>
      <w:tr w:rsidR="001F07E7" w:rsidRPr="00DB1957" w14:paraId="0250EAC3" w14:textId="77777777" w:rsidTr="00015A4C">
        <w:tc>
          <w:tcPr>
            <w:tcW w:w="1809" w:type="dxa"/>
            <w:tcBorders>
              <w:bottom w:val="single" w:sz="4" w:space="0" w:color="auto"/>
            </w:tcBorders>
            <w:shd w:val="clear" w:color="auto" w:fill="auto"/>
          </w:tcPr>
          <w:p w14:paraId="0D8FA0E7" w14:textId="79E2B623" w:rsidR="001F07E7" w:rsidRDefault="001F07E7" w:rsidP="001F07E7">
            <w:pPr>
              <w:contextualSpacing/>
              <w:rPr>
                <w:rFonts w:ascii="Times New Roman" w:hAnsi="Times New Roman"/>
              </w:rPr>
            </w:pPr>
            <w:r>
              <w:rPr>
                <w:rFonts w:ascii="Times New Roman" w:hAnsi="Times New Roman"/>
              </w:rPr>
              <w:t>CN2</w:t>
            </w:r>
          </w:p>
        </w:tc>
        <w:tc>
          <w:tcPr>
            <w:tcW w:w="2552" w:type="dxa"/>
            <w:tcBorders>
              <w:bottom w:val="single" w:sz="4" w:space="0" w:color="auto"/>
            </w:tcBorders>
            <w:shd w:val="clear" w:color="auto" w:fill="auto"/>
          </w:tcPr>
          <w:p w14:paraId="5A1C6B8C" w14:textId="25C47C36" w:rsidR="001F07E7" w:rsidRDefault="001F07E7" w:rsidP="001F07E7">
            <w:pPr>
              <w:contextualSpacing/>
              <w:rPr>
                <w:rFonts w:ascii="Times New Roman" w:hAnsi="Times New Roman"/>
              </w:rPr>
            </w:pPr>
            <w:r>
              <w:rPr>
                <w:rFonts w:ascii="Times New Roman" w:hAnsi="Times New Roman"/>
              </w:rPr>
              <w:t>Glutamic Acid 2</w:t>
            </w:r>
          </w:p>
        </w:tc>
        <w:tc>
          <w:tcPr>
            <w:tcW w:w="2055" w:type="dxa"/>
            <w:tcBorders>
              <w:bottom w:val="single" w:sz="4" w:space="0" w:color="auto"/>
            </w:tcBorders>
            <w:shd w:val="clear" w:color="auto" w:fill="auto"/>
          </w:tcPr>
          <w:p w14:paraId="0F56CB74" w14:textId="65768D2A" w:rsidR="001F07E7" w:rsidRPr="00E12E73" w:rsidRDefault="001F07E7" w:rsidP="001F07E7">
            <w:pPr>
              <w:contextualSpacing/>
              <w:rPr>
                <w:rFonts w:ascii="Times New Roman" w:hAnsi="Times New Roman"/>
              </w:rPr>
            </w:pPr>
            <w:r w:rsidRPr="003A34FC">
              <w:rPr>
                <w:rFonts w:ascii="Times New Roman" w:hAnsi="Times New Roman"/>
              </w:rPr>
              <w:t>–2</w:t>
            </w:r>
            <w:r>
              <w:rPr>
                <w:rFonts w:ascii="Times New Roman" w:hAnsi="Times New Roman"/>
              </w:rPr>
              <w:t>8</w:t>
            </w:r>
            <w:r w:rsidRPr="003A34FC">
              <w:rPr>
                <w:rFonts w:ascii="Times New Roman" w:hAnsi="Times New Roman"/>
              </w:rPr>
              <w:t>.3</w:t>
            </w:r>
            <w:r>
              <w:rPr>
                <w:rFonts w:ascii="Times New Roman" w:hAnsi="Times New Roman"/>
              </w:rPr>
              <w:t>2</w:t>
            </w:r>
            <w:r w:rsidRPr="003A34FC">
              <w:rPr>
                <w:rFonts w:ascii="Times New Roman" w:hAnsi="Times New Roman"/>
              </w:rPr>
              <w:t>±0.</w:t>
            </w:r>
            <w:r>
              <w:rPr>
                <w:rFonts w:ascii="Times New Roman" w:hAnsi="Times New Roman"/>
              </w:rPr>
              <w:t>16</w:t>
            </w:r>
          </w:p>
        </w:tc>
        <w:tc>
          <w:tcPr>
            <w:tcW w:w="2056" w:type="dxa"/>
            <w:tcBorders>
              <w:bottom w:val="single" w:sz="4" w:space="0" w:color="auto"/>
            </w:tcBorders>
            <w:shd w:val="clear" w:color="auto" w:fill="auto"/>
          </w:tcPr>
          <w:p w14:paraId="0FC7E2B5" w14:textId="64CF7E10" w:rsidR="001F07E7" w:rsidRPr="00E12E73" w:rsidRDefault="001F07E7" w:rsidP="001F07E7">
            <w:pPr>
              <w:contextualSpacing/>
              <w:rPr>
                <w:rFonts w:ascii="Times New Roman" w:hAnsi="Times New Roman"/>
              </w:rPr>
            </w:pPr>
            <w:r w:rsidRPr="003A34FC">
              <w:rPr>
                <w:rFonts w:ascii="Times New Roman" w:hAnsi="Times New Roman"/>
              </w:rPr>
              <w:t>–</w:t>
            </w:r>
            <w:r>
              <w:rPr>
                <w:rFonts w:ascii="Times New Roman" w:hAnsi="Times New Roman"/>
              </w:rPr>
              <w:t>4.52</w:t>
            </w:r>
            <w:r w:rsidRPr="003A34FC">
              <w:rPr>
                <w:rFonts w:ascii="Times New Roman" w:hAnsi="Times New Roman"/>
              </w:rPr>
              <w:t>±0.</w:t>
            </w:r>
            <w:r>
              <w:rPr>
                <w:rFonts w:ascii="Times New Roman" w:hAnsi="Times New Roman"/>
              </w:rPr>
              <w:t>12</w:t>
            </w:r>
          </w:p>
        </w:tc>
      </w:tr>
    </w:tbl>
    <w:p w14:paraId="349E6005" w14:textId="77777777" w:rsidR="00015A4C" w:rsidRPr="00DB1957" w:rsidRDefault="00015A4C" w:rsidP="00015A4C">
      <w:pPr>
        <w:spacing w:after="120"/>
        <w:jc w:val="both"/>
        <w:outlineLvl w:val="0"/>
        <w:rPr>
          <w:rFonts w:ascii="Times New Roman" w:hAnsi="Times New Roman"/>
        </w:rPr>
      </w:pPr>
    </w:p>
    <w:p w14:paraId="3AD661E7" w14:textId="45700329" w:rsidR="00015A4C" w:rsidRPr="00DB1957" w:rsidRDefault="00015A4C" w:rsidP="00015A4C">
      <w:pPr>
        <w:contextualSpacing/>
        <w:rPr>
          <w:rFonts w:ascii="Times New Roman" w:hAnsi="Times New Roman"/>
        </w:rPr>
      </w:pPr>
      <w:r w:rsidRPr="00DB1957">
        <w:rPr>
          <w:rFonts w:ascii="Times New Roman" w:hAnsi="Times New Roman"/>
        </w:rPr>
        <w:t xml:space="preserve">The following standards were used to monitor </w:t>
      </w:r>
      <w:r w:rsidR="00DD3429" w:rsidRPr="00DB1957">
        <w:rPr>
          <w:rFonts w:ascii="Times New Roman" w:hAnsi="Times New Roman"/>
        </w:rPr>
        <w:t>analytical uncertainty</w:t>
      </w:r>
      <w:r w:rsidRPr="00DB1957">
        <w:rPr>
          <w:rFonts w:ascii="Times New Roman" w:hAnsi="Times New Roman"/>
        </w:rPr>
        <w:t xml:space="preserve"> (Table </w:t>
      </w:r>
      <w:r w:rsidR="007E65E1" w:rsidRPr="00DB1957">
        <w:rPr>
          <w:rFonts w:ascii="Times New Roman" w:hAnsi="Times New Roman"/>
        </w:rPr>
        <w:t>A</w:t>
      </w:r>
      <w:r w:rsidRPr="00DB1957">
        <w:rPr>
          <w:rFonts w:ascii="Times New Roman" w:hAnsi="Times New Roman"/>
        </w:rPr>
        <w:t>2). The isotopic compositions reported here for internal standards represent long term averages calibrated to VPDB and AIR wi</w:t>
      </w:r>
      <w:r w:rsidRPr="00E12E73">
        <w:rPr>
          <w:rFonts w:ascii="Times New Roman" w:hAnsi="Times New Roman"/>
        </w:rPr>
        <w:t>th USGS40 and USGS41.</w:t>
      </w:r>
    </w:p>
    <w:p w14:paraId="4D76BCB3" w14:textId="77777777" w:rsidR="00015A4C" w:rsidRPr="00DB1957" w:rsidRDefault="00015A4C" w:rsidP="00015A4C">
      <w:pPr>
        <w:contextualSpacing/>
        <w:rPr>
          <w:rFonts w:ascii="Times New Roman" w:hAnsi="Times New Roman"/>
        </w:rPr>
      </w:pPr>
      <w:r w:rsidRPr="00DB1957">
        <w:rPr>
          <w:rFonts w:ascii="Times New Roman" w:hAnsi="Times New Roman"/>
        </w:rPr>
        <w:t xml:space="preserve"> </w:t>
      </w:r>
    </w:p>
    <w:p w14:paraId="5F31FA70" w14:textId="365445D3" w:rsidR="00015A4C" w:rsidRPr="00DB1957" w:rsidRDefault="00015A4C" w:rsidP="00015A4C">
      <w:pPr>
        <w:rPr>
          <w:rFonts w:ascii="Times New Roman" w:hAnsi="Times New Roman"/>
          <w:b/>
        </w:rPr>
      </w:pPr>
      <w:r w:rsidRPr="00DB1957">
        <w:rPr>
          <w:rFonts w:ascii="Times New Roman" w:hAnsi="Times New Roman"/>
          <w:b/>
        </w:rPr>
        <w:t xml:space="preserve">Table </w:t>
      </w:r>
      <w:r w:rsidR="007E65E1" w:rsidRPr="00DB1957">
        <w:rPr>
          <w:rFonts w:ascii="Times New Roman" w:hAnsi="Times New Roman"/>
          <w:b/>
        </w:rPr>
        <w:t>A2</w:t>
      </w:r>
      <w:r w:rsidRPr="00DB1957">
        <w:rPr>
          <w:rFonts w:ascii="Times New Roman" w:hAnsi="Times New Roman"/>
          <w:b/>
        </w:rPr>
        <w:t xml:space="preserve">. </w:t>
      </w:r>
      <w:r w:rsidRPr="00DB1957">
        <w:rPr>
          <w:rFonts w:ascii="Times New Roman" w:hAnsi="Times New Roman"/>
        </w:rPr>
        <w:t>Standard reference materials used for to monitor internal accuracy and precision.</w:t>
      </w:r>
    </w:p>
    <w:tbl>
      <w:tblPr>
        <w:tblW w:w="0" w:type="auto"/>
        <w:tblLook w:val="04A0" w:firstRow="1" w:lastRow="0" w:firstColumn="1" w:lastColumn="0" w:noHBand="0" w:noVBand="1"/>
      </w:tblPr>
      <w:tblGrid>
        <w:gridCol w:w="1474"/>
        <w:gridCol w:w="2745"/>
        <w:gridCol w:w="2385"/>
        <w:gridCol w:w="1693"/>
      </w:tblGrid>
      <w:tr w:rsidR="00015A4C" w:rsidRPr="00DB1957" w14:paraId="3A1F4901" w14:textId="77777777" w:rsidTr="00015A4C">
        <w:tc>
          <w:tcPr>
            <w:tcW w:w="1474" w:type="dxa"/>
            <w:tcBorders>
              <w:top w:val="single" w:sz="4" w:space="0" w:color="auto"/>
              <w:bottom w:val="single" w:sz="4" w:space="0" w:color="auto"/>
            </w:tcBorders>
            <w:shd w:val="clear" w:color="auto" w:fill="auto"/>
          </w:tcPr>
          <w:p w14:paraId="1B618B9B" w14:textId="77777777" w:rsidR="00015A4C" w:rsidRPr="00DB1957" w:rsidRDefault="00015A4C" w:rsidP="00015A4C">
            <w:pPr>
              <w:contextualSpacing/>
              <w:rPr>
                <w:rFonts w:ascii="Times New Roman" w:hAnsi="Times New Roman"/>
              </w:rPr>
            </w:pPr>
            <w:r w:rsidRPr="00DB1957">
              <w:rPr>
                <w:rFonts w:ascii="Times New Roman" w:hAnsi="Times New Roman"/>
              </w:rPr>
              <w:t>Standard</w:t>
            </w:r>
          </w:p>
        </w:tc>
        <w:tc>
          <w:tcPr>
            <w:tcW w:w="2745" w:type="dxa"/>
            <w:tcBorders>
              <w:top w:val="single" w:sz="4" w:space="0" w:color="auto"/>
              <w:bottom w:val="single" w:sz="4" w:space="0" w:color="auto"/>
            </w:tcBorders>
            <w:shd w:val="clear" w:color="auto" w:fill="auto"/>
          </w:tcPr>
          <w:p w14:paraId="083588E3" w14:textId="77777777" w:rsidR="00015A4C" w:rsidRPr="00DB1957" w:rsidRDefault="00015A4C" w:rsidP="00015A4C">
            <w:pPr>
              <w:contextualSpacing/>
              <w:rPr>
                <w:rFonts w:ascii="Times New Roman" w:hAnsi="Times New Roman"/>
              </w:rPr>
            </w:pPr>
            <w:r w:rsidRPr="00DB1957">
              <w:rPr>
                <w:rFonts w:ascii="Times New Roman" w:hAnsi="Times New Roman"/>
              </w:rPr>
              <w:t>Material</w:t>
            </w:r>
          </w:p>
        </w:tc>
        <w:tc>
          <w:tcPr>
            <w:tcW w:w="2385" w:type="dxa"/>
            <w:tcBorders>
              <w:top w:val="single" w:sz="4" w:space="0" w:color="auto"/>
              <w:bottom w:val="single" w:sz="4" w:space="0" w:color="auto"/>
            </w:tcBorders>
            <w:shd w:val="clear" w:color="auto" w:fill="auto"/>
          </w:tcPr>
          <w:p w14:paraId="08D11C33" w14:textId="77777777" w:rsidR="00015A4C" w:rsidRPr="00DB1957" w:rsidRDefault="00015A4C" w:rsidP="00015A4C">
            <w:pPr>
              <w:contextualSpacing/>
              <w:rPr>
                <w:rFonts w:ascii="Times New Roman" w:hAnsi="Times New Roman"/>
              </w:rPr>
            </w:pPr>
            <w:r w:rsidRPr="00DB1957">
              <w:rPr>
                <w:rFonts w:ascii="Times New Roman" w:hAnsi="Times New Roman"/>
              </w:rPr>
              <w:t xml:space="preserve">Mean </w:t>
            </w:r>
            <w:r w:rsidRPr="00DB1957">
              <w:rPr>
                <w:rFonts w:ascii="Times New Roman" w:hAnsi="Times New Roman"/>
                <w:i/>
              </w:rPr>
              <w:sym w:font="Symbol" w:char="F064"/>
            </w:r>
            <w:r w:rsidRPr="00DB1957">
              <w:rPr>
                <w:rFonts w:ascii="Times New Roman" w:hAnsi="Times New Roman"/>
                <w:vertAlign w:val="superscript"/>
              </w:rPr>
              <w:t>13</w:t>
            </w:r>
            <w:r w:rsidRPr="00DB1957">
              <w:rPr>
                <w:rFonts w:ascii="Times New Roman" w:hAnsi="Times New Roman"/>
              </w:rPr>
              <w:t xml:space="preserve">C </w:t>
            </w:r>
          </w:p>
          <w:p w14:paraId="593378B0" w14:textId="77777777" w:rsidR="00015A4C" w:rsidRPr="00DB1957" w:rsidRDefault="00015A4C" w:rsidP="00015A4C">
            <w:pPr>
              <w:contextualSpacing/>
              <w:rPr>
                <w:rFonts w:ascii="Times New Roman" w:hAnsi="Times New Roman"/>
              </w:rPr>
            </w:pPr>
            <w:r w:rsidRPr="00DB1957">
              <w:rPr>
                <w:rFonts w:ascii="Times New Roman" w:hAnsi="Times New Roman"/>
              </w:rPr>
              <w:t>(‰, VPDB)</w:t>
            </w:r>
          </w:p>
        </w:tc>
        <w:tc>
          <w:tcPr>
            <w:tcW w:w="1693" w:type="dxa"/>
            <w:tcBorders>
              <w:top w:val="single" w:sz="4" w:space="0" w:color="auto"/>
              <w:bottom w:val="single" w:sz="4" w:space="0" w:color="auto"/>
            </w:tcBorders>
            <w:shd w:val="clear" w:color="auto" w:fill="auto"/>
          </w:tcPr>
          <w:p w14:paraId="26A9DF91" w14:textId="77777777" w:rsidR="00015A4C" w:rsidRPr="00DB1957" w:rsidRDefault="00015A4C" w:rsidP="00015A4C">
            <w:pPr>
              <w:ind w:right="-149"/>
              <w:contextualSpacing/>
              <w:rPr>
                <w:rFonts w:ascii="Times New Roman" w:hAnsi="Times New Roman"/>
              </w:rPr>
            </w:pPr>
            <w:r w:rsidRPr="00DB1957">
              <w:rPr>
                <w:rFonts w:ascii="Times New Roman" w:hAnsi="Times New Roman"/>
              </w:rPr>
              <w:t xml:space="preserve">Mean </w:t>
            </w:r>
            <w:r w:rsidRPr="00DB1957">
              <w:rPr>
                <w:rFonts w:ascii="Times New Roman" w:hAnsi="Times New Roman"/>
                <w:i/>
              </w:rPr>
              <w:sym w:font="Symbol" w:char="F064"/>
            </w:r>
            <w:r w:rsidRPr="00DB1957">
              <w:rPr>
                <w:rFonts w:ascii="Times New Roman" w:hAnsi="Times New Roman"/>
                <w:vertAlign w:val="superscript"/>
              </w:rPr>
              <w:t>15</w:t>
            </w:r>
            <w:r w:rsidRPr="00DB1957">
              <w:rPr>
                <w:rFonts w:ascii="Times New Roman" w:hAnsi="Times New Roman"/>
              </w:rPr>
              <w:t xml:space="preserve">N </w:t>
            </w:r>
          </w:p>
          <w:p w14:paraId="5DF2792B" w14:textId="77777777" w:rsidR="00015A4C" w:rsidRPr="00DB1957" w:rsidRDefault="00015A4C" w:rsidP="00015A4C">
            <w:pPr>
              <w:ind w:right="-149"/>
              <w:contextualSpacing/>
              <w:rPr>
                <w:rFonts w:ascii="Times New Roman" w:hAnsi="Times New Roman"/>
              </w:rPr>
            </w:pPr>
            <w:r w:rsidRPr="00DB1957">
              <w:rPr>
                <w:rFonts w:ascii="Times New Roman" w:hAnsi="Times New Roman"/>
              </w:rPr>
              <w:t>(‰, AIR)</w:t>
            </w:r>
          </w:p>
        </w:tc>
      </w:tr>
      <w:tr w:rsidR="00015A4C" w:rsidRPr="00DB1957" w14:paraId="235F1595" w14:textId="77777777" w:rsidTr="00015A4C">
        <w:tc>
          <w:tcPr>
            <w:tcW w:w="1474" w:type="dxa"/>
            <w:tcBorders>
              <w:top w:val="single" w:sz="4" w:space="0" w:color="auto"/>
            </w:tcBorders>
            <w:shd w:val="clear" w:color="auto" w:fill="auto"/>
          </w:tcPr>
          <w:p w14:paraId="5D4071CB" w14:textId="6C208C28" w:rsidR="00015A4C" w:rsidRPr="00E12E73" w:rsidRDefault="00E12E73" w:rsidP="00015A4C">
            <w:pPr>
              <w:contextualSpacing/>
              <w:rPr>
                <w:rFonts w:ascii="Times New Roman" w:hAnsi="Times New Roman"/>
              </w:rPr>
            </w:pPr>
            <w:r w:rsidRPr="00E12E73">
              <w:rPr>
                <w:rFonts w:ascii="Times New Roman" w:hAnsi="Times New Roman"/>
              </w:rPr>
              <w:t>Cocoa</w:t>
            </w:r>
          </w:p>
        </w:tc>
        <w:tc>
          <w:tcPr>
            <w:tcW w:w="2745" w:type="dxa"/>
            <w:tcBorders>
              <w:top w:val="single" w:sz="4" w:space="0" w:color="auto"/>
            </w:tcBorders>
            <w:shd w:val="clear" w:color="auto" w:fill="auto"/>
          </w:tcPr>
          <w:p w14:paraId="0C5A6F10" w14:textId="0786DCBB" w:rsidR="00015A4C" w:rsidRPr="00E12E73" w:rsidRDefault="00E12E73" w:rsidP="00015A4C">
            <w:pPr>
              <w:contextualSpacing/>
              <w:rPr>
                <w:rFonts w:ascii="Times New Roman" w:hAnsi="Times New Roman"/>
              </w:rPr>
            </w:pPr>
            <w:r w:rsidRPr="00E12E73">
              <w:rPr>
                <w:rFonts w:ascii="Times New Roman" w:hAnsi="Times New Roman"/>
              </w:rPr>
              <w:t>Cocoa</w:t>
            </w:r>
          </w:p>
        </w:tc>
        <w:tc>
          <w:tcPr>
            <w:tcW w:w="2385" w:type="dxa"/>
            <w:tcBorders>
              <w:top w:val="single" w:sz="4" w:space="0" w:color="auto"/>
            </w:tcBorders>
            <w:shd w:val="clear" w:color="auto" w:fill="auto"/>
          </w:tcPr>
          <w:p w14:paraId="04636506" w14:textId="0EF45041" w:rsidR="00015A4C" w:rsidRPr="00E12E73" w:rsidRDefault="00DD3429" w:rsidP="00015A4C">
            <w:pPr>
              <w:contextualSpacing/>
              <w:rPr>
                <w:rFonts w:ascii="Times New Roman" w:hAnsi="Times New Roman"/>
              </w:rPr>
            </w:pPr>
            <w:r w:rsidRPr="00E12E73">
              <w:rPr>
                <w:rFonts w:ascii="Times New Roman" w:hAnsi="Times New Roman"/>
              </w:rPr>
              <w:t>−</w:t>
            </w:r>
            <w:r w:rsidR="00E12E73" w:rsidRPr="00E12E73">
              <w:rPr>
                <w:rFonts w:ascii="Times New Roman" w:hAnsi="Times New Roman"/>
              </w:rPr>
              <w:t>29.11</w:t>
            </w:r>
            <w:r w:rsidRPr="00E12E73">
              <w:rPr>
                <w:rFonts w:ascii="Times New Roman" w:hAnsi="Times New Roman"/>
              </w:rPr>
              <w:t>±0.0</w:t>
            </w:r>
            <w:r w:rsidR="00E12E73" w:rsidRPr="00E12E73">
              <w:rPr>
                <w:rFonts w:ascii="Times New Roman" w:hAnsi="Times New Roman"/>
              </w:rPr>
              <w:t>2</w:t>
            </w:r>
          </w:p>
        </w:tc>
        <w:tc>
          <w:tcPr>
            <w:tcW w:w="1693" w:type="dxa"/>
            <w:tcBorders>
              <w:top w:val="single" w:sz="4" w:space="0" w:color="auto"/>
            </w:tcBorders>
            <w:shd w:val="clear" w:color="auto" w:fill="auto"/>
          </w:tcPr>
          <w:p w14:paraId="74275119" w14:textId="3A8C4402" w:rsidR="00015A4C" w:rsidRPr="00547C55" w:rsidRDefault="00547C55" w:rsidP="00015A4C">
            <w:pPr>
              <w:ind w:right="-149"/>
              <w:contextualSpacing/>
              <w:rPr>
                <w:rFonts w:ascii="Times New Roman" w:hAnsi="Times New Roman"/>
              </w:rPr>
            </w:pPr>
            <w:r w:rsidRPr="00547C55">
              <w:rPr>
                <w:rFonts w:ascii="Times New Roman" w:hAnsi="Times New Roman"/>
              </w:rPr>
              <w:t>+</w:t>
            </w:r>
            <w:r w:rsidRPr="00547C55">
              <w:rPr>
                <w:rFonts w:ascii="Times New Roman" w:hAnsi="Times New Roman"/>
              </w:rPr>
              <w:t>5.34</w:t>
            </w:r>
            <w:r w:rsidR="00DD3429" w:rsidRPr="00547C55">
              <w:rPr>
                <w:rFonts w:ascii="Times New Roman" w:hAnsi="Times New Roman"/>
              </w:rPr>
              <w:t>±0.</w:t>
            </w:r>
            <w:r w:rsidR="001F07E7" w:rsidRPr="00547C55">
              <w:rPr>
                <w:rFonts w:ascii="Times New Roman" w:hAnsi="Times New Roman"/>
              </w:rPr>
              <w:t>20</w:t>
            </w:r>
          </w:p>
        </w:tc>
      </w:tr>
      <w:tr w:rsidR="00015A4C" w:rsidRPr="00DB1957" w14:paraId="7CBB3A91" w14:textId="77777777" w:rsidTr="00015A4C">
        <w:tc>
          <w:tcPr>
            <w:tcW w:w="1474" w:type="dxa"/>
            <w:tcBorders>
              <w:bottom w:val="single" w:sz="4" w:space="0" w:color="auto"/>
            </w:tcBorders>
            <w:shd w:val="clear" w:color="auto" w:fill="auto"/>
          </w:tcPr>
          <w:p w14:paraId="79BA2C9F" w14:textId="4AC9A06F" w:rsidR="00015A4C" w:rsidRPr="00E12E73" w:rsidRDefault="00E12E73" w:rsidP="00015A4C">
            <w:pPr>
              <w:contextualSpacing/>
              <w:rPr>
                <w:rFonts w:ascii="Times New Roman" w:hAnsi="Times New Roman"/>
              </w:rPr>
            </w:pPr>
            <w:r w:rsidRPr="00E12E73">
              <w:rPr>
                <w:rFonts w:ascii="Times New Roman" w:hAnsi="Times New Roman"/>
              </w:rPr>
              <w:t>Trout</w:t>
            </w:r>
          </w:p>
        </w:tc>
        <w:tc>
          <w:tcPr>
            <w:tcW w:w="2745" w:type="dxa"/>
            <w:tcBorders>
              <w:bottom w:val="single" w:sz="4" w:space="0" w:color="auto"/>
            </w:tcBorders>
            <w:shd w:val="clear" w:color="auto" w:fill="auto"/>
          </w:tcPr>
          <w:p w14:paraId="764ED4E8" w14:textId="331EE1CD" w:rsidR="00015A4C" w:rsidRPr="00E12E73" w:rsidRDefault="00E12E73" w:rsidP="00015A4C">
            <w:pPr>
              <w:contextualSpacing/>
              <w:rPr>
                <w:rFonts w:ascii="Times New Roman" w:hAnsi="Times New Roman"/>
              </w:rPr>
            </w:pPr>
            <w:r w:rsidRPr="00E12E73">
              <w:rPr>
                <w:rFonts w:ascii="Times New Roman" w:hAnsi="Times New Roman"/>
              </w:rPr>
              <w:t>Tout</w:t>
            </w:r>
          </w:p>
        </w:tc>
        <w:tc>
          <w:tcPr>
            <w:tcW w:w="2385" w:type="dxa"/>
            <w:tcBorders>
              <w:bottom w:val="single" w:sz="4" w:space="0" w:color="auto"/>
            </w:tcBorders>
            <w:shd w:val="clear" w:color="auto" w:fill="auto"/>
          </w:tcPr>
          <w:p w14:paraId="494ABFF1" w14:textId="78DAB6D1" w:rsidR="00015A4C" w:rsidRPr="00E12E73" w:rsidRDefault="00DD3429" w:rsidP="00015A4C">
            <w:pPr>
              <w:contextualSpacing/>
              <w:rPr>
                <w:rFonts w:ascii="Times New Roman" w:hAnsi="Times New Roman"/>
              </w:rPr>
            </w:pPr>
            <w:r w:rsidRPr="00E12E73">
              <w:rPr>
                <w:rFonts w:ascii="Times New Roman" w:hAnsi="Times New Roman"/>
              </w:rPr>
              <w:t>−</w:t>
            </w:r>
            <w:r w:rsidR="00E12E73" w:rsidRPr="00E12E73">
              <w:rPr>
                <w:rFonts w:ascii="Times New Roman" w:hAnsi="Times New Roman"/>
              </w:rPr>
              <w:t>28.97</w:t>
            </w:r>
            <w:r w:rsidRPr="00E12E73">
              <w:rPr>
                <w:rFonts w:ascii="Times New Roman" w:hAnsi="Times New Roman"/>
              </w:rPr>
              <w:t>±0.0</w:t>
            </w:r>
            <w:r w:rsidR="00E12E73" w:rsidRPr="00E12E73">
              <w:rPr>
                <w:rFonts w:ascii="Times New Roman" w:hAnsi="Times New Roman"/>
              </w:rPr>
              <w:t>2</w:t>
            </w:r>
          </w:p>
        </w:tc>
        <w:tc>
          <w:tcPr>
            <w:tcW w:w="1693" w:type="dxa"/>
            <w:tcBorders>
              <w:bottom w:val="single" w:sz="4" w:space="0" w:color="auto"/>
            </w:tcBorders>
            <w:shd w:val="clear" w:color="auto" w:fill="auto"/>
          </w:tcPr>
          <w:p w14:paraId="53B25D89" w14:textId="6F80C82C" w:rsidR="00015A4C" w:rsidRPr="00547C55" w:rsidRDefault="00547C55" w:rsidP="00015A4C">
            <w:pPr>
              <w:ind w:right="-149"/>
              <w:contextualSpacing/>
              <w:rPr>
                <w:rFonts w:ascii="Times New Roman" w:hAnsi="Times New Roman"/>
              </w:rPr>
            </w:pPr>
            <w:r w:rsidRPr="00547C55">
              <w:rPr>
                <w:rFonts w:ascii="Times New Roman" w:hAnsi="Times New Roman"/>
              </w:rPr>
              <w:t>+15.78</w:t>
            </w:r>
            <w:r w:rsidR="00DD3429" w:rsidRPr="00547C55">
              <w:rPr>
                <w:rFonts w:ascii="Times New Roman" w:hAnsi="Times New Roman"/>
              </w:rPr>
              <w:t>±0.10</w:t>
            </w:r>
          </w:p>
        </w:tc>
      </w:tr>
    </w:tbl>
    <w:p w14:paraId="35C2B8CC" w14:textId="77777777" w:rsidR="00015A4C" w:rsidRPr="00DB1957" w:rsidRDefault="00015A4C" w:rsidP="00015A4C">
      <w:pPr>
        <w:contextualSpacing/>
        <w:rPr>
          <w:rFonts w:ascii="Times New Roman" w:hAnsi="Times New Roman"/>
        </w:rPr>
      </w:pPr>
    </w:p>
    <w:p w14:paraId="25333ABA" w14:textId="77777777" w:rsidR="00547C55" w:rsidRDefault="00547C55" w:rsidP="00015A4C">
      <w:pPr>
        <w:contextualSpacing/>
        <w:rPr>
          <w:rFonts w:ascii="Times New Roman" w:hAnsi="Times New Roman"/>
        </w:rPr>
      </w:pPr>
    </w:p>
    <w:p w14:paraId="514B8E1C" w14:textId="77777777" w:rsidR="00547C55" w:rsidRDefault="00547C55" w:rsidP="00015A4C">
      <w:pPr>
        <w:contextualSpacing/>
        <w:rPr>
          <w:rFonts w:ascii="Times New Roman" w:hAnsi="Times New Roman"/>
        </w:rPr>
      </w:pPr>
    </w:p>
    <w:p w14:paraId="068B1AA1" w14:textId="77777777" w:rsidR="00547C55" w:rsidRDefault="00547C55" w:rsidP="00015A4C">
      <w:pPr>
        <w:contextualSpacing/>
        <w:rPr>
          <w:rFonts w:ascii="Times New Roman" w:hAnsi="Times New Roman"/>
        </w:rPr>
      </w:pPr>
    </w:p>
    <w:p w14:paraId="4AD68D98" w14:textId="21218FDA" w:rsidR="00DD3429" w:rsidRPr="00DB1957" w:rsidRDefault="00DD3429" w:rsidP="00015A4C">
      <w:pPr>
        <w:contextualSpacing/>
        <w:rPr>
          <w:rFonts w:ascii="Times New Roman" w:hAnsi="Times New Roman"/>
        </w:rPr>
      </w:pPr>
      <w:r w:rsidRPr="00DB1957">
        <w:rPr>
          <w:rFonts w:ascii="Times New Roman" w:hAnsi="Times New Roman"/>
        </w:rPr>
        <w:lastRenderedPageBreak/>
        <w:t xml:space="preserve">Table </w:t>
      </w:r>
      <w:r w:rsidR="007E65E1" w:rsidRPr="00DB1957">
        <w:rPr>
          <w:rFonts w:ascii="Times New Roman" w:hAnsi="Times New Roman"/>
        </w:rPr>
        <w:t>A3</w:t>
      </w:r>
      <w:r w:rsidRPr="00DB1957">
        <w:rPr>
          <w:rFonts w:ascii="Times New Roman" w:hAnsi="Times New Roman"/>
        </w:rPr>
        <w:t xml:space="preserve"> presents the means and standard deviations of the </w:t>
      </w:r>
      <w:r w:rsidRPr="00DB1957">
        <w:rPr>
          <w:rFonts w:ascii="Times New Roman" w:hAnsi="Times New Roman"/>
          <w:i/>
        </w:rPr>
        <w:t>δ</w:t>
      </w:r>
      <w:r w:rsidRPr="00DB1957">
        <w:rPr>
          <w:rFonts w:ascii="Times New Roman" w:hAnsi="Times New Roman"/>
          <w:vertAlign w:val="superscript"/>
        </w:rPr>
        <w:t>13</w:t>
      </w:r>
      <w:r w:rsidRPr="00DB1957">
        <w:rPr>
          <w:rFonts w:ascii="Times New Roman" w:hAnsi="Times New Roman"/>
        </w:rPr>
        <w:t xml:space="preserve">C and </w:t>
      </w:r>
      <w:r w:rsidRPr="00DB1957">
        <w:rPr>
          <w:rFonts w:ascii="Times New Roman" w:hAnsi="Times New Roman"/>
          <w:i/>
        </w:rPr>
        <w:t>δ</w:t>
      </w:r>
      <w:r w:rsidRPr="00DB1957">
        <w:rPr>
          <w:rFonts w:ascii="Times New Roman" w:hAnsi="Times New Roman"/>
          <w:vertAlign w:val="superscript"/>
        </w:rPr>
        <w:t>15</w:t>
      </w:r>
      <w:r w:rsidRPr="00DB1957">
        <w:rPr>
          <w:rFonts w:ascii="Times New Roman" w:hAnsi="Times New Roman"/>
        </w:rPr>
        <w:t>N values for the check and ca</w:t>
      </w:r>
      <w:r w:rsidRPr="00547C55">
        <w:rPr>
          <w:rFonts w:ascii="Times New Roman" w:hAnsi="Times New Roman"/>
        </w:rPr>
        <w:t xml:space="preserve">libration standards (standard deviations only) as well as the number of standards included in each analytical session. </w:t>
      </w:r>
      <w:r w:rsidR="0049649C" w:rsidRPr="00547C55">
        <w:rPr>
          <w:rFonts w:ascii="Times New Roman" w:hAnsi="Times New Roman"/>
        </w:rPr>
        <w:t>Of the basis of the check and calibration standards, m</w:t>
      </w:r>
      <w:r w:rsidR="0028562C" w:rsidRPr="00547C55">
        <w:rPr>
          <w:rFonts w:ascii="Times New Roman" w:hAnsi="Times New Roman"/>
        </w:rPr>
        <w:t>easurement precision (the pooled standard deviation of the check and calibration standards) was ±0.</w:t>
      </w:r>
      <w:r w:rsidR="00547C55" w:rsidRPr="00547C55">
        <w:rPr>
          <w:rFonts w:ascii="Times New Roman" w:hAnsi="Times New Roman"/>
        </w:rPr>
        <w:t>26</w:t>
      </w:r>
      <w:r w:rsidR="0028562C" w:rsidRPr="00547C55">
        <w:rPr>
          <w:rFonts w:ascii="Times New Roman" w:hAnsi="Times New Roman"/>
        </w:rPr>
        <w:t xml:space="preserve"> ‰ for </w:t>
      </w:r>
      <w:r w:rsidR="0028562C" w:rsidRPr="00547C55">
        <w:rPr>
          <w:rFonts w:ascii="Times New Roman" w:hAnsi="Times New Roman"/>
          <w:i/>
        </w:rPr>
        <w:t>δ</w:t>
      </w:r>
      <w:r w:rsidR="0028562C" w:rsidRPr="00547C55">
        <w:rPr>
          <w:rFonts w:ascii="Times New Roman" w:hAnsi="Times New Roman"/>
          <w:vertAlign w:val="superscript"/>
        </w:rPr>
        <w:t>13</w:t>
      </w:r>
      <w:r w:rsidR="0028562C" w:rsidRPr="00547C55">
        <w:rPr>
          <w:rFonts w:ascii="Times New Roman" w:hAnsi="Times New Roman"/>
        </w:rPr>
        <w:t>C and ±0.</w:t>
      </w:r>
      <w:r w:rsidR="00547C55" w:rsidRPr="00547C55">
        <w:rPr>
          <w:rFonts w:ascii="Times New Roman" w:hAnsi="Times New Roman"/>
        </w:rPr>
        <w:t>01</w:t>
      </w:r>
      <w:r w:rsidR="0028562C" w:rsidRPr="00547C55">
        <w:rPr>
          <w:rFonts w:ascii="Times New Roman" w:hAnsi="Times New Roman"/>
        </w:rPr>
        <w:t xml:space="preserve"> ‰ for </w:t>
      </w:r>
      <w:r w:rsidR="0028562C" w:rsidRPr="00547C55">
        <w:rPr>
          <w:rFonts w:ascii="Times New Roman" w:hAnsi="Times New Roman"/>
          <w:i/>
        </w:rPr>
        <w:t>δ</w:t>
      </w:r>
      <w:r w:rsidR="0028562C" w:rsidRPr="00547C55">
        <w:rPr>
          <w:rFonts w:ascii="Times New Roman" w:hAnsi="Times New Roman"/>
          <w:vertAlign w:val="superscript"/>
        </w:rPr>
        <w:t>15</w:t>
      </w:r>
      <w:r w:rsidR="0028562C" w:rsidRPr="00547C55">
        <w:rPr>
          <w:rFonts w:ascii="Times New Roman" w:hAnsi="Times New Roman"/>
        </w:rPr>
        <w:t>N (</w:t>
      </w:r>
      <w:r w:rsidR="0028562C" w:rsidRPr="00547C55">
        <w:rPr>
          <w:rFonts w:ascii="Times New Roman" w:hAnsi="Times New Roman"/>
          <w:i/>
        </w:rPr>
        <w:t>df</w:t>
      </w:r>
      <w:r w:rsidR="0028562C" w:rsidRPr="00547C55">
        <w:rPr>
          <w:rFonts w:ascii="Times New Roman" w:hAnsi="Times New Roman"/>
        </w:rPr>
        <w:t>=</w:t>
      </w:r>
      <w:r w:rsidR="00547C55" w:rsidRPr="00547C55">
        <w:rPr>
          <w:rFonts w:ascii="Times New Roman" w:hAnsi="Times New Roman"/>
        </w:rPr>
        <w:t>33)</w:t>
      </w:r>
      <w:r w:rsidR="0028562C" w:rsidRPr="00547C55">
        <w:rPr>
          <w:rFonts w:ascii="Times New Roman" w:hAnsi="Times New Roman"/>
        </w:rPr>
        <w:t xml:space="preserve">. </w:t>
      </w:r>
      <w:r w:rsidR="0049649C" w:rsidRPr="00547C55">
        <w:rPr>
          <w:rFonts w:ascii="Times New Roman" w:hAnsi="Times New Roman"/>
        </w:rPr>
        <w:t xml:space="preserve">Measurement accuracy (bias) was evaluated by comparing the known and measured </w:t>
      </w:r>
      <w:r w:rsidR="0049649C" w:rsidRPr="00547C55">
        <w:rPr>
          <w:rFonts w:ascii="Times New Roman" w:hAnsi="Times New Roman"/>
          <w:i/>
        </w:rPr>
        <w:t>δ</w:t>
      </w:r>
      <w:r w:rsidR="0049649C" w:rsidRPr="00547C55">
        <w:rPr>
          <w:rFonts w:ascii="Times New Roman" w:hAnsi="Times New Roman"/>
          <w:vertAlign w:val="superscript"/>
        </w:rPr>
        <w:t>13</w:t>
      </w:r>
      <w:r w:rsidR="0049649C" w:rsidRPr="00547C55">
        <w:rPr>
          <w:rFonts w:ascii="Times New Roman" w:hAnsi="Times New Roman"/>
        </w:rPr>
        <w:t xml:space="preserve">C and </w:t>
      </w:r>
      <w:r w:rsidR="0049649C" w:rsidRPr="00547C55">
        <w:rPr>
          <w:rFonts w:ascii="Times New Roman" w:hAnsi="Times New Roman"/>
          <w:i/>
        </w:rPr>
        <w:t>δ</w:t>
      </w:r>
      <w:r w:rsidR="0049649C" w:rsidRPr="00547C55">
        <w:rPr>
          <w:rFonts w:ascii="Times New Roman" w:hAnsi="Times New Roman"/>
          <w:vertAlign w:val="superscript"/>
        </w:rPr>
        <w:t>15</w:t>
      </w:r>
      <w:r w:rsidR="0049649C" w:rsidRPr="00547C55">
        <w:rPr>
          <w:rFonts w:ascii="Times New Roman" w:hAnsi="Times New Roman"/>
        </w:rPr>
        <w:t xml:space="preserve">N values for </w:t>
      </w:r>
      <w:r w:rsidR="00547C55" w:rsidRPr="00547C55">
        <w:rPr>
          <w:rFonts w:ascii="Times New Roman" w:hAnsi="Times New Roman"/>
        </w:rPr>
        <w:t xml:space="preserve">trout and cocoa </w:t>
      </w:r>
      <w:r w:rsidR="0049649C" w:rsidRPr="00547C55">
        <w:rPr>
          <w:rFonts w:ascii="Times New Roman" w:hAnsi="Times New Roman"/>
        </w:rPr>
        <w:t xml:space="preserve">and factoring in the long-term uncertainty in these known measurements following </w:t>
      </w:r>
      <w:r w:rsidR="00A22CB8" w:rsidRPr="00547C55">
        <w:rPr>
          <w:rFonts w:ascii="Times New Roman" w:hAnsi="Times New Roman"/>
        </w:rPr>
        <w:t xml:space="preserve">the methods outlined by Szpak et al. </w:t>
      </w:r>
      <w:r w:rsidR="00A22CB8" w:rsidRPr="00547C55">
        <w:rPr>
          <w:rFonts w:ascii="Times New Roman" w:hAnsi="Times New Roman"/>
        </w:rPr>
        <w:fldChar w:fldCharType="begin"/>
      </w:r>
      <w:r w:rsidR="00A22CB8" w:rsidRPr="00547C55">
        <w:rPr>
          <w:rFonts w:ascii="Times New Roman" w:hAnsi="Times New Roman"/>
        </w:rPr>
        <w:instrText xml:space="preserve"> ADDIN EN.CITE &lt;EndNote&gt;&lt;Cite ExcludeAuth="1"&gt;&lt;Author&gt;Szpak&lt;/Author&gt;&lt;Year&gt;2017&lt;/Year&gt;&lt;RecNum&gt;2326&lt;/RecNum&gt;&lt;DisplayText&gt;(2017)&lt;/DisplayText&gt;&lt;record&gt;&lt;rec-number&gt;2326&lt;/rec-number&gt;&lt;foreign-keys&gt;&lt;key app="EN" db-id="a0xstfxfwvfap9etf21xwada5v9dra0arpe2" timestamp="1606223935"&gt;2326&lt;/key&gt;&lt;/foreign-keys&gt;&lt;ref-type name="Journal Article"&gt;17&lt;/ref-type&gt;&lt;contributors&gt;&lt;authors&gt;&lt;author&gt;Szpak, Paul&lt;/author&gt;&lt;author&gt;Metcalfe, Jessica Z&lt;/author&gt;&lt;author&gt;Macdonald, Rebecca A&lt;/author&gt;&lt;/authors&gt;&lt;/contributors&gt;&lt;titles&gt;&lt;title&gt;Best practices for calibrating and reporting stable isotope measurements in archaeology&lt;/title&gt;&lt;secondary-title&gt;Journal of Archaeological Science: Reports&lt;/secondary-title&gt;&lt;/titles&gt;&lt;periodical&gt;&lt;full-title&gt;Journal of Archaeological Science: Reports&lt;/full-title&gt;&lt;/periodical&gt;&lt;pages&gt;609-616&lt;/pages&gt;&lt;volume&gt;13&lt;/volume&gt;&lt;dates&gt;&lt;year&gt;2017&lt;/year&gt;&lt;/dates&gt;&lt;isbn&gt;2352-409X&lt;/isbn&gt;&lt;urls&gt;&lt;/urls&gt;&lt;/record&gt;&lt;/Cite&gt;&lt;/EndNote&gt;</w:instrText>
      </w:r>
      <w:r w:rsidR="00A22CB8" w:rsidRPr="00547C55">
        <w:rPr>
          <w:rFonts w:ascii="Times New Roman" w:hAnsi="Times New Roman"/>
        </w:rPr>
        <w:fldChar w:fldCharType="separate"/>
      </w:r>
      <w:r w:rsidR="00A22CB8" w:rsidRPr="00547C55">
        <w:rPr>
          <w:rFonts w:ascii="Times New Roman" w:hAnsi="Times New Roman"/>
          <w:noProof/>
        </w:rPr>
        <w:t>(2017)</w:t>
      </w:r>
      <w:r w:rsidR="00A22CB8" w:rsidRPr="00547C55">
        <w:rPr>
          <w:rFonts w:ascii="Times New Roman" w:hAnsi="Times New Roman"/>
        </w:rPr>
        <w:fldChar w:fldCharType="end"/>
      </w:r>
      <w:r w:rsidR="00A22CB8" w:rsidRPr="00547C55">
        <w:rPr>
          <w:rFonts w:ascii="Times New Roman" w:hAnsi="Times New Roman"/>
        </w:rPr>
        <w:t xml:space="preserve">. </w:t>
      </w:r>
      <w:r w:rsidR="0049649C" w:rsidRPr="00547C55">
        <w:rPr>
          <w:rFonts w:ascii="Times New Roman" w:hAnsi="Times New Roman"/>
        </w:rPr>
        <w:t>Measurement bias due to systematic error (accuracy) was determined to be ±0.</w:t>
      </w:r>
      <w:r w:rsidR="00547C55" w:rsidRPr="00547C55">
        <w:rPr>
          <w:rFonts w:ascii="Times New Roman" w:hAnsi="Times New Roman"/>
        </w:rPr>
        <w:t>34</w:t>
      </w:r>
      <w:r w:rsidR="0049649C" w:rsidRPr="00547C55">
        <w:rPr>
          <w:rFonts w:ascii="Times New Roman" w:hAnsi="Times New Roman"/>
        </w:rPr>
        <w:t xml:space="preserve"> ‰ for </w:t>
      </w:r>
      <w:r w:rsidR="0049649C" w:rsidRPr="00547C55">
        <w:rPr>
          <w:rFonts w:ascii="Times New Roman" w:hAnsi="Times New Roman"/>
          <w:i/>
        </w:rPr>
        <w:t>δ</w:t>
      </w:r>
      <w:r w:rsidR="0049649C" w:rsidRPr="00547C55">
        <w:rPr>
          <w:rFonts w:ascii="Times New Roman" w:hAnsi="Times New Roman"/>
          <w:vertAlign w:val="superscript"/>
        </w:rPr>
        <w:t>13</w:t>
      </w:r>
      <w:r w:rsidR="0049649C" w:rsidRPr="00547C55">
        <w:rPr>
          <w:rFonts w:ascii="Times New Roman" w:hAnsi="Times New Roman"/>
        </w:rPr>
        <w:t>C and ±0.1</w:t>
      </w:r>
      <w:r w:rsidR="00547C55" w:rsidRPr="00547C55">
        <w:rPr>
          <w:rFonts w:ascii="Times New Roman" w:hAnsi="Times New Roman"/>
        </w:rPr>
        <w:t>7</w:t>
      </w:r>
      <w:r w:rsidR="0049649C" w:rsidRPr="00547C55">
        <w:rPr>
          <w:rFonts w:ascii="Times New Roman" w:hAnsi="Times New Roman"/>
        </w:rPr>
        <w:t xml:space="preserve"> ‰ for </w:t>
      </w:r>
      <w:r w:rsidR="0049649C" w:rsidRPr="00547C55">
        <w:rPr>
          <w:rFonts w:ascii="Times New Roman" w:hAnsi="Times New Roman"/>
          <w:i/>
        </w:rPr>
        <w:t>δ</w:t>
      </w:r>
      <w:r w:rsidR="0049649C" w:rsidRPr="00547C55">
        <w:rPr>
          <w:rFonts w:ascii="Times New Roman" w:hAnsi="Times New Roman"/>
          <w:vertAlign w:val="superscript"/>
        </w:rPr>
        <w:t>15</w:t>
      </w:r>
      <w:r w:rsidR="0049649C" w:rsidRPr="00547C55">
        <w:rPr>
          <w:rFonts w:ascii="Times New Roman" w:hAnsi="Times New Roman"/>
        </w:rPr>
        <w:t>N.</w:t>
      </w:r>
      <w:r w:rsidR="0049649C" w:rsidRPr="00DB1957">
        <w:rPr>
          <w:rFonts w:ascii="Times New Roman" w:hAnsi="Times New Roman"/>
        </w:rPr>
        <w:t xml:space="preserve"> </w:t>
      </w:r>
    </w:p>
    <w:p w14:paraId="0A384826" w14:textId="0CE68CBC" w:rsidR="00583B8E" w:rsidRPr="00DB1957" w:rsidRDefault="00583B8E" w:rsidP="00583B8E">
      <w:pPr>
        <w:pStyle w:val="Caption"/>
        <w:keepNext/>
        <w:spacing w:after="0"/>
        <w:contextualSpacing/>
        <w:rPr>
          <w:rFonts w:ascii="Times New Roman" w:hAnsi="Times New Roman"/>
          <w:b w:val="0"/>
          <w:color w:val="auto"/>
          <w:sz w:val="24"/>
          <w:szCs w:val="24"/>
        </w:rPr>
      </w:pPr>
      <w:r w:rsidRPr="00DB1957">
        <w:rPr>
          <w:rFonts w:ascii="Times New Roman" w:hAnsi="Times New Roman"/>
          <w:color w:val="auto"/>
          <w:sz w:val="24"/>
          <w:szCs w:val="24"/>
        </w:rPr>
        <w:t xml:space="preserve">Table </w:t>
      </w:r>
      <w:r w:rsidR="007E65E1" w:rsidRPr="00DB1957">
        <w:rPr>
          <w:rFonts w:ascii="Times New Roman" w:hAnsi="Times New Roman"/>
          <w:color w:val="auto"/>
          <w:sz w:val="24"/>
          <w:szCs w:val="24"/>
        </w:rPr>
        <w:t>A3</w:t>
      </w:r>
      <w:r w:rsidRPr="00DB1957">
        <w:rPr>
          <w:rFonts w:ascii="Times New Roman" w:hAnsi="Times New Roman"/>
          <w:color w:val="auto"/>
          <w:sz w:val="24"/>
          <w:szCs w:val="24"/>
        </w:rPr>
        <w:t xml:space="preserve">. </w:t>
      </w:r>
      <w:r w:rsidRPr="00DB1957">
        <w:rPr>
          <w:rFonts w:ascii="Times New Roman" w:hAnsi="Times New Roman"/>
          <w:b w:val="0"/>
          <w:color w:val="auto"/>
          <w:sz w:val="24"/>
          <w:szCs w:val="24"/>
        </w:rPr>
        <w:t xml:space="preserve">Mean and standard deviation of all check and calibration standards for all analytical sessions containing data presented in this paper. </w:t>
      </w:r>
    </w:p>
    <w:p w14:paraId="2C348BB5" w14:textId="77777777" w:rsidR="00583B8E" w:rsidRPr="00DB1957" w:rsidRDefault="00583B8E" w:rsidP="00583B8E">
      <w:pPr>
        <w:contextualSpacing/>
        <w:rPr>
          <w:rFonts w:ascii="Times New Roman" w:hAnsi="Times New Roman"/>
        </w:rPr>
      </w:pPr>
    </w:p>
    <w:tbl>
      <w:tblPr>
        <w:tblW w:w="9329" w:type="dxa"/>
        <w:tblInd w:w="93" w:type="dxa"/>
        <w:tblLayout w:type="fixed"/>
        <w:tblLook w:val="04A0" w:firstRow="1" w:lastRow="0" w:firstColumn="1" w:lastColumn="0" w:noHBand="0" w:noVBand="1"/>
      </w:tblPr>
      <w:tblGrid>
        <w:gridCol w:w="1702"/>
        <w:gridCol w:w="1530"/>
        <w:gridCol w:w="723"/>
        <w:gridCol w:w="1384"/>
        <w:gridCol w:w="362"/>
        <w:gridCol w:w="908"/>
        <w:gridCol w:w="1268"/>
        <w:gridCol w:w="543"/>
        <w:gridCol w:w="909"/>
      </w:tblGrid>
      <w:tr w:rsidR="00583B8E" w:rsidRPr="00DB1957" w14:paraId="5D739108" w14:textId="77777777" w:rsidTr="00547C55">
        <w:trPr>
          <w:trHeight w:val="38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0778A" w14:textId="169C6741" w:rsidR="00583B8E" w:rsidRPr="00DB1957" w:rsidRDefault="00245868" w:rsidP="00583B8E">
            <w:pPr>
              <w:spacing w:after="0"/>
              <w:contextualSpacing/>
              <w:rPr>
                <w:rFonts w:ascii="Times New Roman" w:hAnsi="Times New Roman"/>
                <w:b/>
                <w:bCs/>
                <w:color w:val="000000"/>
              </w:rPr>
            </w:pPr>
            <w:r w:rsidRPr="00DB1957">
              <w:rPr>
                <w:rFonts w:ascii="Times New Roman" w:hAnsi="Times New Roman"/>
                <w:b/>
                <w:bCs/>
                <w:color w:val="000000"/>
              </w:rPr>
              <w:t>Session 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6F2B4" w14:textId="77777777" w:rsidR="00583B8E" w:rsidRPr="00DB1957" w:rsidRDefault="00583B8E" w:rsidP="00583B8E">
            <w:pPr>
              <w:spacing w:after="0"/>
              <w:contextualSpacing/>
              <w:rPr>
                <w:rFonts w:ascii="Times New Roman" w:hAnsi="Times New Roman"/>
                <w:b/>
                <w:bCs/>
                <w:color w:val="000000"/>
              </w:rPr>
            </w:pPr>
            <w:r w:rsidRPr="00DB1957">
              <w:rPr>
                <w:rFonts w:ascii="Times New Roman" w:hAnsi="Times New Roman"/>
                <w:b/>
                <w:bCs/>
                <w:color w:val="000000"/>
              </w:rPr>
              <w:t>Standard</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9A9BF" w14:textId="77777777" w:rsidR="00583B8E" w:rsidRPr="00DB1957" w:rsidRDefault="00583B8E" w:rsidP="00583B8E">
            <w:pPr>
              <w:spacing w:after="0"/>
              <w:contextualSpacing/>
              <w:rPr>
                <w:rFonts w:ascii="Times New Roman" w:hAnsi="Times New Roman"/>
                <w:b/>
                <w:bCs/>
                <w:color w:val="000000"/>
              </w:rPr>
            </w:pPr>
            <w:r w:rsidRPr="00DB1957">
              <w:rPr>
                <w:rFonts w:ascii="Times New Roman" w:hAnsi="Times New Roman"/>
                <w:b/>
                <w:bCs/>
                <w:color w:val="000000"/>
              </w:rPr>
              <w:t>n</w:t>
            </w:r>
          </w:p>
        </w:tc>
        <w:tc>
          <w:tcPr>
            <w:tcW w:w="265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DE1F3BB" w14:textId="77777777" w:rsidR="00583B8E" w:rsidRPr="00DB1957" w:rsidRDefault="00583B8E" w:rsidP="00583B8E">
            <w:pPr>
              <w:spacing w:after="0"/>
              <w:contextualSpacing/>
              <w:jc w:val="center"/>
              <w:rPr>
                <w:rFonts w:ascii="Times New Roman" w:hAnsi="Times New Roman"/>
                <w:b/>
                <w:bCs/>
              </w:rPr>
            </w:pPr>
            <w:r w:rsidRPr="00DB1957">
              <w:rPr>
                <w:rFonts w:ascii="Times New Roman" w:hAnsi="Times New Roman"/>
                <w:b/>
                <w:bCs/>
                <w:i/>
                <w:iCs/>
              </w:rPr>
              <w:t>δ</w:t>
            </w:r>
            <w:r w:rsidRPr="00DB1957">
              <w:rPr>
                <w:rFonts w:ascii="Times New Roman" w:hAnsi="Times New Roman"/>
                <w:b/>
                <w:bCs/>
                <w:vertAlign w:val="superscript"/>
              </w:rPr>
              <w:t>13</w:t>
            </w:r>
            <w:r w:rsidRPr="00DB1957">
              <w:rPr>
                <w:rFonts w:ascii="Times New Roman" w:hAnsi="Times New Roman"/>
                <w:b/>
                <w:bCs/>
              </w:rPr>
              <w:t>C (‰, VPDB)</w:t>
            </w:r>
          </w:p>
        </w:tc>
        <w:tc>
          <w:tcPr>
            <w:tcW w:w="272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05023A0" w14:textId="77777777" w:rsidR="00583B8E" w:rsidRPr="00DB1957" w:rsidRDefault="00583B8E" w:rsidP="00583B8E">
            <w:pPr>
              <w:spacing w:after="0"/>
              <w:contextualSpacing/>
              <w:jc w:val="center"/>
              <w:rPr>
                <w:rFonts w:ascii="Times New Roman" w:hAnsi="Times New Roman"/>
                <w:b/>
                <w:bCs/>
              </w:rPr>
            </w:pPr>
            <w:r w:rsidRPr="00DB1957">
              <w:rPr>
                <w:rFonts w:ascii="Times New Roman" w:hAnsi="Times New Roman"/>
                <w:b/>
                <w:bCs/>
                <w:i/>
                <w:iCs/>
              </w:rPr>
              <w:t>δ</w:t>
            </w:r>
            <w:r w:rsidRPr="00DB1957">
              <w:rPr>
                <w:rFonts w:ascii="Times New Roman" w:hAnsi="Times New Roman"/>
                <w:b/>
                <w:bCs/>
                <w:vertAlign w:val="superscript"/>
              </w:rPr>
              <w:t>15</w:t>
            </w:r>
            <w:r w:rsidRPr="00DB1957">
              <w:rPr>
                <w:rFonts w:ascii="Times New Roman" w:hAnsi="Times New Roman"/>
                <w:b/>
                <w:bCs/>
              </w:rPr>
              <w:t>N (‰, AIR)</w:t>
            </w:r>
          </w:p>
        </w:tc>
      </w:tr>
      <w:tr w:rsidR="00CB5CB2" w:rsidRPr="00DB1957" w14:paraId="58D6E8A4" w14:textId="77777777" w:rsidTr="00547C55">
        <w:trPr>
          <w:trHeight w:val="38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FCCEE" w14:textId="257E990F"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 xml:space="preserve">Session </w:t>
            </w:r>
            <w:r>
              <w:rPr>
                <w:rFonts w:ascii="Times New Roman" w:eastAsia="Times New Roman" w:hAnsi="Times New Roman"/>
                <w:color w:val="000000"/>
              </w:rPr>
              <w:t>19-125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584F3" w14:textId="1478FE31" w:rsidR="00CB5CB2" w:rsidRPr="00547C55"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CN2</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A4ADA" w14:textId="3325B84E" w:rsidR="00CB5CB2" w:rsidRPr="00547C55"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6</w:t>
            </w:r>
          </w:p>
        </w:tc>
        <w:tc>
          <w:tcPr>
            <w:tcW w:w="1384" w:type="dxa"/>
            <w:tcBorders>
              <w:top w:val="single" w:sz="4" w:space="0" w:color="auto"/>
              <w:left w:val="single" w:sz="4" w:space="0" w:color="auto"/>
              <w:bottom w:val="single" w:sz="4" w:space="0" w:color="auto"/>
              <w:right w:val="nil"/>
            </w:tcBorders>
            <w:shd w:val="clear" w:color="auto" w:fill="auto"/>
            <w:noWrap/>
            <w:vAlign w:val="center"/>
          </w:tcPr>
          <w:p w14:paraId="03D6483E" w14:textId="62E55669" w:rsidR="00CB5CB2" w:rsidRPr="00547C55" w:rsidRDefault="00CB5CB2" w:rsidP="00CB5CB2">
            <w:pPr>
              <w:spacing w:after="0"/>
              <w:contextualSpacing/>
              <w:jc w:val="right"/>
              <w:rPr>
                <w:rFonts w:ascii="Times New Roman" w:eastAsia="Times New Roman" w:hAnsi="Times New Roman"/>
                <w:color w:val="000000"/>
              </w:rPr>
            </w:pPr>
            <w:r w:rsidRPr="00E12E73">
              <w:rPr>
                <w:rFonts w:ascii="Times New Roman" w:hAnsi="Times New Roman"/>
              </w:rPr>
              <w:t>−</w:t>
            </w:r>
            <w:r>
              <w:rPr>
                <w:rFonts w:ascii="Times New Roman" w:hAnsi="Times New Roman"/>
              </w:rPr>
              <w:t>28.32</w:t>
            </w:r>
          </w:p>
        </w:tc>
        <w:tc>
          <w:tcPr>
            <w:tcW w:w="362" w:type="dxa"/>
            <w:tcBorders>
              <w:top w:val="single" w:sz="4" w:space="0" w:color="auto"/>
              <w:left w:val="nil"/>
              <w:bottom w:val="single" w:sz="4" w:space="0" w:color="auto"/>
              <w:right w:val="nil"/>
            </w:tcBorders>
            <w:shd w:val="clear" w:color="auto" w:fill="auto"/>
            <w:noWrap/>
            <w:vAlign w:val="center"/>
            <w:hideMark/>
          </w:tcPr>
          <w:p w14:paraId="4E9E2B18" w14:textId="77777777"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8" w:type="dxa"/>
            <w:tcBorders>
              <w:top w:val="single" w:sz="4" w:space="0" w:color="auto"/>
              <w:left w:val="nil"/>
              <w:bottom w:val="single" w:sz="4" w:space="0" w:color="auto"/>
              <w:right w:val="single" w:sz="4" w:space="0" w:color="auto"/>
            </w:tcBorders>
            <w:shd w:val="clear" w:color="auto" w:fill="auto"/>
            <w:noWrap/>
            <w:vAlign w:val="center"/>
            <w:hideMark/>
          </w:tcPr>
          <w:p w14:paraId="24E816E1" w14:textId="5F1A0EEE"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10</w:t>
            </w:r>
          </w:p>
        </w:tc>
        <w:tc>
          <w:tcPr>
            <w:tcW w:w="1268" w:type="dxa"/>
            <w:tcBorders>
              <w:top w:val="single" w:sz="4" w:space="0" w:color="auto"/>
              <w:left w:val="single" w:sz="4" w:space="0" w:color="auto"/>
              <w:bottom w:val="single" w:sz="4" w:space="0" w:color="auto"/>
              <w:right w:val="nil"/>
            </w:tcBorders>
            <w:shd w:val="clear" w:color="auto" w:fill="auto"/>
            <w:noWrap/>
            <w:vAlign w:val="center"/>
            <w:hideMark/>
          </w:tcPr>
          <w:p w14:paraId="76C28370" w14:textId="3C727F11" w:rsidR="00CB5CB2" w:rsidRPr="00547C55" w:rsidRDefault="00CB5CB2" w:rsidP="00CB5CB2">
            <w:pPr>
              <w:spacing w:after="0"/>
              <w:contextualSpacing/>
              <w:rPr>
                <w:rFonts w:ascii="Times New Roman" w:eastAsia="Times New Roman" w:hAnsi="Times New Roman"/>
                <w:color w:val="000000"/>
              </w:rPr>
            </w:pPr>
            <w:r>
              <w:rPr>
                <w:rFonts w:ascii="Times New Roman" w:hAnsi="Times New Roman"/>
              </w:rPr>
              <w:t xml:space="preserve">       </w:t>
            </w:r>
            <w:r w:rsidRPr="00E12E73">
              <w:rPr>
                <w:rFonts w:ascii="Times New Roman" w:hAnsi="Times New Roman"/>
              </w:rPr>
              <w:t>−</w:t>
            </w:r>
            <w:r>
              <w:rPr>
                <w:rFonts w:ascii="Times New Roman" w:hAnsi="Times New Roman"/>
              </w:rPr>
              <w:t>4.52</w:t>
            </w:r>
          </w:p>
        </w:tc>
        <w:tc>
          <w:tcPr>
            <w:tcW w:w="543" w:type="dxa"/>
            <w:tcBorders>
              <w:top w:val="single" w:sz="4" w:space="0" w:color="auto"/>
              <w:left w:val="nil"/>
              <w:bottom w:val="single" w:sz="4" w:space="0" w:color="auto"/>
              <w:right w:val="nil"/>
            </w:tcBorders>
            <w:shd w:val="clear" w:color="auto" w:fill="auto"/>
            <w:noWrap/>
            <w:vAlign w:val="center"/>
            <w:hideMark/>
          </w:tcPr>
          <w:p w14:paraId="1F394764" w14:textId="686AEE2B"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737489C9" w14:textId="4FD9276C"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0.1</w:t>
            </w:r>
            <w:r>
              <w:rPr>
                <w:rFonts w:ascii="Times New Roman" w:eastAsia="Times New Roman" w:hAnsi="Times New Roman"/>
                <w:color w:val="000000"/>
              </w:rPr>
              <w:t>2</w:t>
            </w:r>
          </w:p>
        </w:tc>
      </w:tr>
      <w:tr w:rsidR="00CB5CB2" w:rsidRPr="00DB1957" w14:paraId="58CE1D87" w14:textId="77777777" w:rsidTr="00CB5CB2">
        <w:trPr>
          <w:trHeight w:val="38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7C8E6" w14:textId="39C0DDAA"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 xml:space="preserve">Session </w:t>
            </w:r>
            <w:r>
              <w:rPr>
                <w:rFonts w:ascii="Times New Roman" w:eastAsia="Times New Roman" w:hAnsi="Times New Roman"/>
                <w:color w:val="000000"/>
              </w:rPr>
              <w:t>19-125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2F9EC" w14:textId="66297D7B" w:rsidR="00CB5CB2" w:rsidRPr="00547C55"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YGA</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A8875" w14:textId="378856A4" w:rsidR="00CB5CB2" w:rsidRPr="00547C55"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6</w:t>
            </w:r>
          </w:p>
        </w:tc>
        <w:tc>
          <w:tcPr>
            <w:tcW w:w="1384" w:type="dxa"/>
            <w:tcBorders>
              <w:top w:val="single" w:sz="4" w:space="0" w:color="auto"/>
              <w:left w:val="single" w:sz="4" w:space="0" w:color="auto"/>
              <w:bottom w:val="single" w:sz="4" w:space="0" w:color="auto"/>
              <w:right w:val="nil"/>
            </w:tcBorders>
            <w:shd w:val="clear" w:color="auto" w:fill="auto"/>
            <w:noWrap/>
            <w:vAlign w:val="center"/>
          </w:tcPr>
          <w:p w14:paraId="26E1D369" w14:textId="6133DBA8" w:rsidR="00CB5CB2" w:rsidRPr="00547C55" w:rsidRDefault="00CB5CB2" w:rsidP="00CB5CB2">
            <w:pPr>
              <w:spacing w:after="0"/>
              <w:contextualSpacing/>
              <w:jc w:val="right"/>
              <w:rPr>
                <w:rFonts w:ascii="Times New Roman" w:eastAsia="Times New Roman" w:hAnsi="Times New Roman"/>
                <w:color w:val="000000"/>
              </w:rPr>
            </w:pPr>
            <w:r w:rsidRPr="00547C55">
              <w:rPr>
                <w:rFonts w:ascii="Times New Roman" w:hAnsi="Times New Roman"/>
              </w:rPr>
              <w:t>+</w:t>
            </w:r>
            <w:r>
              <w:rPr>
                <w:rFonts w:ascii="Times New Roman" w:hAnsi="Times New Roman"/>
              </w:rPr>
              <w:t>31.02</w:t>
            </w:r>
          </w:p>
        </w:tc>
        <w:tc>
          <w:tcPr>
            <w:tcW w:w="362" w:type="dxa"/>
            <w:tcBorders>
              <w:top w:val="single" w:sz="4" w:space="0" w:color="auto"/>
              <w:left w:val="nil"/>
              <w:bottom w:val="single" w:sz="4" w:space="0" w:color="auto"/>
              <w:right w:val="nil"/>
            </w:tcBorders>
            <w:shd w:val="clear" w:color="auto" w:fill="auto"/>
            <w:noWrap/>
            <w:vAlign w:val="center"/>
            <w:hideMark/>
          </w:tcPr>
          <w:p w14:paraId="407833FE" w14:textId="77777777"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8" w:type="dxa"/>
            <w:tcBorders>
              <w:top w:val="single" w:sz="4" w:space="0" w:color="auto"/>
              <w:left w:val="nil"/>
              <w:bottom w:val="single" w:sz="4" w:space="0" w:color="auto"/>
              <w:right w:val="single" w:sz="4" w:space="0" w:color="auto"/>
            </w:tcBorders>
            <w:shd w:val="clear" w:color="auto" w:fill="auto"/>
            <w:noWrap/>
            <w:vAlign w:val="center"/>
            <w:hideMark/>
          </w:tcPr>
          <w:p w14:paraId="5E6F70BC" w14:textId="0698242A"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0.04</w:t>
            </w:r>
          </w:p>
        </w:tc>
        <w:tc>
          <w:tcPr>
            <w:tcW w:w="1268" w:type="dxa"/>
            <w:tcBorders>
              <w:top w:val="single" w:sz="4" w:space="0" w:color="auto"/>
              <w:left w:val="single" w:sz="4" w:space="0" w:color="auto"/>
              <w:bottom w:val="single" w:sz="4" w:space="0" w:color="auto"/>
              <w:right w:val="nil"/>
            </w:tcBorders>
            <w:shd w:val="clear" w:color="auto" w:fill="auto"/>
            <w:noWrap/>
            <w:vAlign w:val="center"/>
          </w:tcPr>
          <w:p w14:paraId="7444D7DA" w14:textId="0BE35E4E" w:rsidR="00CB5CB2" w:rsidRPr="00547C55" w:rsidRDefault="00CB5CB2" w:rsidP="00CB5CB2">
            <w:pPr>
              <w:spacing w:after="0"/>
              <w:contextualSpacing/>
              <w:jc w:val="right"/>
              <w:rPr>
                <w:rFonts w:ascii="Times New Roman" w:eastAsia="Times New Roman" w:hAnsi="Times New Roman"/>
                <w:color w:val="000000"/>
              </w:rPr>
            </w:pPr>
            <w:r w:rsidRPr="00547C55">
              <w:rPr>
                <w:rFonts w:ascii="Times New Roman" w:hAnsi="Times New Roman"/>
              </w:rPr>
              <w:t>+</w:t>
            </w:r>
            <w:r>
              <w:rPr>
                <w:rFonts w:ascii="Times New Roman" w:eastAsia="Times New Roman" w:hAnsi="Times New Roman"/>
                <w:color w:val="000000"/>
              </w:rPr>
              <w:t>31.80</w:t>
            </w:r>
          </w:p>
        </w:tc>
        <w:tc>
          <w:tcPr>
            <w:tcW w:w="543" w:type="dxa"/>
            <w:tcBorders>
              <w:top w:val="single" w:sz="4" w:space="0" w:color="auto"/>
              <w:left w:val="nil"/>
              <w:bottom w:val="single" w:sz="4" w:space="0" w:color="auto"/>
              <w:right w:val="nil"/>
            </w:tcBorders>
            <w:shd w:val="clear" w:color="auto" w:fill="auto"/>
            <w:noWrap/>
            <w:vAlign w:val="center"/>
          </w:tcPr>
          <w:p w14:paraId="1019B431" w14:textId="1A984A38"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9" w:type="dxa"/>
            <w:tcBorders>
              <w:top w:val="single" w:sz="4" w:space="0" w:color="auto"/>
              <w:left w:val="nil"/>
              <w:bottom w:val="single" w:sz="4" w:space="0" w:color="auto"/>
              <w:right w:val="single" w:sz="4" w:space="0" w:color="auto"/>
            </w:tcBorders>
            <w:shd w:val="clear" w:color="auto" w:fill="auto"/>
            <w:noWrap/>
            <w:vAlign w:val="center"/>
          </w:tcPr>
          <w:p w14:paraId="45228827" w14:textId="1E863F36"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0.1</w:t>
            </w:r>
            <w:r>
              <w:rPr>
                <w:rFonts w:ascii="Times New Roman" w:eastAsia="Times New Roman" w:hAnsi="Times New Roman"/>
                <w:color w:val="000000"/>
              </w:rPr>
              <w:t>2</w:t>
            </w:r>
          </w:p>
        </w:tc>
      </w:tr>
      <w:tr w:rsidR="00CB5CB2" w:rsidRPr="00DB1957" w14:paraId="30954889" w14:textId="77777777" w:rsidTr="00547C55">
        <w:trPr>
          <w:trHeight w:val="38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0032A" w14:textId="2AF0D269"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 xml:space="preserve">Session </w:t>
            </w:r>
            <w:r>
              <w:rPr>
                <w:rFonts w:ascii="Times New Roman" w:eastAsia="Times New Roman" w:hAnsi="Times New Roman"/>
                <w:color w:val="000000"/>
              </w:rPr>
              <w:t>19-125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6A41" w14:textId="32C06155"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Trout</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70D2B" w14:textId="1962D0CC"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7</w:t>
            </w:r>
          </w:p>
        </w:tc>
        <w:tc>
          <w:tcPr>
            <w:tcW w:w="1384" w:type="dxa"/>
            <w:tcBorders>
              <w:top w:val="single" w:sz="4" w:space="0" w:color="auto"/>
              <w:left w:val="single" w:sz="4" w:space="0" w:color="auto"/>
              <w:bottom w:val="single" w:sz="4" w:space="0" w:color="auto"/>
              <w:right w:val="nil"/>
            </w:tcBorders>
            <w:shd w:val="clear" w:color="auto" w:fill="auto"/>
            <w:noWrap/>
            <w:vAlign w:val="center"/>
          </w:tcPr>
          <w:p w14:paraId="28D0DE06" w14:textId="7274F6AA" w:rsidR="00CB5CB2" w:rsidRDefault="00CB5CB2" w:rsidP="00CB5CB2">
            <w:pPr>
              <w:spacing w:after="0"/>
              <w:contextualSpacing/>
              <w:jc w:val="right"/>
              <w:rPr>
                <w:rFonts w:ascii="Times New Roman" w:hAnsi="Times New Roman"/>
              </w:rPr>
            </w:pPr>
            <w:r w:rsidRPr="00E12E73">
              <w:rPr>
                <w:rFonts w:ascii="Times New Roman" w:hAnsi="Times New Roman"/>
              </w:rPr>
              <w:t>−</w:t>
            </w:r>
            <w:r>
              <w:rPr>
                <w:rFonts w:ascii="Times New Roman" w:hAnsi="Times New Roman"/>
              </w:rPr>
              <w:t>2</w:t>
            </w:r>
            <w:r>
              <w:rPr>
                <w:rFonts w:ascii="Times New Roman" w:hAnsi="Times New Roman"/>
              </w:rPr>
              <w:t>9.14</w:t>
            </w:r>
          </w:p>
        </w:tc>
        <w:tc>
          <w:tcPr>
            <w:tcW w:w="362" w:type="dxa"/>
            <w:tcBorders>
              <w:top w:val="single" w:sz="4" w:space="0" w:color="auto"/>
              <w:left w:val="nil"/>
              <w:bottom w:val="single" w:sz="4" w:space="0" w:color="auto"/>
              <w:right w:val="nil"/>
            </w:tcBorders>
            <w:shd w:val="clear" w:color="auto" w:fill="auto"/>
            <w:noWrap/>
            <w:vAlign w:val="center"/>
          </w:tcPr>
          <w:p w14:paraId="6FE256E1" w14:textId="530EA0A1"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8" w:type="dxa"/>
            <w:tcBorders>
              <w:top w:val="single" w:sz="4" w:space="0" w:color="auto"/>
              <w:left w:val="nil"/>
              <w:bottom w:val="single" w:sz="4" w:space="0" w:color="auto"/>
              <w:right w:val="single" w:sz="4" w:space="0" w:color="auto"/>
            </w:tcBorders>
            <w:shd w:val="clear" w:color="auto" w:fill="auto"/>
            <w:noWrap/>
            <w:vAlign w:val="center"/>
          </w:tcPr>
          <w:p w14:paraId="592BF99C" w14:textId="6BD4B54E"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1</w:t>
            </w:r>
            <w:r>
              <w:rPr>
                <w:rFonts w:ascii="Times New Roman" w:eastAsia="Times New Roman" w:hAnsi="Times New Roman"/>
                <w:color w:val="000000"/>
              </w:rPr>
              <w:t>5</w:t>
            </w:r>
          </w:p>
        </w:tc>
        <w:tc>
          <w:tcPr>
            <w:tcW w:w="1268" w:type="dxa"/>
            <w:tcBorders>
              <w:top w:val="single" w:sz="4" w:space="0" w:color="auto"/>
              <w:left w:val="single" w:sz="4" w:space="0" w:color="auto"/>
              <w:bottom w:val="single" w:sz="4" w:space="0" w:color="auto"/>
              <w:right w:val="nil"/>
            </w:tcBorders>
            <w:shd w:val="clear" w:color="auto" w:fill="auto"/>
            <w:noWrap/>
            <w:vAlign w:val="center"/>
          </w:tcPr>
          <w:p w14:paraId="0713C9E4" w14:textId="65EFDE2B" w:rsidR="00CB5CB2" w:rsidRPr="00547C55" w:rsidRDefault="00CB5CB2" w:rsidP="00CB5CB2">
            <w:pPr>
              <w:spacing w:after="0"/>
              <w:contextualSpacing/>
              <w:jc w:val="right"/>
              <w:rPr>
                <w:rFonts w:ascii="Times New Roman" w:eastAsia="Times New Roman" w:hAnsi="Times New Roman"/>
                <w:color w:val="000000"/>
              </w:rPr>
            </w:pPr>
            <w:r w:rsidRPr="00547C55">
              <w:rPr>
                <w:rFonts w:ascii="Times New Roman" w:hAnsi="Times New Roman"/>
              </w:rPr>
              <w:t>+</w:t>
            </w:r>
            <w:r>
              <w:rPr>
                <w:rFonts w:ascii="Times New Roman" w:hAnsi="Times New Roman"/>
              </w:rPr>
              <w:t>15.77</w:t>
            </w:r>
          </w:p>
        </w:tc>
        <w:tc>
          <w:tcPr>
            <w:tcW w:w="543" w:type="dxa"/>
            <w:tcBorders>
              <w:top w:val="single" w:sz="4" w:space="0" w:color="auto"/>
              <w:left w:val="nil"/>
              <w:bottom w:val="single" w:sz="4" w:space="0" w:color="auto"/>
              <w:right w:val="nil"/>
            </w:tcBorders>
            <w:shd w:val="clear" w:color="auto" w:fill="auto"/>
            <w:noWrap/>
            <w:vAlign w:val="center"/>
          </w:tcPr>
          <w:p w14:paraId="1D34D8BE" w14:textId="7F61CDDA"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9" w:type="dxa"/>
            <w:tcBorders>
              <w:top w:val="single" w:sz="4" w:space="0" w:color="auto"/>
              <w:left w:val="nil"/>
              <w:bottom w:val="single" w:sz="4" w:space="0" w:color="auto"/>
              <w:right w:val="single" w:sz="4" w:space="0" w:color="auto"/>
            </w:tcBorders>
            <w:shd w:val="clear" w:color="auto" w:fill="auto"/>
            <w:noWrap/>
            <w:vAlign w:val="center"/>
          </w:tcPr>
          <w:p w14:paraId="0F6BAB3F" w14:textId="0F1DB812"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03</w:t>
            </w:r>
          </w:p>
        </w:tc>
      </w:tr>
      <w:tr w:rsidR="00CB5CB2" w:rsidRPr="00DB1957" w14:paraId="60870346" w14:textId="77777777" w:rsidTr="00547C55">
        <w:trPr>
          <w:trHeight w:val="38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CAF98" w14:textId="37FDB53C"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 xml:space="preserve">Session </w:t>
            </w:r>
            <w:r>
              <w:rPr>
                <w:rFonts w:ascii="Times New Roman" w:eastAsia="Times New Roman" w:hAnsi="Times New Roman"/>
                <w:color w:val="000000"/>
              </w:rPr>
              <w:t>1</w:t>
            </w:r>
            <w:r>
              <w:rPr>
                <w:rFonts w:ascii="Times New Roman" w:eastAsia="Times New Roman" w:hAnsi="Times New Roman"/>
                <w:color w:val="000000"/>
              </w:rPr>
              <w:t>7</w:t>
            </w:r>
            <w:r>
              <w:rPr>
                <w:rFonts w:ascii="Times New Roman" w:eastAsia="Times New Roman" w:hAnsi="Times New Roman"/>
                <w:color w:val="000000"/>
              </w:rPr>
              <w:t>-1</w:t>
            </w:r>
            <w:r>
              <w:rPr>
                <w:rFonts w:ascii="Times New Roman" w:eastAsia="Times New Roman" w:hAnsi="Times New Roman"/>
                <w:color w:val="000000"/>
              </w:rPr>
              <w:t>92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91F86" w14:textId="48075876"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CN2</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B588F" w14:textId="1F119298"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5</w:t>
            </w:r>
          </w:p>
        </w:tc>
        <w:tc>
          <w:tcPr>
            <w:tcW w:w="1384" w:type="dxa"/>
            <w:tcBorders>
              <w:top w:val="single" w:sz="4" w:space="0" w:color="auto"/>
              <w:left w:val="single" w:sz="4" w:space="0" w:color="auto"/>
              <w:bottom w:val="single" w:sz="4" w:space="0" w:color="auto"/>
              <w:right w:val="nil"/>
            </w:tcBorders>
            <w:shd w:val="clear" w:color="auto" w:fill="auto"/>
            <w:noWrap/>
            <w:vAlign w:val="center"/>
          </w:tcPr>
          <w:p w14:paraId="6411299C" w14:textId="6722AD10" w:rsidR="00CB5CB2" w:rsidRPr="00E12E73" w:rsidRDefault="00CB5CB2" w:rsidP="00CB5CB2">
            <w:pPr>
              <w:spacing w:after="0"/>
              <w:contextualSpacing/>
              <w:jc w:val="right"/>
              <w:rPr>
                <w:rFonts w:ascii="Times New Roman" w:hAnsi="Times New Roman"/>
              </w:rPr>
            </w:pPr>
            <w:r w:rsidRPr="00E12E73">
              <w:rPr>
                <w:rFonts w:ascii="Times New Roman" w:hAnsi="Times New Roman"/>
              </w:rPr>
              <w:t>−</w:t>
            </w:r>
            <w:r>
              <w:rPr>
                <w:rFonts w:ascii="Times New Roman" w:hAnsi="Times New Roman"/>
              </w:rPr>
              <w:t>2</w:t>
            </w:r>
            <w:r>
              <w:rPr>
                <w:rFonts w:ascii="Times New Roman" w:hAnsi="Times New Roman"/>
              </w:rPr>
              <w:t>8.13</w:t>
            </w:r>
          </w:p>
        </w:tc>
        <w:tc>
          <w:tcPr>
            <w:tcW w:w="362" w:type="dxa"/>
            <w:tcBorders>
              <w:top w:val="single" w:sz="4" w:space="0" w:color="auto"/>
              <w:left w:val="nil"/>
              <w:bottom w:val="single" w:sz="4" w:space="0" w:color="auto"/>
              <w:right w:val="nil"/>
            </w:tcBorders>
            <w:shd w:val="clear" w:color="auto" w:fill="auto"/>
            <w:noWrap/>
            <w:vAlign w:val="center"/>
          </w:tcPr>
          <w:p w14:paraId="01762057" w14:textId="099A98FC"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8" w:type="dxa"/>
            <w:tcBorders>
              <w:top w:val="single" w:sz="4" w:space="0" w:color="auto"/>
              <w:left w:val="nil"/>
              <w:bottom w:val="single" w:sz="4" w:space="0" w:color="auto"/>
              <w:right w:val="single" w:sz="4" w:space="0" w:color="auto"/>
            </w:tcBorders>
            <w:shd w:val="clear" w:color="auto" w:fill="auto"/>
            <w:noWrap/>
            <w:vAlign w:val="center"/>
          </w:tcPr>
          <w:p w14:paraId="2BC354D7" w14:textId="5D638927"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1</w:t>
            </w:r>
            <w:r>
              <w:rPr>
                <w:rFonts w:ascii="Times New Roman" w:eastAsia="Times New Roman" w:hAnsi="Times New Roman"/>
                <w:color w:val="000000"/>
              </w:rPr>
              <w:t>4</w:t>
            </w:r>
          </w:p>
        </w:tc>
        <w:tc>
          <w:tcPr>
            <w:tcW w:w="1268" w:type="dxa"/>
            <w:tcBorders>
              <w:top w:val="single" w:sz="4" w:space="0" w:color="auto"/>
              <w:left w:val="single" w:sz="4" w:space="0" w:color="auto"/>
              <w:bottom w:val="single" w:sz="4" w:space="0" w:color="auto"/>
              <w:right w:val="nil"/>
            </w:tcBorders>
            <w:shd w:val="clear" w:color="auto" w:fill="auto"/>
            <w:noWrap/>
            <w:vAlign w:val="center"/>
          </w:tcPr>
          <w:p w14:paraId="7F9A8E86" w14:textId="7AA9AB04" w:rsidR="00CB5CB2" w:rsidRPr="00547C55" w:rsidRDefault="00CB5CB2" w:rsidP="00CB5CB2">
            <w:pPr>
              <w:spacing w:after="0"/>
              <w:contextualSpacing/>
              <w:jc w:val="right"/>
              <w:rPr>
                <w:rFonts w:ascii="Times New Roman" w:eastAsia="Times New Roman" w:hAnsi="Times New Roman"/>
                <w:color w:val="000000"/>
              </w:rPr>
            </w:pPr>
            <w:r w:rsidRPr="00E12E73">
              <w:rPr>
                <w:rFonts w:ascii="Times New Roman" w:hAnsi="Times New Roman"/>
              </w:rPr>
              <w:t>−</w:t>
            </w:r>
            <w:r>
              <w:rPr>
                <w:rFonts w:ascii="Times New Roman" w:hAnsi="Times New Roman"/>
              </w:rPr>
              <w:t>4.52</w:t>
            </w:r>
          </w:p>
        </w:tc>
        <w:tc>
          <w:tcPr>
            <w:tcW w:w="543" w:type="dxa"/>
            <w:tcBorders>
              <w:top w:val="single" w:sz="4" w:space="0" w:color="auto"/>
              <w:left w:val="nil"/>
              <w:bottom w:val="single" w:sz="4" w:space="0" w:color="auto"/>
              <w:right w:val="nil"/>
            </w:tcBorders>
            <w:shd w:val="clear" w:color="auto" w:fill="auto"/>
            <w:noWrap/>
            <w:vAlign w:val="center"/>
          </w:tcPr>
          <w:p w14:paraId="675AAEE3" w14:textId="10893521"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9" w:type="dxa"/>
            <w:tcBorders>
              <w:top w:val="single" w:sz="4" w:space="0" w:color="auto"/>
              <w:left w:val="nil"/>
              <w:bottom w:val="single" w:sz="4" w:space="0" w:color="auto"/>
              <w:right w:val="single" w:sz="4" w:space="0" w:color="auto"/>
            </w:tcBorders>
            <w:shd w:val="clear" w:color="auto" w:fill="auto"/>
            <w:noWrap/>
            <w:vAlign w:val="center"/>
          </w:tcPr>
          <w:p w14:paraId="1CF43AF8" w14:textId="1C4B4AE2"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0.1</w:t>
            </w:r>
            <w:r>
              <w:rPr>
                <w:rFonts w:ascii="Times New Roman" w:eastAsia="Times New Roman" w:hAnsi="Times New Roman"/>
                <w:color w:val="000000"/>
              </w:rPr>
              <w:t>1</w:t>
            </w:r>
          </w:p>
        </w:tc>
      </w:tr>
      <w:tr w:rsidR="00CB5CB2" w:rsidRPr="00DB1957" w14:paraId="481E8DD3" w14:textId="77777777" w:rsidTr="00547C55">
        <w:trPr>
          <w:trHeight w:val="38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2B8E" w14:textId="4C95C6C4"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 xml:space="preserve">Session </w:t>
            </w:r>
            <w:r>
              <w:rPr>
                <w:rFonts w:ascii="Times New Roman" w:eastAsia="Times New Roman" w:hAnsi="Times New Roman"/>
                <w:color w:val="000000"/>
              </w:rPr>
              <w:t>17-192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39B30" w14:textId="05828047"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YGA</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5478C" w14:textId="145E5BA7"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4</w:t>
            </w:r>
          </w:p>
        </w:tc>
        <w:tc>
          <w:tcPr>
            <w:tcW w:w="1384" w:type="dxa"/>
            <w:tcBorders>
              <w:top w:val="single" w:sz="4" w:space="0" w:color="auto"/>
              <w:left w:val="single" w:sz="4" w:space="0" w:color="auto"/>
              <w:bottom w:val="single" w:sz="4" w:space="0" w:color="auto"/>
              <w:right w:val="nil"/>
            </w:tcBorders>
            <w:shd w:val="clear" w:color="auto" w:fill="auto"/>
            <w:noWrap/>
            <w:vAlign w:val="center"/>
          </w:tcPr>
          <w:p w14:paraId="6B2687CB" w14:textId="1D7E98B8" w:rsidR="00CB5CB2" w:rsidRPr="00E12E73" w:rsidRDefault="00CB5CB2" w:rsidP="00CB5CB2">
            <w:pPr>
              <w:spacing w:after="0"/>
              <w:contextualSpacing/>
              <w:jc w:val="right"/>
              <w:rPr>
                <w:rFonts w:ascii="Times New Roman" w:hAnsi="Times New Roman"/>
              </w:rPr>
            </w:pPr>
            <w:r w:rsidRPr="00547C55">
              <w:rPr>
                <w:rFonts w:ascii="Times New Roman" w:hAnsi="Times New Roman"/>
              </w:rPr>
              <w:t>+</w:t>
            </w:r>
            <w:r>
              <w:rPr>
                <w:rFonts w:ascii="Times New Roman" w:hAnsi="Times New Roman"/>
              </w:rPr>
              <w:t>31.80</w:t>
            </w:r>
          </w:p>
        </w:tc>
        <w:tc>
          <w:tcPr>
            <w:tcW w:w="362" w:type="dxa"/>
            <w:tcBorders>
              <w:top w:val="single" w:sz="4" w:space="0" w:color="auto"/>
              <w:left w:val="nil"/>
              <w:bottom w:val="single" w:sz="4" w:space="0" w:color="auto"/>
              <w:right w:val="nil"/>
            </w:tcBorders>
            <w:shd w:val="clear" w:color="auto" w:fill="auto"/>
            <w:noWrap/>
            <w:vAlign w:val="center"/>
          </w:tcPr>
          <w:p w14:paraId="403470F4" w14:textId="40874B84"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8" w:type="dxa"/>
            <w:tcBorders>
              <w:top w:val="single" w:sz="4" w:space="0" w:color="auto"/>
              <w:left w:val="nil"/>
              <w:bottom w:val="single" w:sz="4" w:space="0" w:color="auto"/>
              <w:right w:val="single" w:sz="4" w:space="0" w:color="auto"/>
            </w:tcBorders>
            <w:shd w:val="clear" w:color="auto" w:fill="auto"/>
            <w:noWrap/>
            <w:vAlign w:val="center"/>
          </w:tcPr>
          <w:p w14:paraId="36DE245F" w14:textId="180A42AC"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08</w:t>
            </w:r>
          </w:p>
        </w:tc>
        <w:tc>
          <w:tcPr>
            <w:tcW w:w="1268" w:type="dxa"/>
            <w:tcBorders>
              <w:top w:val="single" w:sz="4" w:space="0" w:color="auto"/>
              <w:left w:val="single" w:sz="4" w:space="0" w:color="auto"/>
              <w:bottom w:val="single" w:sz="4" w:space="0" w:color="auto"/>
              <w:right w:val="nil"/>
            </w:tcBorders>
            <w:shd w:val="clear" w:color="auto" w:fill="auto"/>
            <w:noWrap/>
            <w:vAlign w:val="center"/>
          </w:tcPr>
          <w:p w14:paraId="0326214A" w14:textId="40025E01" w:rsidR="00CB5CB2" w:rsidRPr="00547C55" w:rsidRDefault="00CB5CB2" w:rsidP="00CB5CB2">
            <w:pPr>
              <w:spacing w:after="0"/>
              <w:contextualSpacing/>
              <w:jc w:val="right"/>
              <w:rPr>
                <w:rFonts w:ascii="Times New Roman" w:eastAsia="Times New Roman" w:hAnsi="Times New Roman"/>
                <w:color w:val="000000"/>
              </w:rPr>
            </w:pPr>
            <w:r w:rsidRPr="00547C55">
              <w:rPr>
                <w:rFonts w:ascii="Times New Roman" w:hAnsi="Times New Roman"/>
              </w:rPr>
              <w:t>+</w:t>
            </w:r>
            <w:r>
              <w:rPr>
                <w:rFonts w:ascii="Times New Roman" w:eastAsia="Times New Roman" w:hAnsi="Times New Roman"/>
                <w:color w:val="000000"/>
              </w:rPr>
              <w:t>31.80</w:t>
            </w:r>
          </w:p>
        </w:tc>
        <w:tc>
          <w:tcPr>
            <w:tcW w:w="543" w:type="dxa"/>
            <w:tcBorders>
              <w:top w:val="single" w:sz="4" w:space="0" w:color="auto"/>
              <w:left w:val="nil"/>
              <w:bottom w:val="single" w:sz="4" w:space="0" w:color="auto"/>
              <w:right w:val="nil"/>
            </w:tcBorders>
            <w:shd w:val="clear" w:color="auto" w:fill="auto"/>
            <w:noWrap/>
            <w:vAlign w:val="center"/>
          </w:tcPr>
          <w:p w14:paraId="68D7C003" w14:textId="4F9E7C41"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9" w:type="dxa"/>
            <w:tcBorders>
              <w:top w:val="single" w:sz="4" w:space="0" w:color="auto"/>
              <w:left w:val="nil"/>
              <w:bottom w:val="single" w:sz="4" w:space="0" w:color="auto"/>
              <w:right w:val="single" w:sz="4" w:space="0" w:color="auto"/>
            </w:tcBorders>
            <w:shd w:val="clear" w:color="auto" w:fill="auto"/>
            <w:noWrap/>
            <w:vAlign w:val="center"/>
          </w:tcPr>
          <w:p w14:paraId="37EE32C5" w14:textId="7678E867"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08</w:t>
            </w:r>
          </w:p>
        </w:tc>
      </w:tr>
      <w:tr w:rsidR="00CB5CB2" w:rsidRPr="00DB1957" w14:paraId="4E138455" w14:textId="77777777" w:rsidTr="00547C55">
        <w:trPr>
          <w:trHeight w:val="38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226D8" w14:textId="2225F5DB"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 xml:space="preserve">Session </w:t>
            </w:r>
            <w:r>
              <w:rPr>
                <w:rFonts w:ascii="Times New Roman" w:eastAsia="Times New Roman" w:hAnsi="Times New Roman"/>
                <w:color w:val="000000"/>
              </w:rPr>
              <w:t>17-192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9057C" w14:textId="6B15E327"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Cocoa</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437CC" w14:textId="525D3436"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6</w:t>
            </w:r>
          </w:p>
        </w:tc>
        <w:tc>
          <w:tcPr>
            <w:tcW w:w="1384" w:type="dxa"/>
            <w:tcBorders>
              <w:top w:val="single" w:sz="4" w:space="0" w:color="auto"/>
              <w:left w:val="single" w:sz="4" w:space="0" w:color="auto"/>
              <w:bottom w:val="single" w:sz="4" w:space="0" w:color="auto"/>
              <w:right w:val="nil"/>
            </w:tcBorders>
            <w:shd w:val="clear" w:color="auto" w:fill="auto"/>
            <w:noWrap/>
            <w:vAlign w:val="center"/>
          </w:tcPr>
          <w:p w14:paraId="568D471A" w14:textId="1CD5959A" w:rsidR="00CB5CB2" w:rsidRPr="00547C55" w:rsidRDefault="00CB5CB2" w:rsidP="00CB5CB2">
            <w:pPr>
              <w:spacing w:after="0"/>
              <w:contextualSpacing/>
              <w:jc w:val="right"/>
              <w:rPr>
                <w:rFonts w:ascii="Times New Roman" w:hAnsi="Times New Roman"/>
              </w:rPr>
            </w:pPr>
            <w:r w:rsidRPr="00E12E73">
              <w:rPr>
                <w:rFonts w:ascii="Times New Roman" w:hAnsi="Times New Roman"/>
              </w:rPr>
              <w:t>−</w:t>
            </w:r>
            <w:r>
              <w:rPr>
                <w:rFonts w:ascii="Times New Roman" w:hAnsi="Times New Roman"/>
              </w:rPr>
              <w:t>28.96</w:t>
            </w:r>
          </w:p>
        </w:tc>
        <w:tc>
          <w:tcPr>
            <w:tcW w:w="362" w:type="dxa"/>
            <w:tcBorders>
              <w:top w:val="single" w:sz="4" w:space="0" w:color="auto"/>
              <w:left w:val="nil"/>
              <w:bottom w:val="single" w:sz="4" w:space="0" w:color="auto"/>
              <w:right w:val="nil"/>
            </w:tcBorders>
            <w:shd w:val="clear" w:color="auto" w:fill="auto"/>
            <w:noWrap/>
            <w:vAlign w:val="center"/>
          </w:tcPr>
          <w:p w14:paraId="04EDA0EB" w14:textId="1F3BE6AF"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8" w:type="dxa"/>
            <w:tcBorders>
              <w:top w:val="single" w:sz="4" w:space="0" w:color="auto"/>
              <w:left w:val="nil"/>
              <w:bottom w:val="single" w:sz="4" w:space="0" w:color="auto"/>
              <w:right w:val="single" w:sz="4" w:space="0" w:color="auto"/>
            </w:tcBorders>
            <w:shd w:val="clear" w:color="auto" w:fill="auto"/>
            <w:noWrap/>
            <w:vAlign w:val="center"/>
          </w:tcPr>
          <w:p w14:paraId="2B42FD23" w14:textId="74A51725"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13</w:t>
            </w:r>
          </w:p>
        </w:tc>
        <w:tc>
          <w:tcPr>
            <w:tcW w:w="1268" w:type="dxa"/>
            <w:tcBorders>
              <w:top w:val="single" w:sz="4" w:space="0" w:color="auto"/>
              <w:left w:val="single" w:sz="4" w:space="0" w:color="auto"/>
              <w:bottom w:val="single" w:sz="4" w:space="0" w:color="auto"/>
              <w:right w:val="nil"/>
            </w:tcBorders>
            <w:shd w:val="clear" w:color="auto" w:fill="auto"/>
            <w:noWrap/>
            <w:vAlign w:val="center"/>
          </w:tcPr>
          <w:p w14:paraId="43F5F02C" w14:textId="08BD3101" w:rsidR="00CB5CB2" w:rsidRPr="00547C55" w:rsidRDefault="00CB5CB2" w:rsidP="00CB5CB2">
            <w:pPr>
              <w:spacing w:after="0"/>
              <w:contextualSpacing/>
              <w:jc w:val="right"/>
              <w:rPr>
                <w:rFonts w:ascii="Times New Roman" w:eastAsia="Times New Roman" w:hAnsi="Times New Roman"/>
                <w:color w:val="000000"/>
              </w:rPr>
            </w:pPr>
            <w:r w:rsidRPr="00547C55">
              <w:rPr>
                <w:rFonts w:ascii="Times New Roman" w:hAnsi="Times New Roman"/>
              </w:rPr>
              <w:t>+</w:t>
            </w:r>
            <w:r>
              <w:rPr>
                <w:rFonts w:ascii="Times New Roman" w:eastAsia="Times New Roman" w:hAnsi="Times New Roman"/>
                <w:color w:val="000000"/>
              </w:rPr>
              <w:t>5.34</w:t>
            </w:r>
          </w:p>
        </w:tc>
        <w:tc>
          <w:tcPr>
            <w:tcW w:w="543" w:type="dxa"/>
            <w:tcBorders>
              <w:top w:val="single" w:sz="4" w:space="0" w:color="auto"/>
              <w:left w:val="nil"/>
              <w:bottom w:val="single" w:sz="4" w:space="0" w:color="auto"/>
              <w:right w:val="nil"/>
            </w:tcBorders>
            <w:shd w:val="clear" w:color="auto" w:fill="auto"/>
            <w:noWrap/>
            <w:vAlign w:val="center"/>
          </w:tcPr>
          <w:p w14:paraId="4D0B9443" w14:textId="17C93850"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9" w:type="dxa"/>
            <w:tcBorders>
              <w:top w:val="single" w:sz="4" w:space="0" w:color="auto"/>
              <w:left w:val="nil"/>
              <w:bottom w:val="single" w:sz="4" w:space="0" w:color="auto"/>
              <w:right w:val="single" w:sz="4" w:space="0" w:color="auto"/>
            </w:tcBorders>
            <w:shd w:val="clear" w:color="auto" w:fill="auto"/>
            <w:noWrap/>
            <w:vAlign w:val="center"/>
          </w:tcPr>
          <w:p w14:paraId="5043A4BB" w14:textId="6E6D674B"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08</w:t>
            </w:r>
          </w:p>
        </w:tc>
      </w:tr>
      <w:tr w:rsidR="00CB5CB2" w:rsidRPr="00DB1957" w14:paraId="1CC4CF91" w14:textId="77777777" w:rsidTr="00547C55">
        <w:trPr>
          <w:trHeight w:val="38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062169" w14:textId="1591BDDB"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 xml:space="preserve">Session </w:t>
            </w:r>
            <w:r>
              <w:rPr>
                <w:rFonts w:ascii="Times New Roman" w:eastAsia="Times New Roman" w:hAnsi="Times New Roman"/>
                <w:color w:val="000000"/>
              </w:rPr>
              <w:t>17-192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C8246" w14:textId="2D59AB26"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Trout</w:t>
            </w:r>
          </w:p>
        </w:tc>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E9C0F" w14:textId="48EF8E0F" w:rsidR="00CB5CB2" w:rsidRDefault="00CB5CB2" w:rsidP="00CB5CB2">
            <w:pPr>
              <w:spacing w:after="0"/>
              <w:contextualSpacing/>
              <w:rPr>
                <w:rFonts w:ascii="Times New Roman" w:eastAsia="Times New Roman" w:hAnsi="Times New Roman"/>
                <w:color w:val="000000"/>
              </w:rPr>
            </w:pPr>
            <w:r>
              <w:rPr>
                <w:rFonts w:ascii="Times New Roman" w:eastAsia="Times New Roman" w:hAnsi="Times New Roman"/>
                <w:color w:val="000000"/>
              </w:rPr>
              <w:t>6</w:t>
            </w:r>
          </w:p>
        </w:tc>
        <w:tc>
          <w:tcPr>
            <w:tcW w:w="1384" w:type="dxa"/>
            <w:tcBorders>
              <w:top w:val="single" w:sz="4" w:space="0" w:color="auto"/>
              <w:left w:val="single" w:sz="4" w:space="0" w:color="auto"/>
              <w:bottom w:val="single" w:sz="4" w:space="0" w:color="auto"/>
              <w:right w:val="nil"/>
            </w:tcBorders>
            <w:shd w:val="clear" w:color="auto" w:fill="auto"/>
            <w:noWrap/>
            <w:vAlign w:val="center"/>
          </w:tcPr>
          <w:p w14:paraId="7295C31D" w14:textId="380DA487" w:rsidR="00CB5CB2" w:rsidRPr="00E12E73" w:rsidRDefault="00CB5CB2" w:rsidP="00CB5CB2">
            <w:pPr>
              <w:spacing w:after="0"/>
              <w:contextualSpacing/>
              <w:jc w:val="right"/>
              <w:rPr>
                <w:rFonts w:ascii="Times New Roman" w:hAnsi="Times New Roman"/>
              </w:rPr>
            </w:pPr>
            <w:r w:rsidRPr="00E12E73">
              <w:rPr>
                <w:rFonts w:ascii="Times New Roman" w:hAnsi="Times New Roman"/>
              </w:rPr>
              <w:t>−</w:t>
            </w:r>
            <w:r>
              <w:rPr>
                <w:rFonts w:ascii="Times New Roman" w:hAnsi="Times New Roman"/>
              </w:rPr>
              <w:t>2</w:t>
            </w:r>
            <w:r>
              <w:rPr>
                <w:rFonts w:ascii="Times New Roman" w:hAnsi="Times New Roman"/>
              </w:rPr>
              <w:t>9.11</w:t>
            </w:r>
          </w:p>
        </w:tc>
        <w:tc>
          <w:tcPr>
            <w:tcW w:w="362" w:type="dxa"/>
            <w:tcBorders>
              <w:top w:val="single" w:sz="4" w:space="0" w:color="auto"/>
              <w:left w:val="nil"/>
              <w:bottom w:val="single" w:sz="4" w:space="0" w:color="auto"/>
              <w:right w:val="nil"/>
            </w:tcBorders>
            <w:shd w:val="clear" w:color="auto" w:fill="auto"/>
            <w:noWrap/>
            <w:vAlign w:val="center"/>
          </w:tcPr>
          <w:p w14:paraId="766B1D4D" w14:textId="40F6E761"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8" w:type="dxa"/>
            <w:tcBorders>
              <w:top w:val="single" w:sz="4" w:space="0" w:color="auto"/>
              <w:left w:val="nil"/>
              <w:bottom w:val="single" w:sz="4" w:space="0" w:color="auto"/>
              <w:right w:val="single" w:sz="4" w:space="0" w:color="auto"/>
            </w:tcBorders>
            <w:shd w:val="clear" w:color="auto" w:fill="auto"/>
            <w:noWrap/>
            <w:vAlign w:val="center"/>
          </w:tcPr>
          <w:p w14:paraId="0650173A" w14:textId="4FD7F911"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1</w:t>
            </w:r>
            <w:r>
              <w:rPr>
                <w:rFonts w:ascii="Times New Roman" w:eastAsia="Times New Roman" w:hAnsi="Times New Roman"/>
                <w:color w:val="000000"/>
              </w:rPr>
              <w:t>5</w:t>
            </w:r>
          </w:p>
        </w:tc>
        <w:tc>
          <w:tcPr>
            <w:tcW w:w="1268" w:type="dxa"/>
            <w:tcBorders>
              <w:top w:val="single" w:sz="4" w:space="0" w:color="auto"/>
              <w:left w:val="single" w:sz="4" w:space="0" w:color="auto"/>
              <w:bottom w:val="single" w:sz="4" w:space="0" w:color="auto"/>
              <w:right w:val="nil"/>
            </w:tcBorders>
            <w:shd w:val="clear" w:color="auto" w:fill="auto"/>
            <w:noWrap/>
            <w:vAlign w:val="center"/>
          </w:tcPr>
          <w:p w14:paraId="4997B01C" w14:textId="20DE50F4" w:rsidR="00CB5CB2" w:rsidRPr="00547C55" w:rsidRDefault="00CB5CB2" w:rsidP="00CB5CB2">
            <w:pPr>
              <w:spacing w:after="0"/>
              <w:contextualSpacing/>
              <w:jc w:val="right"/>
              <w:rPr>
                <w:rFonts w:ascii="Times New Roman" w:eastAsia="Times New Roman" w:hAnsi="Times New Roman"/>
                <w:color w:val="000000"/>
              </w:rPr>
            </w:pPr>
            <w:r w:rsidRPr="00547C55">
              <w:rPr>
                <w:rFonts w:ascii="Times New Roman" w:hAnsi="Times New Roman"/>
              </w:rPr>
              <w:t>+</w:t>
            </w:r>
            <w:r>
              <w:rPr>
                <w:rFonts w:ascii="Times New Roman" w:eastAsia="Times New Roman" w:hAnsi="Times New Roman"/>
                <w:color w:val="000000"/>
              </w:rPr>
              <w:t>15.77</w:t>
            </w:r>
          </w:p>
        </w:tc>
        <w:tc>
          <w:tcPr>
            <w:tcW w:w="543" w:type="dxa"/>
            <w:tcBorders>
              <w:top w:val="single" w:sz="4" w:space="0" w:color="auto"/>
              <w:left w:val="nil"/>
              <w:bottom w:val="single" w:sz="4" w:space="0" w:color="auto"/>
              <w:right w:val="nil"/>
            </w:tcBorders>
            <w:shd w:val="clear" w:color="auto" w:fill="auto"/>
            <w:noWrap/>
            <w:vAlign w:val="center"/>
          </w:tcPr>
          <w:p w14:paraId="5B4C0A2C" w14:textId="296E57AE" w:rsidR="00CB5CB2" w:rsidRPr="00547C55" w:rsidRDefault="00CB5CB2" w:rsidP="00CB5CB2">
            <w:pPr>
              <w:spacing w:after="0"/>
              <w:contextualSpacing/>
              <w:jc w:val="center"/>
              <w:rPr>
                <w:rFonts w:ascii="Times New Roman" w:hAnsi="Times New Roman"/>
                <w:color w:val="000000"/>
              </w:rPr>
            </w:pPr>
            <w:r w:rsidRPr="00547C55">
              <w:rPr>
                <w:rFonts w:ascii="Times New Roman" w:hAnsi="Times New Roman"/>
                <w:color w:val="000000"/>
              </w:rPr>
              <w:t>±</w:t>
            </w:r>
          </w:p>
        </w:tc>
        <w:tc>
          <w:tcPr>
            <w:tcW w:w="909" w:type="dxa"/>
            <w:tcBorders>
              <w:top w:val="single" w:sz="4" w:space="0" w:color="auto"/>
              <w:left w:val="nil"/>
              <w:bottom w:val="single" w:sz="4" w:space="0" w:color="auto"/>
              <w:right w:val="single" w:sz="4" w:space="0" w:color="auto"/>
            </w:tcBorders>
            <w:shd w:val="clear" w:color="auto" w:fill="auto"/>
            <w:noWrap/>
            <w:vAlign w:val="center"/>
          </w:tcPr>
          <w:p w14:paraId="0F2F1853" w14:textId="05013B0A" w:rsidR="00CB5CB2" w:rsidRPr="00547C55" w:rsidRDefault="00CB5CB2" w:rsidP="00CB5CB2">
            <w:pPr>
              <w:spacing w:after="0"/>
              <w:contextualSpacing/>
              <w:rPr>
                <w:rFonts w:ascii="Times New Roman" w:eastAsia="Times New Roman" w:hAnsi="Times New Roman"/>
                <w:color w:val="000000"/>
              </w:rPr>
            </w:pPr>
            <w:r w:rsidRPr="00547C55">
              <w:rPr>
                <w:rFonts w:ascii="Times New Roman" w:eastAsia="Times New Roman" w:hAnsi="Times New Roman"/>
                <w:color w:val="000000"/>
              </w:rPr>
              <w:t>0.</w:t>
            </w:r>
            <w:r>
              <w:rPr>
                <w:rFonts w:ascii="Times New Roman" w:eastAsia="Times New Roman" w:hAnsi="Times New Roman"/>
                <w:color w:val="000000"/>
              </w:rPr>
              <w:t>03</w:t>
            </w:r>
          </w:p>
        </w:tc>
      </w:tr>
    </w:tbl>
    <w:p w14:paraId="13947D51" w14:textId="77777777" w:rsidR="0028562C" w:rsidRPr="00DB1957" w:rsidRDefault="0028562C" w:rsidP="006C3804">
      <w:pPr>
        <w:pStyle w:val="Caption"/>
        <w:keepNext/>
        <w:rPr>
          <w:rFonts w:ascii="Times New Roman" w:hAnsi="Times New Roman"/>
          <w:b w:val="0"/>
          <w:color w:val="auto"/>
          <w:sz w:val="24"/>
          <w:szCs w:val="24"/>
        </w:rPr>
      </w:pPr>
    </w:p>
    <w:p w14:paraId="20D131FE" w14:textId="6E091B11" w:rsidR="00B40DBA" w:rsidRPr="00DB1957" w:rsidRDefault="00E807BC" w:rsidP="00E807BC">
      <w:pPr>
        <w:pStyle w:val="Caption"/>
        <w:keepNext/>
        <w:rPr>
          <w:rFonts w:ascii="Times New Roman" w:hAnsi="Times New Roman"/>
          <w:sz w:val="24"/>
          <w:szCs w:val="24"/>
        </w:rPr>
      </w:pPr>
      <w:r w:rsidRPr="00DB1957">
        <w:rPr>
          <w:rFonts w:ascii="Times New Roman" w:hAnsi="Times New Roman"/>
          <w:b w:val="0"/>
          <w:color w:val="auto"/>
          <w:sz w:val="24"/>
          <w:szCs w:val="24"/>
        </w:rPr>
        <w:t xml:space="preserve">No samples were analyzed as replicates </w:t>
      </w:r>
      <w:r w:rsidR="00A22CB8">
        <w:rPr>
          <w:rFonts w:ascii="Times New Roman" w:hAnsi="Times New Roman"/>
          <w:b w:val="0"/>
          <w:color w:val="auto"/>
          <w:sz w:val="24"/>
          <w:szCs w:val="24"/>
        </w:rPr>
        <w:t>due</w:t>
      </w:r>
      <w:r w:rsidRPr="00DB1957">
        <w:rPr>
          <w:rFonts w:ascii="Times New Roman" w:hAnsi="Times New Roman"/>
          <w:b w:val="0"/>
          <w:color w:val="auto"/>
          <w:sz w:val="24"/>
          <w:szCs w:val="24"/>
        </w:rPr>
        <w:t xml:space="preserve"> to the paucity of collagen extracted from each sample. Therefore, standard uncertainty could not be calculated.</w:t>
      </w:r>
    </w:p>
    <w:p w14:paraId="766EA2A0" w14:textId="0F01332D" w:rsidR="00015A4C" w:rsidRPr="00DB1957" w:rsidRDefault="00E620BD">
      <w:pPr>
        <w:rPr>
          <w:rFonts w:ascii="Times New Roman" w:hAnsi="Times New Roman"/>
          <w:b/>
        </w:rPr>
      </w:pPr>
      <w:r w:rsidRPr="00DB1957">
        <w:rPr>
          <w:rFonts w:ascii="Times New Roman" w:hAnsi="Times New Roman"/>
          <w:b/>
        </w:rPr>
        <w:t>References</w:t>
      </w:r>
    </w:p>
    <w:p w14:paraId="5864CBA5" w14:textId="77777777" w:rsidR="00A22CB8" w:rsidRPr="00A22CB8" w:rsidRDefault="00015A4C" w:rsidP="00A22CB8">
      <w:pPr>
        <w:pStyle w:val="EndNoteBibliography"/>
        <w:spacing w:after="240"/>
        <w:rPr>
          <w:noProof/>
        </w:rPr>
      </w:pPr>
      <w:r w:rsidRPr="00DB1957">
        <w:fldChar w:fldCharType="begin"/>
      </w:r>
      <w:r w:rsidRPr="00DB1957">
        <w:instrText xml:space="preserve"> ADDIN EN.REFLIST </w:instrText>
      </w:r>
      <w:r w:rsidRPr="00DB1957">
        <w:fldChar w:fldCharType="separate"/>
      </w:r>
      <w:r w:rsidR="00A22CB8" w:rsidRPr="00A22CB8">
        <w:rPr>
          <w:noProof/>
        </w:rPr>
        <w:t>Longin, R., 1971. New method of collagen extraction for radiocarbon dating, Nature 230, 241-242.</w:t>
      </w:r>
    </w:p>
    <w:p w14:paraId="22AE1A42" w14:textId="77777777" w:rsidR="00A22CB8" w:rsidRPr="00A22CB8" w:rsidRDefault="00A22CB8" w:rsidP="00A22CB8">
      <w:pPr>
        <w:pStyle w:val="EndNoteBibliography"/>
        <w:rPr>
          <w:noProof/>
        </w:rPr>
      </w:pPr>
      <w:r w:rsidRPr="00A22CB8">
        <w:rPr>
          <w:noProof/>
        </w:rPr>
        <w:t>Szpak, P., Metcalfe, J.Z., Macdonald, R.A., 2017. Best practices for calibrating and reporting stable isotope measurements in archaeology, Journal of Archaeological Science: Reports 13, 609-616.</w:t>
      </w:r>
    </w:p>
    <w:p w14:paraId="4C43222C" w14:textId="6AFDB2CD" w:rsidR="006C3804" w:rsidRPr="00DB1957" w:rsidRDefault="00015A4C">
      <w:pPr>
        <w:rPr>
          <w:rFonts w:ascii="Times New Roman" w:hAnsi="Times New Roman"/>
        </w:rPr>
      </w:pPr>
      <w:r w:rsidRPr="00DB1957">
        <w:rPr>
          <w:rFonts w:ascii="Times New Roman" w:hAnsi="Times New Roman"/>
        </w:rPr>
        <w:fldChar w:fldCharType="end"/>
      </w:r>
    </w:p>
    <w:sectPr w:rsidR="006C3804" w:rsidRPr="00DB1957" w:rsidSect="00E620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Archaeological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0xstfxfwvfap9etf21xwada5v9dra0arpe2&quot;&gt;2021_references2&lt;record-ids&gt;&lt;item&gt;2326&lt;/item&gt;&lt;item&gt;2333&lt;/item&gt;&lt;/record-ids&gt;&lt;/item&gt;&lt;/Libraries&gt;"/>
  </w:docVars>
  <w:rsids>
    <w:rsidRoot w:val="006C3804"/>
    <w:rsid w:val="00015A4C"/>
    <w:rsid w:val="00022244"/>
    <w:rsid w:val="001C45D4"/>
    <w:rsid w:val="001F07E7"/>
    <w:rsid w:val="001F3B85"/>
    <w:rsid w:val="00245868"/>
    <w:rsid w:val="0026381D"/>
    <w:rsid w:val="0028562C"/>
    <w:rsid w:val="00303792"/>
    <w:rsid w:val="00315D10"/>
    <w:rsid w:val="00474410"/>
    <w:rsid w:val="0049649C"/>
    <w:rsid w:val="00547C55"/>
    <w:rsid w:val="00583B8E"/>
    <w:rsid w:val="005B62FE"/>
    <w:rsid w:val="00600A8B"/>
    <w:rsid w:val="006641FC"/>
    <w:rsid w:val="00673081"/>
    <w:rsid w:val="006C3804"/>
    <w:rsid w:val="006F4155"/>
    <w:rsid w:val="007E65E1"/>
    <w:rsid w:val="00815C26"/>
    <w:rsid w:val="0084224C"/>
    <w:rsid w:val="00861254"/>
    <w:rsid w:val="009A5A6C"/>
    <w:rsid w:val="00A04A94"/>
    <w:rsid w:val="00A22CB8"/>
    <w:rsid w:val="00AA1A4E"/>
    <w:rsid w:val="00AC6154"/>
    <w:rsid w:val="00B40DBA"/>
    <w:rsid w:val="00B42BEB"/>
    <w:rsid w:val="00C36024"/>
    <w:rsid w:val="00CB2BF0"/>
    <w:rsid w:val="00CB5CB2"/>
    <w:rsid w:val="00D11208"/>
    <w:rsid w:val="00DB1957"/>
    <w:rsid w:val="00DD3429"/>
    <w:rsid w:val="00E11CC0"/>
    <w:rsid w:val="00E12E73"/>
    <w:rsid w:val="00E620BD"/>
    <w:rsid w:val="00E807BC"/>
    <w:rsid w:val="00EE5F2F"/>
    <w:rsid w:val="00EF1933"/>
    <w:rsid w:val="00F358BF"/>
    <w:rsid w:val="00F464AF"/>
    <w:rsid w:val="00F75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2D1FD"/>
  <w14:defaultImageDpi w14:val="300"/>
  <w15:docId w15:val="{06967E4C-D479-4814-AEB4-D44D5B7E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04"/>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3804"/>
    <w:rPr>
      <w:b/>
      <w:bCs/>
      <w:color w:val="4F81BD" w:themeColor="accent1"/>
      <w:sz w:val="18"/>
      <w:szCs w:val="18"/>
    </w:rPr>
  </w:style>
  <w:style w:type="table" w:styleId="TableGrid">
    <w:name w:val="Table Grid"/>
    <w:basedOn w:val="TableNormal"/>
    <w:uiPriority w:val="59"/>
    <w:rsid w:val="006C3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38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804"/>
    <w:rPr>
      <w:rFonts w:ascii="Lucida Grande" w:eastAsia="Cambria" w:hAnsi="Lucida Grande" w:cs="Lucida Grande"/>
      <w:sz w:val="18"/>
      <w:szCs w:val="18"/>
    </w:rPr>
  </w:style>
  <w:style w:type="paragraph" w:customStyle="1" w:styleId="EndNoteBibliographyTitle">
    <w:name w:val="EndNote Bibliography Title"/>
    <w:basedOn w:val="Normal"/>
    <w:rsid w:val="00015A4C"/>
    <w:pPr>
      <w:spacing w:after="0"/>
      <w:jc w:val="center"/>
    </w:pPr>
    <w:rPr>
      <w:rFonts w:ascii="Times New Roman" w:hAnsi="Times New Roman"/>
    </w:rPr>
  </w:style>
  <w:style w:type="paragraph" w:customStyle="1" w:styleId="EndNoteBibliography">
    <w:name w:val="EndNote Bibliography"/>
    <w:basedOn w:val="Normal"/>
    <w:rsid w:val="00015A4C"/>
    <w:rPr>
      <w:rFonts w:ascii="Times New Roman" w:hAnsi="Times New Roman"/>
    </w:rPr>
  </w:style>
  <w:style w:type="character" w:styleId="CommentReference">
    <w:name w:val="annotation reference"/>
    <w:basedOn w:val="DefaultParagraphFont"/>
    <w:uiPriority w:val="99"/>
    <w:semiHidden/>
    <w:unhideWhenUsed/>
    <w:rsid w:val="007E65E1"/>
    <w:rPr>
      <w:sz w:val="16"/>
      <w:szCs w:val="16"/>
    </w:rPr>
  </w:style>
  <w:style w:type="paragraph" w:styleId="CommentText">
    <w:name w:val="annotation text"/>
    <w:basedOn w:val="Normal"/>
    <w:link w:val="CommentTextChar"/>
    <w:uiPriority w:val="99"/>
    <w:semiHidden/>
    <w:unhideWhenUsed/>
    <w:rsid w:val="007E65E1"/>
    <w:rPr>
      <w:sz w:val="20"/>
      <w:szCs w:val="20"/>
    </w:rPr>
  </w:style>
  <w:style w:type="character" w:customStyle="1" w:styleId="CommentTextChar">
    <w:name w:val="Comment Text Char"/>
    <w:basedOn w:val="DefaultParagraphFont"/>
    <w:link w:val="CommentText"/>
    <w:uiPriority w:val="99"/>
    <w:semiHidden/>
    <w:rsid w:val="007E65E1"/>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7E65E1"/>
    <w:rPr>
      <w:b/>
      <w:bCs/>
    </w:rPr>
  </w:style>
  <w:style w:type="character" w:customStyle="1" w:styleId="CommentSubjectChar">
    <w:name w:val="Comment Subject Char"/>
    <w:basedOn w:val="CommentTextChar"/>
    <w:link w:val="CommentSubject"/>
    <w:uiPriority w:val="99"/>
    <w:semiHidden/>
    <w:rsid w:val="007E65E1"/>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Scaffidi</dc:creator>
  <cp:lastModifiedBy>Cassandra Scaffidi</cp:lastModifiedBy>
  <cp:revision>10</cp:revision>
  <dcterms:created xsi:type="dcterms:W3CDTF">2021-06-17T20:15:00Z</dcterms:created>
  <dcterms:modified xsi:type="dcterms:W3CDTF">2021-06-25T14:10:00Z</dcterms:modified>
</cp:coreProperties>
</file>