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UNIVERSIDAD DE SANTIAGO DE CHILE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FACULTAD DE INGENIERÍA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DEPARTAMENTO DE INGENIERÍA INFORMÁTICA</w:t>
      </w:r>
    </w:p>
    <w:p>
      <w:pPr>
        <w:spacing w:after="40" w:before="19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INFORME DE EJECUCIÓN — FASE 3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PREPARACIÓN DE LOS DATOS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Qué se hizo, por qué y qué resultó, explicado paso a paso</w:t>
      </w:r>
    </w:p>
    <w:p>
      <w:pPr>
        <w:spacing w:after="60" w:before="17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Proyecto de Tesis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Sistema de evaluación del desempeño hospitalario</w:t>
      </w:r>
    </w:p>
    <w:p>
      <w:pPr>
        <w:spacing w:after="17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ajustado por riesgo mediante aprendizaje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Estudiante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Felipe Ignacio Baeza Muñoz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Profesor guía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 Villalobos Cid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Carrera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Ingeniería de Ejecución en Computación e Informática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Octubre 2026 · Versión 4 (consenso de las Fases 1 a 4)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Resumen: qué se hizo y qué resultó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Fase 3 de CRISP-DM, Preparación de los datos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toma los seis archivos de texto que entrega FONASA (egresos hospitalarios 2019 a 2024) y los transforma en tablas ordenadas y confiables con las que se entrenarán los modelos de la siguiente fase. Este documento explica, para alguien que lo lee por primera vez,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qué se hizo en cada paso, por qué se hizo así y qué se encontró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No hace falta saber programación para seguirlo.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5.808.535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egresos leídos y conservados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(ninguno se perdió)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3 capas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Bronce, Plata y Oro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más las cohortes A a 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8 de 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puertas de calidad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aprobadas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AF1FB" w:color="auto" w:val="clear"/>
            <w:tcMar>
              <w:top w:type="dxa" w:w="130"/>
              <w:left w:type="dxa" w:w="150"/>
              <w:bottom w:type="dxa" w:w="13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8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de proceso, con un pico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de 3 GB de memoria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El resultado en pocas líneas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Los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5.808.535 egresos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de los seis años pasaron por las tres capas y en cada paso las filas de entrada son iguales a las de salida más las excluidas con su motivo.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La cascada de cohortes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reproduce exactamente las 79 cifras de la Fase 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: cohorte de mortalidad (D) con 2.640.061 egresos entre 2019 y 2023 y cohorte de estadía (E) con 2.396.356.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Se construyeron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dos matrices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para modelar: mortalidad y estadía hospitalaria, con los años 2019–2022 para entrenar y 2023 para calibrar.</w:t>
      </w: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El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desenlace de 2024 quedó sellado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: nadie lo leyó, y el sistema lo verifica y lo registra.</w:t>
      </w:r>
    </w:p>
    <w:p>
      <w:pPr>
        <w:keepNext w:val="false"/>
        <w:keepLines/>
        <w:pBdr>
          <w:left w:val="single" w:color="2E7D32" w:sz="24" w:space="8"/>
        </w:pBdr>
        <w:shd w:fill="E8F3E8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Dos corridas completas dieron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archivos idénticos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(41 de 41 por huella SHA-256) y las 53 pruebas automáticas pasan.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Lo que esta fase no hizo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No se ejecutó la lectura enmascarada del tipo de alta de 2024 para anticipar el tamaño de la cohorte D de 2024: sigue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pendiente de aprobación expresa del profesor guía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Se descartó enviar cartas a FONASA (versión 4); falta consultar a la contraparte clínica.</w:t>
      </w:r>
    </w:p>
    <w:p>
      <w:pPr>
        <w:keepNext w:val="false"/>
        <w:keepLines/>
        <w:pBdr>
          <w:left w:val="single" w:color="DD690A" w:sz="24" w:space="8"/>
        </w:pBdr>
        <w:shd w:fill="FDF0E4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• No se creó la base PostgreSQL: se entrega el script SQL del catálogo de hospitales, sin ejecutarlo.</w:t>
      </w:r>
    </w:p>
    <w:p>
      <w:r>
        <w:br w:type="page"/>
      </w:r>
    </w:p>
    <w:p>
      <w:pPr>
        <w:pStyle w:val="Heading1"/>
        <w:keepNext/>
      </w:pPr>
      <w:r>
        <w:t xml:space="preserve">2. Conceptos básicos antes de empezar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Para que el resto del documento se entienda, estas son las ideas que se usan todo el tiempo.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2"/>
        <w:gridCol w:w="7238"/>
      </w:tblGrid>
      <w:tr>
        <w:trPr>
          <w:cantSplit/>
          <w:tblHeader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significa en este proyecto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Egreso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Una fila de la base: una hospitalización terminada (el paciente salió del hospital por alta, traslado o fallecimiento). Hay 5,8 millones entre 2019 y 2024.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GRD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Grupo Relacionado por el Diagnóstico: una forma de clasificar los egresos según su diagnóstico y los procedimientos realizados, que usa FONASA.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Desenlace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 que se quiere predecir: si el paciente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falleció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en el hospital (modelo de mortalidad) 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cuántos días estuvo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hospitalizado (modelo de estadía).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Predictor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Dato que el modelo puede usar para predecir el desenlace y que se conoce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al ingresar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el paciente: edad, sexo, diagnóstico principal, comorbilidades, etc.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Fuga de información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Error grave: que un predictor contenga, sin querer, información del desenlace o del futuro. El modelo parece excelente en las pruebas y fracasa en la realidad. Gran parte de esta fase existe para evitarla.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Parquet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Formato de archivo para tablas grandes: ocupa cinco veces menos que el texto original y se lee por columnas, mucho más rápido.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Capas Bronce, Plata y Oro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Tres etapas de limpieza. Bronce es una copia fiel; Plata es la versión limpia y ordenada; Oro es la versión final lista para modelar.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Cohorte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Subconjunto de egresos que cumple ciertas condiciones. Por ejemplo, la cohorte C son los adultos hospitalizados.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Elixhauser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de 31 enfermedades crónicas (diabetes, insuficiencia cardíaca, cáncer…) que se detectan en los diagnósticos secundarios y miden cuán complejo era el paciente.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Calibración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Ajuste final del modelo para que sus probabilidades coincidan con lo observado. Se hace con 2023, un año que el modelo no usó para aprender.</w:t>
            </w:r>
          </w:p>
        </w:tc>
      </w:tr>
      <w:tr>
        <w:trPr>
          <w:cantSplit/>
          <w:tblHeader w:val="false"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Sellado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año 2024 es el examen final del modelo. Para que sea honesto, su desenlace se guarda en una carpeta aparte y se prohíbe abrirlo hasta la Fase 5.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2.1 Las reglas que la fase respeta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R1. El año 2024 no se toca.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Sus variables se preparan, pero su desenlace queda sellado.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R2. Lo que se aprende de los datos se aprende solo con 2019–2022.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Las categorías aceptadas y el tope de estadía no usan 2023 ni 2024.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R3. Nada desaparece sin explicación.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Cada exclusión tiene un motivo y un conteo.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R4. No se inventan datos.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Un valor imposible (por ejemplo una edad de 200 años) se deja vacío y se cuenta; nunca se rellena con un promedio.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R5. Privacidad.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Ninguna salida contiene RUT, fechas completas ni celdas con 1 a 9 casos.</w:t>
      </w:r>
    </w:p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 xml:space="preserve">3. Cómo está organizada la carpeta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2314575"/>
            <wp:effectExtent t="0" r="0" b="0" l="0"/>
            <wp:docPr id="1" name="f3_flujo_capas.png" descr="Flujo de la Fase 3. Los archivos de FONASA pasan por tres capas y se separan en entrenamiento, calibración y el año 2024 sellado. El catálogo de hospitales guarda solo conteos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1. Flujo de la Fase 3.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Los archivos de FONASA pasan por tres capas y se separan en entrenamiento, calibración y el año 2024 sellado. El catálogo de hospitales guarda solo conteos.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Igual que la Fase 2, todo está en una carpeta propia,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1"/>
          <w:szCs w:val="21"/>
        </w:rPr>
        <w:t xml:space="preserve">fase3_preparacion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Carpeta o archivo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contiene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prep/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código, un módulo por tarea: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bronce.py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plata.py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cohortes.py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oro.py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sellado.py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catalogo.py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privacidad.py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verificacion.py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config/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Parámetros congelados (edad mínima de adulto, tope de percentil, tamaño mínimo de celda) y las tablas de referencia: categorías de Elixhauser, roles del tipo de alta y las cifras de la Fase 2 con que se compara.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tests/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 pruebas automáticas con datos sintéticos (inventados) que comprueban cada regla.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salidas/tablas/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Todas las tablas de resultados de esta fase (CSV), incluida la tabla de las 8 puertas de calidad.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salidas/figuras/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gráficos de este documento.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run_fase3.py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botón de partida: un solo comando ejecuta todo en orden.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sz w:val="18"/>
                <w:szCs w:val="18"/>
              </w:rPr>
              <w:t xml:space="preserve">generar_figuras.py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Regenera los gráficos a partir de las tablas.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Las capas en sí (Bronce, Plata, Oro y el archivo sellado de 2024) pesan unos 800 MB y viven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fuera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 la carpeta del proyecto, en el disco de trabajo; se pueden regenerar en 8 minutos con el comando anterior.</w:t>
      </w:r>
    </w:p>
    <w:p>
      <w:r>
        <w:br w:type="page"/>
      </w:r>
    </w:p>
    <w:p>
      <w:pPr>
        <w:pStyle w:val="Heading1"/>
        <w:keepNext/>
      </w:pPr>
      <w:r>
        <w:t xml:space="preserve">4. Paso a paso: qué ocurrió en cada capa</w:t>
      </w:r>
    </w:p>
    <w:p>
      <w:pPr>
        <w:pStyle w:val="Heading2"/>
        <w:keepNext/>
      </w:pPr>
      <w:r>
        <w:t xml:space="preserve">4.1 Bronce: copiar los archivos sin cambiar nada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Qué hace.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Lee cada archivo de FONASA y lo guarda como Parquet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sin modificar ningún valor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(todo se guarda como texto). Agrega tres columnas: el año, el número de línea del archivo original y un identificador único del egreso. Así siempre es posible volver al archivo original para revisar un caso.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Por qué.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Si algo sale mal más adelante, Bronce es el punto de partida confiable. Separar «copiar» de «limpiar» evita mezclar errores.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Qué se comprobó.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Que las 129 columnas esperadas estuvieran en cada archivo y que las filas leídas coincidieran con las líneas del archivo.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3"/>
        <w:gridCol w:w="2122"/>
        <w:gridCol w:w="2122"/>
        <w:gridCol w:w="2122"/>
        <w:gridCol w:w="1621"/>
      </w:tblGrid>
      <w:tr>
        <w:trPr>
          <w:cantSplit/>
          <w:tblHeader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Año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Líneas de datos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Filas leídas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Líneas defectuosas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Filas repetidas exactas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2019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1.151.475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1.151.475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159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781.912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781.912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2.818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816.909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816.909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279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932.840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932.839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1.039.587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1.039.587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169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1.085.813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1.085.813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330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5.808.536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5.808.535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3.818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Dos hallazgos que conviene recordar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1. Una línea defectuosa en 2022.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Esa línea tenía un número de campos distinto del esperado, así que se apartó en lugar de adivinar. Por eso el archivo tiene 5.808.536 líneas y la base 5.808.535 egresos, que es la cifra que usan las fases anteriores.</w:t>
      </w: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2. 3.818 filas repetidas exactas.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Son idénticas en las 129 columnas. No se eliminaron: pueden ser dos egresos reales muy parecidos y borrarlos sería una decisión sin respaldo. Quedan documentadas.</w:t>
      </w:r>
    </w:p>
    <w:p>
      <w:pPr>
        <w:keepNext w:val="false"/>
        <w:keepLines/>
        <w:pBdr>
          <w:left w:val="single" w:color="DD690A" w:sz="24" w:space="8"/>
        </w:pBdr>
        <w:shd w:fill="FDF0E4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3. Valores con forma de RUT.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Se encontraron en dos columnas de 2019 (USOSPABELLON y FECHAPROCEDIMIENTO1). Se cuentan, pero su contenido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nunca se guarda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; esas dos columnas no pasan a las capas siguientes.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676775" cy="1847850"/>
            <wp:effectExtent t="0" r="0" b="0" l="0"/>
            <wp:docPr id="1" name="f3_filas_bronce_plata.png" descr="Filas por año en Bronce y Plata. Son idénticas: la limpieza no pierde ningún egreso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2. Filas por año en Bronce y Plata.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Son idénticas: la limpieza no pierde ningún egreso.</w:t>
      </w:r>
    </w:p>
    <w:p>
      <w:pPr>
        <w:pStyle w:val="Heading2"/>
        <w:keepNext/>
      </w:pPr>
      <w:r>
        <w:t xml:space="preserve">4.2 Plata: limpiar y ordenar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Qué hace.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Convierte el texto en tipos útiles (fechas, números, categorías) y estandariza lo que venía escrito de distintas formas. Reduce las 130 columnas a 62 que se necesitan. Entre otras cosas: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Une los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dos formatos de fecha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que usa la base (2020-03-02 y 02-03-2020) en uno solo.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Calcula la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edad en años cumplidos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al ingreso. Si la edad es imposible (negativa o sobre 110) la deja vacía.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Limpia los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códigos de diagnóstico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(mayúsculas, sin espacios ni puntos).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Calcula la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estadía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(fecha de alta menos fecha de ingreso); si resulta negativa la deja vacía.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Clasifica el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tipo de alta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en cuatro roles: evento (falleció), no evento (se fue de alta), censurado (traslado u otro: no se sabe qué pasó después; el rastreo del desenlace se retiró del flujo principal, ver Fase 1, sección 9.4) y sin dato.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Reemplaza columnas muy detalladas (procedimientos, traslados internos) por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cuentas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sin guardar los textos.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No pasan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 Plata las columnas prohibidas: severidad, peso y riesgo de mortalidad del GRD, el médico y el peso del recién nacido.</w:t>
      </w:r>
    </w:p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Por qué.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Los modelos necesitan números y categorías limpias. Anular un valor imposible es más honesto que rellenarlo: el egreso se conserva y el vacío queda contado.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2"/>
        <w:gridCol w:w="985"/>
        <w:gridCol w:w="985"/>
        <w:gridCol w:w="985"/>
        <w:gridCol w:w="985"/>
        <w:gridCol w:w="985"/>
        <w:gridCol w:w="1233"/>
      </w:tblGrid>
      <w:tr>
        <w:trPr>
          <w:cantSplit/>
          <w:tblHeader/>
        </w:trPr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anulado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2019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2020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</w:t>
            </w:r>
          </w:p>
        </w:tc>
      </w:tr>
      <w:tr>
        <w:trPr>
          <w:cantSplit/>
          <w:tblHeader w:val="false"/>
        </w:trPr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Identificador de paciente atípico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15.747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7.497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2.949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1.635</w:t>
            </w:r>
          </w:p>
        </w:tc>
        <w:tc>
          <w:tcPr>
            <w:tcW w:type="dxa" w:w="1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1.037</w:t>
            </w:r>
          </w:p>
        </w:tc>
      </w:tr>
      <w:tr>
        <w:trPr>
          <w:cantSplit/>
          <w:tblHeader w:val="false"/>
        </w:trPr>
        <w:tc>
          <w:tcPr>
            <w:tcW w:type="dxa" w:w="3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Estadía negativa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&lt;10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&lt;10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 calcula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identificador atípico (demasiado corto o no numérico) no se usa para enlazar pacientes; el egreso sigue en la base. Las demás reglas (edades imposibles, fechas ilegibles) anularon menos de 20 valores por año cada una. Los conteos de 1 a 9 se muestran como «&lt;10» por la regla de privacidad.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676775" cy="2057400"/>
            <wp:effectExtent t="0" r="0" b="0" l="0"/>
            <wp:docPr id="1" name="f3_faltantes.png" descr="Datos faltantes, como máximo anual de cada columna. Ninguno se imputó. La columna HOSPPROCEDENCIA (87 % a 91 % vacía) no se muestra porque no se usa: los traslados entrantes se detectan con TIPO_PROCEDENCIA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3. Datos faltantes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, como máximo anual de cada columna. Ninguno se imputó. La columna HOSPPROCEDENCIA (87 % a 91 % vacía) no se muestra porque no se usa: los traslados entrantes se detectan con TIPO_PROCEDENCIA.</w:t>
      </w:r>
    </w:p>
    <w:p>
      <w:pPr>
        <w:pStyle w:val="Heading2"/>
        <w:keepNext/>
      </w:pPr>
      <w:r>
        <w:t xml:space="preserve">4.3 Cohortes: quién entra a cada modelo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Qué hace.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Aplica, en orden, ocho exclusiones. Cada una descarta egresos que no sirven para el modelo, y después de cada una queda una cohorte con nombre (A a E). El resultado se ve como un embudo.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3209925"/>
            <wp:effectExtent t="0" r="0" b="0" l="0"/>
            <wp:docPr id="1" name="f3_cascada.png" descr="Cascada de cohortes, 2019–2023. Las barras anaranjadas son egresos excluidos y las azules las cohortes que quedan. 2024 llega solo hasta la cohorte C porque su desenlace está sellado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4. Cascada de cohortes, 2019–2023.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Las barras anaranjadas son egresos excluidos y las azules las cohortes que quedan. 2024 llega solo hasta la cohorte C porque su desenlace está sellado.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4368"/>
        <w:gridCol w:w="3994"/>
      </w:tblGrid>
      <w:tr>
        <w:trPr>
          <w:cantSplit/>
          <w:tblHeader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se excluye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EX01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GRD no agrupable (sin código, centinela o formato inválido)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 GRD no se puede comparar con casos similares.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EX02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Recién nacidos (MDC 15)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 riesgo se mide de otra forma.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EX03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Obstétricos sin comorbilidades (MDC 14)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Partos sin complicaciones casi no tienen mortalidad y distorsionan.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Cohorte dura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EX04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Menores de 18 años o edad desconocida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Decisión 5: solo adultos.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Adultos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EX05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Actividad distinta de hospitalización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evalúa solo la estadía hospitalaria.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Adultos hospitalizados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Única cohorte que existe también en 2024 (665.450).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EX06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Censurados por tipo de alta o sin dato de desenlace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 sabe si fallecieron.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Cohorte del modelo de mortalidad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2.640.061 en 2019–2023.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EX07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Fallecidos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Salen del modelo de estadía.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EX08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Sobrevivientes con estadía de 0 días o desconocida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hay estadía que modelar.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Cohorte del modelo de estadía</w:t>
            </w:r>
          </w:p>
        </w:tc>
        <w:tc>
          <w:tcPr>
            <w:tcW w:type="dxa" w:w="3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2.396.356 en 2019–2023.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La prueba de que la cascada es correcta</w:t>
      </w:r>
    </w:p>
    <w:p>
      <w:pPr>
        <w:keepNext w:val="false"/>
        <w:keepLines/>
        <w:pBdr>
          <w:left w:val="single" w:color="2E7D32" w:sz="24" w:space="8"/>
        </w:pBdr>
        <w:shd w:fill="E8F3E8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La Fase 3 volvió a construir toda la cascada desde cero y la comparó con las cifras de la Fase 2: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79 cifras comparadas, 0 diferencias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. Además, en cada año se verificó que las exclusiones suman exactamente el total de egresos.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6"/>
        <w:gridCol w:w="1123"/>
        <w:gridCol w:w="1123"/>
        <w:gridCol w:w="1123"/>
        <w:gridCol w:w="1123"/>
        <w:gridCol w:w="1123"/>
        <w:gridCol w:w="999"/>
      </w:tblGrid>
      <w:tr>
        <w:trPr>
          <w:cantSplit/>
          <w:tblHeader/>
        </w:trPr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Cohorte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2019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2020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</w:t>
            </w:r>
          </w:p>
        </w:tc>
      </w:tr>
      <w:tr>
        <w:trPr>
          <w:cantSplit/>
          <w:tblHeader w:val="false"/>
        </w:trPr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Egresos leídos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1.151.475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781.912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816.909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932.839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1.039.587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1.085.813</w:t>
            </w:r>
          </w:p>
        </w:tc>
      </w:tr>
      <w:tr>
        <w:trPr>
          <w:cantSplit/>
          <w:tblHeader w:val="false"/>
        </w:trPr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C: adultos hospitalizados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616.159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514.825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539.276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568.017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623.137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665.450</w:t>
            </w:r>
          </w:p>
        </w:tc>
      </w:tr>
      <w:tr>
        <w:trPr>
          <w:cantSplit/>
          <w:tblHeader w:val="false"/>
        </w:trPr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D: mortalidad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585.631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474.341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488.799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522.553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568.737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sellado</w:t>
            </w:r>
          </w:p>
        </w:tc>
      </w:tr>
      <w:tr>
        <w:trPr>
          <w:cantSplit/>
          <w:tblHeader w:val="false"/>
        </w:trPr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E: estadía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538.814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426.076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437.842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473.791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519.833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sellado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keepNext/>
      </w:pPr>
      <w:r>
        <w:t xml:space="preserve">4.4 Oro: las variables finales para modelar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Qué hace.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Arma, para las cohortes D y E, las tablas definitivas: una fila por egreso, con los predictores, y por separado el desenlace. Los predictores son: edad, sexo, fin de semana, tipo de ingreso, procedencia, nivel de cuidado al ingreso, diagnóstico principal (3 caracteres), grupo clínico y los 31 indicadores de Elixhauser. En total, 52 columnas documentadas en el diccionario de variables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1"/>
          <w:szCs w:val="21"/>
        </w:rPr>
        <w:t xml:space="preserve">diccionario_oro.csv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Tres decisiones importantes.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Predictores y desenlace van en archivos distintos.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Así es imposible que el desenlace se cuele entre las variables por accidente.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Las categorías raras se agrupan.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Un diagnóstico con menos de 100 egresos en 2019–2022 pasa a la categoría «RARO». El diagnóstico principal queda con 824 categorías. Esta lista se calcula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solo con el entrenamiento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; si en 2023 o 2024 aparece una categoría nueva, también va a «RARO».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Los agregados de comorbilidad están aparte.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El número de enfermedades y el puntaje de van Walraven son combinaciones exactas de los 31 indicadores; ponerlos juntos duplicaría información. Quedan en una tabla de línea base.</w:t>
      </w:r>
    </w:p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400675" cy="1323975"/>
            <wp:effectExtent t="0" r="0" b="0" l="0"/>
            <wp:docPr id="1" name="f3_particion.png" descr="Partición por año. La asignación a entrenamiento, calibración o prueba depende solo del año del egreso, nunca de los datos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5. Partición por año.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La asignación a entrenamiento, calibración o prueba depende solo del año del egreso, nunca de los datos.</w:t>
      </w:r>
    </w:p>
    <w:p>
      <w:pPr>
        <w:pStyle w:val="Heading3"/>
        <w:keepNext/>
      </w:pPr>
      <w:r>
        <w:t xml:space="preserve">El tope de estadía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Hay hospitalizaciones muy largas (el máximo es 3.146 días). Para que no dominen al modelo, la estadía se recorta en el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percentil 99 del entrenamiento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: 53 días. Afecta a 17.995 egresos de 1.876.523 (0,96 %). Nadie sale de la cohorte: solo cambia el valor que cuenta.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038725" cy="2228850"/>
            <wp:effectExtent t="0" r="0" b="0" l="0"/>
            <wp:docPr id="1" name="f3_estadia_tope.png" descr="Distribución de la estadía de los sobrevivientes de 2019–2022 (escala logarítmica). Lo anaranjado se recorta a 53 días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6. Distribución de la estadía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de los sobrevivientes de 2019–2022 (escala logarítmica). Lo anaranjado se recorta a 53 días.</w:t>
      </w:r>
    </w:p>
    <w:p>
      <w:pPr>
        <w:pStyle w:val="Heading3"/>
        <w:keepNext/>
      </w:pPr>
      <w:r>
        <w:t xml:space="preserve">Mortalidad por año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mortalidad hospitalaria de la cohorte D fue 5,34 % en el entrenamiento y 4,26 % en 2023, y 5,11 % en 2019–2023 en conjunto, igual que lo medido en la Fase 2. Fue más alta en 2020 (6,13 %) y 2021 (6,37 %), años que coinciden con la pandemia.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676775" cy="2000250"/>
            <wp:effectExtent t="0" r="0" b="0" l="0"/>
            <wp:docPr id="1" name="f3_mortalidad.png" descr="Mortalidad hospitalaria por año en la cohorte D. El año 2024 no se calcula: está sellado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7. Mortalidad hospitalaria por año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en la cohorte D. El año 2024 no se calcula: está sellado.</w:t>
      </w:r>
    </w:p>
    <w:p>
      <w:pPr>
        <w:pStyle w:val="Heading3"/>
        <w:keepNext/>
      </w:pPr>
      <w:r>
        <w:t xml:space="preserve">Las comorbilidades y el cambio en la codificación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Los indicadores de Elixhauser aparecen más a menudo con los años. Por ejemplo, la hipertensión pasó de 36,5 % de los egresos en 2019 a 40,4 % en 2024 y la obesidad de 11,1 % a 15,9 %. Una parte importante del aumento viene de que los hospitales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codifican más diagnósticos por egreso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no solo de pacientes más enfermos. Por eso la prevalencia por año se reporta y se vigilará en la Fase 4.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00675" cy="2457450"/>
            <wp:effectExtent t="0" r="0" b="0" l="0"/>
            <wp:docPr id="1" name="f3_elixhauser_anio.png" descr="Prevalencia anual de las diez condiciones de Elixhauser más frecuentes en 2023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8. Prevalencia anual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de las diez condiciones de Elixhauser más frecuentes en 2023.</w:t>
      </w:r>
    </w:p>
    <w:p>
      <w:pPr>
        <w:pStyle w:val="Heading2"/>
        <w:keepNext/>
      </w:pPr>
      <w:r>
        <w:t xml:space="preserve">4.5 Sellado de 2024: cómo se protege el examen final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Al procesar 2024, el desenlace (tipo de alta y fecha de alta) se separa en un archivo dentro de una carpeta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1"/>
          <w:szCs w:val="21"/>
        </w:rPr>
        <w:t xml:space="preserve">sellado/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 En ese año el programa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no calcula ningún promedio ni conteo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del desenlace: solo lo guarda. Para abrir el archivo hay que declarar una autorización explícita y cada intento queda en un registro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1"/>
          <w:szCs w:val="21"/>
        </w:rPr>
        <w:t xml:space="preserve">registro_accesos.csv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 Las pruebas automáticas comprueban que sin autorización la lectura falla y que queda anotada.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cantSplit/>
          <w:tblHeader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Comprobación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Lecturas del desenlace de 2024 concedidas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Episodios de 2024 en los archivos de desenlace abiertos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Escrituras selladas en el registro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(una por corrida; no calculan ningún agregado)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DD690A" w:sz="24" w:space="8"/>
        </w:pBdr>
        <w:shd w:fill="FDF0E4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Pendiente de decisión del profesor guía</w:t>
      </w:r>
    </w:p>
    <w:p>
      <w:pPr>
        <w:keepNext w:val="false"/>
        <w:keepLines/>
        <w:pBdr>
          <w:left w:val="single" w:color="DD690A" w:sz="24" w:space="8"/>
        </w:pBdr>
        <w:shd w:fill="FDF0E4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Existe una lectura enmascarada que solo devuelve si cada egreso de 2024 entraría o no a la cohorte D, sin revelar la mortalidad. Decisión consensuada (v4): no se ejecuta, porque el tamaño de la cohorte de prueba se conoce al abrir el sello una sola vez en la Fase 5 y la lectura no aporta nada que cambie el modelado.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 La función existe, está probada y se bloquea si no hay autorización.</w:t>
      </w:r>
    </w:p>
    <w:p>
      <w:pPr>
        <w:pStyle w:val="Heading2"/>
        <w:keepNext/>
      </w:pPr>
      <w:r>
        <w:t xml:space="preserve">4.6 Catálogo de hospitales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 construyó una tabla con, por hospital y año, el número de egresos, el tamaño de las cohortes C y D y los fallecidos (celdas de 1 a 9 casos se muestran como «&lt;10»). Se marca si el hospital está en el catálogo oficial y si cumple el volumen mínimo observado (500 egresos de la cohorte D y 10 fallecidos). Esa marca no excluye a nadie; solo informa. Versión 4: la marca informativa cuenta fallecidos observados (64 hospitales en 2023); la regla de elegibilidad del indicador, acordada con las Fases 1 y 5, usa 500 egresos y 10 muertes esperadas (65 hospitales en 2023). Las dos medidas no se mezclan: la de esta tabla no define quién entra al indicador.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2106"/>
        <w:gridCol w:w="1989"/>
        <w:gridCol w:w="1638"/>
        <w:gridCol w:w="1872"/>
      </w:tblGrid>
      <w:tr>
        <w:trPr>
          <w:cantSplit/>
          <w:tblHeader/>
        </w:trP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Año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Hospitales con egresos</w:t>
            </w:r>
          </w:p>
        </w:tc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 el catálogo oficial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Fuera del catálogo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Cumplen volumen</w:t>
            </w:r>
          </w:p>
        </w:tc>
      </w:tr>
      <w:tr>
        <w:trPr>
          <w:cantSplit/>
          <w:tblHeader w:val="false"/>
        </w:trP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2019 a 2022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</w:t>
            </w:r>
          </w:p>
        </w:tc>
      </w:tr>
      <w:tr>
        <w:trPr>
          <w:cantSplit/>
          <w:tblHeader w:val="false"/>
        </w:trP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</w:t>
            </w:r>
          </w:p>
        </w:tc>
      </w:tr>
      <w:tr>
        <w:trPr>
          <w:cantSplit/>
          <w:tblHeader w:val="false"/>
        </w:trP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 calcula (sellado)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Hay un hospital con egresos en 2024 que no está en el catálogo oficial; hay que averiguar a qué corresponde. Además se entrega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1"/>
          <w:szCs w:val="21"/>
        </w:rPr>
        <w:t xml:space="preserve">catalogo_hospitales.sql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, un script listo para cargar la tabla en PostgreSQL. No se ejecutó porque no hay una base disponible en este entorno.</w:t>
      </w:r>
    </w:p>
    <w:p>
      <w:r>
        <w:br w:type="page"/>
      </w:r>
    </w:p>
    <w:p>
      <w:pPr>
        <w:pStyle w:val="Heading1"/>
        <w:keepNext/>
      </w:pPr>
      <w:r>
        <w:t xml:space="preserve">5. Las 8 puertas de calidad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 fase se da por terminada solo si pasan ocho verificaciones automáticas. Son como el «control de calidad» de una fábrica: si una falla, se corrige y se repite.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5741"/>
        <w:gridCol w:w="1373"/>
      </w:tblGrid>
      <w:tr>
        <w:trPr>
          <w:cantSplit/>
          <w:tblHeader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Puerta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comprueba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P1 Bronce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Que se leyeron todas las filas y las 129 columnas en los 6 archivos.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P2 Plata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5.808.535 filas en Plata = Bronce, y la tabla de valores anulados existe.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P3 Cascada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79 cifras iguales a la Fase 2; la cascada cuadra en los 6 años.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P4 Oro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Cero variables prohibidas, cero agregados junto a los 31 indicadores y todas las columnas descritas en el diccionario.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P5 Sellado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Cero lecturas del desenlace de 2024.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P6 Privacidad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Ningún RUT, fecha completa ni celda de 1 a 9 casos en las salidas; la fecha de nacimiento no llega al Oro.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P7 Sin fuga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Las categorías son las mismas calculando con y sin 2023–2024; tope de 53 días.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  <w:tr>
        <w:trPr>
          <w:cantSplit/>
          <w:tblHeader w:val="false"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P8 Reproducibilidad</w:t>
            </w:r>
          </w:p>
        </w:tc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 pruebas pasan; dos corridas completas dan 41 de 41 archivos idénticos; pico de 3,07 GB.</w:t>
            </w:r>
          </w:p>
        </w:tc>
        <w:tc>
          <w:tcPr>
            <w:tcW w:type="dxa" w:w="1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APROBADA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5.1 Qué falló en el camino y cómo se corrigió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En la primera corrida completa aparecieron tres problemas, todos corregidos y verificados con una corrida nueva: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Un error de tipos en el catálogo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(contaba en dos formatos de número distintos al unir los años): se unificó el formato.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La puerta de privacidad falló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porque tres tablas de apoyo mostraban conteos de 1 a 9 casos (por ejemplo, categorías de diagnóstico muy raras). Se reemplazaron por «&lt;10».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La puerta de reproducibilidad falló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porque el contador de pruebas leía mal su propio resumen. Se corrigió la lectura.</w:t>
      </w:r>
    </w:p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038725" cy="2105025"/>
            <wp:effectExtent t="0" r="0" b="0" l="0"/>
            <wp:docPr id="1" name="f3_tiempos_memoria.png" descr="Tiempo y memoria por etapa. Todo el proceso toma unos 8 minutos y nunca pasa de 3,1 GB, muy por debajo de los 7 GB del equipo de prueba.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50"/>
      </w:pPr>
      <w:r>
        <w:rPr>
          <w:rFonts w:ascii="Arial" w:cs="Arial" w:eastAsia="Arial" w:hAnsi="Arial"/>
          <w:b/>
          <w:bCs/>
          <w:i/>
          <w:iCs/>
          <w:color w:val="404040"/>
          <w:sz w:val="17"/>
          <w:szCs w:val="17"/>
        </w:rPr>
        <w:t xml:space="preserve">Figura 9. Tiempo y memoria por etapa.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 Todo el proceso toma unos 8 minutos y nunca pasa de 3,1 GB, muy por debajo de los 7 GB del equipo de prueba.</w:t>
      </w:r>
    </w:p>
    <w:p>
      <w:pPr>
        <w:pStyle w:val="Heading1"/>
        <w:keepNext/>
      </w:pPr>
      <w:r>
        <w:t xml:space="preserve">6. Hallazgos que conviene tener presentes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2"/>
        <w:gridCol w:w="4368"/>
      </w:tblGrid>
      <w:tr>
        <w:trPr>
          <w:cantSplit/>
          <w:tblHeader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implica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El identificador del paciente cambia de formato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entre 2020 y 2021 y unos 29.000 identificadores de 2019 a 2024 son atípicos.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 pueden seguir pacientes de punta a punta; por eso no se construyen variables de historial (decisión 1).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La codificación crece cada año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más diagnósticos por egreso.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indicadores de comorbilidad no significan exactamente lo mismo en 2019 que en 2024. Se vigila con la prevalencia anual.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La mortalidad varió bastante entre años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(4,08 % en 2019, 6,37 % en 2021, 4,26 % en 2023).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modelos deben calibrarse con un año reciente (2023), tal como está planeado.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3.818 filas repetidas exactas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y una línea defectuosa.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Quedan documentadas. Habría que preguntar a FONASA si las repetidas son duplicados reales.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Un hospital de 2024 no figura en el catálogo oficial.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Averiguar a qué corresponde antes de la evaluación final.</w:t>
            </w:r>
          </w:p>
        </w:tc>
      </w:tr>
      <w:tr>
        <w:trPr>
          <w:cantSplit/>
          <w:tblHeader w:val="false"/>
        </w:trPr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Las variables de ingreso son condicionales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(tipo de ingreso, procedencia y nivel de cuidado).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Entran al Oro, pero la Fase 4 debe verificar que no identifiquen al hospital, que es lo que el modelo no debe aprender.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7. Qué queda pendiente y cómo sigue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2"/>
        <w:gridCol w:w="1997"/>
        <w:gridCol w:w="2621"/>
      </w:tblGrid>
      <w:tr>
        <w:trPr>
          <w:cantSplit/>
          <w:tblHeader/>
        </w:trPr>
        <w:tc>
          <w:tcPr>
            <w:tcW w:type="dxa" w:w="4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Pendiente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Efecto</w:t>
            </w:r>
          </w:p>
        </w:tc>
      </w:tr>
      <w:tr>
        <w:trPr>
          <w:cantSplit/>
          <w:tblHeader w:val="false"/>
        </w:trPr>
        <w:tc>
          <w:tcPr>
            <w:tcW w:type="dxa" w:w="4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Lectura enmascarada de TIPOALTA 2024: decidida en la versión 4 (no se ejecuta).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Profesor guía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Habría permitido conocer el tamaño de la cohorte D de 2024; se decidió no ejecutarla.</w:t>
            </w:r>
          </w:p>
        </w:tc>
      </w:tr>
      <w:tr>
        <w:trPr>
          <w:cantSplit/>
          <w:tblHeader w:val="false"/>
        </w:trPr>
        <w:tc>
          <w:tcPr>
            <w:tcW w:type="dxa" w:w="4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Valores con forma de RUT, filas repetidas e identificador: se tratan internamente, sin carta a FONASA (versión 4).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Estudiante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Cierra los hallazgos de calidad de la fuente.</w:t>
            </w:r>
          </w:p>
        </w:tc>
      </w:tr>
      <w:tr>
        <w:trPr>
          <w:cantSplit/>
          <w:tblHeader w:val="false"/>
        </w:trPr>
        <w:tc>
          <w:tcPr>
            <w:tcW w:type="dxa" w:w="4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Revisión clínica de la agrupación de procedencias (PROCEDENCIA_AGR, que ajusta los traslados entrantes incluidos en las cohortes) y del nivel de cuidado.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Contraparte clínica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 dos variables condicionales.</w:t>
            </w:r>
          </w:p>
        </w:tc>
      </w:tr>
      <w:tr>
        <w:trPr>
          <w:cantSplit/>
          <w:tblHeader w:val="false"/>
        </w:trPr>
        <w:tc>
          <w:tcPr>
            <w:tcW w:type="dxa" w:w="4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Cargar el catálogo de hospitales en PostgreSQL con el script entregado.</w:t>
            </w:r>
          </w:p>
        </w:tc>
        <w:tc>
          <w:tcPr>
            <w:tcW w:type="dxa" w:w="1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Estudiante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Deja la base lista para la Fase 5.</w:t>
            </w:r>
          </w:p>
        </w:tc>
      </w:tr>
    </w:tbl>
    <w:p>
      <w:pPr>
        <w:spacing w:after="160"/>
      </w:pPr>
    </w:p>
    <w:p>
      <w:pPr>
        <w:keepNext/>
        <w:keepLines/>
        <w:pBdr>
          <w:left w:val="single" w:color="2E7D32" w:sz="24" w:space="8"/>
        </w:pBdr>
        <w:shd w:fill="E8F3E8" w:color="auto" w:val="clear"/>
        <w:spacing w:after="40" w:before="120" w:line="270"/>
        <w:ind w:left="240" w:right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Cómo sigue la Fase 4 (Modelado)</w:t>
      </w:r>
    </w:p>
    <w:p>
      <w:pPr>
        <w:keepNext w:val="false"/>
        <w:keepLines/>
        <w:pBdr>
          <w:left w:val="single" w:color="2E7D32" w:sz="24" w:space="8"/>
        </w:pBdr>
        <w:shd w:fill="E8F3E8" w:color="auto" w:val="clear"/>
        <w:spacing w:after="180" w:before="0" w:line="270"/>
        <w:ind w:left="24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0"/>
          <w:szCs w:val="20"/>
        </w:rPr>
        <w:t xml:space="preserve">La Fase 4 recibe las dos matrices (mortalidad y estadía), el diccionario de variables, la línea base de comorbilidad, el tope de estadía y las tablas de vigilancia. Tiene prohibido leer el desenlace de 2024, usar variables del GRD (severidad, peso, riesgo) como predictores o usar el año o el código del hospital como predictor.</w:t>
      </w:r>
    </w:p>
    <w:p>
      <w:pPr>
        <w:pStyle w:val="Heading1"/>
        <w:keepNext/>
      </w:pPr>
      <w:r>
        <w:t xml:space="preserve">8. Cómo repetir todo desde cero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Con los seis archivos de FONASA en una carpeta, un solo comando ejecuta todo en orden y deja las 8 puertas aprobadas:</w:t>
      </w:r>
    </w:p>
    <w:p>
      <w:pPr>
        <w:spacing w:after="120" w:before="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1"/>
          <w:szCs w:val="21"/>
        </w:rPr>
        <w:t xml:space="preserve">python run_fase3.py --data-root &lt;carpeta con los .txt&gt; --capas &lt;carpeta de trabajo&gt;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Los resultados deben coincidir con los de este documento; si no, alguna puerta lo avisa. Para regenerar los gráficos: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1"/>
          <w:szCs w:val="21"/>
        </w:rPr>
        <w:t xml:space="preserve">python generar_figuras.py --capas &lt;carpeta de trabajo&gt;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cantSplit/>
          <w:tblHeader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Dato de la corrida final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Duración de una corrida completa (6 años)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unos 8 minutos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Pico de memoria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3,07 GB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Archivos generados idénticos entre dos corridas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 de 41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Pruebas automáticas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 aprobadas, 0 falladas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Egresos en el Oro: mortalidad / estadía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2.640.061 / 2.396.356</w:t>
            </w:r>
          </w:p>
        </w:tc>
      </w:tr>
      <w:tr>
        <w:trPr>
          <w:cantSplit/>
          <w:tblHeader w:val="false"/>
        </w:trPr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Cohorte C de 2024 (solo variables)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665.450</w:t>
            </w:r>
          </w:p>
        </w:tc>
      </w:tr>
    </w:tbl>
    <w:p>
      <w:pPr>
        <w:spacing w:after="160"/>
      </w:pPr>
    </w:p>
    <w:sectPr>
      <w:footerReference w:type="default" r:id="rId7"/>
      <w:foot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Informe de ejecución Fase 3  |  Página </w:t>
    </w:r>
    <w:r>
      <w:rPr>
        <w:rFonts w:ascii="Arial" w:cs="Arial" w:eastAsia="Arial" w:hAnsi="Arial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b5aada8de87be6b0b5931a7f29ae286c6942ce39.png"/><Relationship Id="rId10" Type="http://schemas.openxmlformats.org/officeDocument/2006/relationships/image" Target="media/a9476617baf4088662e270a3840d88a593985a83.png"/><Relationship Id="rId11" Type="http://schemas.openxmlformats.org/officeDocument/2006/relationships/image" Target="media/a2886e76f130bef23c541a1415cccbf26fd58a5b.png"/><Relationship Id="rId12" Type="http://schemas.openxmlformats.org/officeDocument/2006/relationships/image" Target="media/ff07a1141b14704c06b1036a184ee3f047017001.png"/><Relationship Id="rId13" Type="http://schemas.openxmlformats.org/officeDocument/2006/relationships/image" Target="media/b97b427f08bc4e2781a1a7a121f1ed0a1eace36e.png"/><Relationship Id="rId14" Type="http://schemas.openxmlformats.org/officeDocument/2006/relationships/image" Target="media/bdd75e9dadf40853e27328cf22677605023627e1.png"/><Relationship Id="rId15" Type="http://schemas.openxmlformats.org/officeDocument/2006/relationships/image" Target="media/89ca9e7a82bf771ee0e7fc8d1d7665c0f2baedc0.png"/><Relationship Id="rId16" Type="http://schemas.openxmlformats.org/officeDocument/2006/relationships/image" Target="media/a894bcf0a1154eb6cd0cb6196d82f85c6f6536ee.png"/><Relationship Id="rId17" Type="http://schemas.openxmlformats.org/officeDocument/2006/relationships/image" Target="media/2ed69e821299ecc8981350ada5b0b054cca0cf7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ejecución Fase 3 - Preparación de los datos</dc:title>
  <dc:creator>Felipe Ignacio Baeza Muñoz</dc:creator>
  <dc:description>Tesis USACH - CRISP-DM Fase 3</dc:description>
  <cp:lastModifiedBy>Un-named</cp:lastModifiedBy>
  <cp:revision>1</cp:revision>
  <dcterms:created xsi:type="dcterms:W3CDTF">2026-10-18T05:02:38.305Z</dcterms:created>
  <dcterms:modified xsi:type="dcterms:W3CDTF">2026-10-18T05:02:38.305Z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