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SANTIAGO DE CHILE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DE INGENIERÍA INFORMÁTICA</w:t>
      </w:r>
    </w:p>
    <w:p>
      <w:pPr>
        <w:spacing w:after="40" w:before="19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 DE TRABAJO — FASE 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PREPARACIÓN DE LOS DATOS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Plan de desarrollo de la siguiente fase de CRISP-DM</w:t>
      </w:r>
    </w:p>
    <w:p>
      <w:pPr>
        <w:spacing w:after="60" w:before="17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Tesis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evaluación del desempeño hospitalario</w:t>
      </w:r>
    </w:p>
    <w:p>
      <w:pPr>
        <w:spacing w:after="17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Ignacio Baeza Muñoz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 guía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Villalobos Cid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Octubre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El plan en una página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Fase 3 de CRISP-DM, Preparación de los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convierte los archivos crudos de FONASA en las tablas con las que se entrenan los modelos. Es la fase en que se decide, y queda registrado, qué egresos entran al análisis y qué información puede usar cada modelo. Si aquí se filtra información del futuro o se pierde un egreso sin documentarlo, todas las fases siguientes quedan afectadas.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2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duración planeada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(10 días hábiles + reserva)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 capas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Bronce, Plata y Oro,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más cohortes A a 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2 matrices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mortalidad (cohorte D)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y estadía (cohorte 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puertas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 calidad automáticas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para dar la fase por terminada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Qué entrega la fase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Capas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Bronce, Plata y Oro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en Parquet, reproducibles y con el mismo resultado en cada corrida.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La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cascada de exclusiones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completa por año, con un reporte tipo CONSORT que cuadra con el total de egresos.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Dos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matrices analíticas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mortalidad (cohorte D) y estadía (cohorte E), con la partición temporal 2019–2022 entrena, 2023 calibra y 2024 sellado.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Un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diccionario de variables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con el estado de cada una (permitida, condicional, no predictor o prohibida) y el catálogo de hospitales por año.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Un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informe de cierre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y un contrato de traspaso a la Fase 4 (Modelado).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Tres reglas que no se negocian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1. El año 2024 no se toca.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Sus variables se preparan, pero su desenlace (mortalidad y estadía) queda en un archivo aparte, sellado hasta la Fase 5.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2. Ningún dato del futuro entra a un predictor.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Todo lo que se aprende de los datos (categorías, umbrales) se calcula solo con 2019–2022.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3. Ningún egreso desaparece sin explicación.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En cada capa, filas de entrada = filas de salida + filas excluidas con su motivo.</w:t>
      </w:r>
    </w:p>
    <w:p>
      <w:pPr>
        <w:keepNext/>
        <w:keepLines/>
        <w:pBdr>
          <w:left w:val="single" w:color="7F7F7F" w:sz="24" w:space="8"/>
        </w:pBdr>
        <w:shd w:fill="F2F2F2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Lo que ya está resuelto y no hay que rehacer</w:t>
      </w:r>
    </w:p>
    <w:p>
      <w:pPr>
        <w:keepNext w:val="false"/>
        <w:keepLines/>
        <w:pBdr>
          <w:left w:val="single" w:color="7F7F7F" w:sz="24" w:space="8"/>
        </w:pBdr>
        <w:shd w:fill="F2F2F2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2 dejó una infraestructura que lee la base completa con un máximo de 5,7 GB de RAM, un protocolo de umbrales congelado (v1.5) y 1.759 pruebas automáticas. La Fase 3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reutiliza ese método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lectura por bloques con Polars y Parquet, sin cargar los 5,8 millones de egresos de una vez.</w:t>
      </w:r>
    </w:p>
    <w:p>
      <w:r>
        <w:br w:type="page"/>
      </w:r>
    </w:p>
    <w:p>
      <w:pPr>
        <w:pStyle w:val="Heading1"/>
        <w:keepNext/>
      </w:pPr>
      <w:r>
        <w:t xml:space="preserve">2. Punto de partida: qué hereda de las fases anteriores</w:t>
      </w:r>
    </w:p>
    <w:p>
      <w:pPr>
        <w:pStyle w:val="Heading2"/>
        <w:keepNext/>
      </w:pPr>
      <w:r>
        <w:t xml:space="preserve">2.1 Lo que dejó la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931"/>
        <w:gridCol w:w="3370"/>
      </w:tblGrid>
      <w:tr>
        <w:trPr>
          <w:cantSplit/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Insumo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dice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lo usa la Fase 3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Arquitectura medallón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(sección 6)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Cruda → Bronce → Plata → Oro. PostgreSQL solo guarda el catálogo de hospitales y resultados agregados.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Estructura de carpetas y garantías de cada capa.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Reglas R1 a R8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Entre ellas R5 (los errores se anulan, no se imputan), R6 (el riesgo de mortalidad del GRD está prohibido) y R7 (2024 solo para la prueba final).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convierten en pruebas automáticas que detienen el proceso si se violan.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Cascada de exclusiones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(9.3)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GRD no asignable, recién nacidos sanos, partos normales, traslados, tipos de alta sin desenlace, estadías de 0 días.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implementa en el mismo orden que la Fase 2 para reproducir sus cifras.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Tratamiento por tipo de alta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(9.2)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Fallecido = 1; alta médica = 0; traslado saliente censurado; traslado entrante se marca y se conserva fuera de los modelos.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Regla de construcción de MORTALIDAD_BINARIA y de las marcas de censura.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Variables del Oro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(sección 7)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Edad, sexo, fin de semana, tipo de ingreso, tipo de procedencia, nivel de cuidado al ingreso, CIE10_3C, grupo clínico, 31 indicadores de Elixhauser, desenlaces. Más el respaldo medido de cada una.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base del catálogo de variables (sección 7).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Las 129 columnas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(sección 5.4)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columna de la base tiene categoría y destino; las 14 que la versión 2 no mencionaba ya están declaradas.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Contrato de columnas por capa y lista de variables prohibidas que detiene el proceso.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Corte de estadía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(10.4)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Ninguna estadía cuenta por más de 53 días (percentil 99 de 2019–2022), igual en observados y esperados. Nadie sale de la cohorte.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Columna ESTANCIA_DIAS_TOPE y parámetro congelado.</w:t>
            </w:r>
          </w:p>
        </w:tc>
      </w:tr>
      <w:tr>
        <w:trPr>
          <w:cantSplit/>
          <w:tblHeader w:val="false"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Partición temporal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(10.3)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2019–2022 entrena; 2023 calibra; 2024 prueba definitiva.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Columna SPLIT y archivo sellado para 2024.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2.2 Lo que descubrió la Fase 2 y cambia el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Hallazgo (base completa)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Efecto sobre la Fase 3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Cohortes: A 4.221.603; B 3.546.013; C 2.861.414; D 2.640.061; E 2.396.356.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Son las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cifras objetivo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la cascada de la Fase 3 debe reproducirlas exactamente.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 de la cohorte D: 5,11 % en 2019–2023 y 4,26 % en 2023.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partición debe conservar estas tasas; sirven de control después de construir las matrices.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codificación crece: +41,8 % de diagnósticos por egreso entre 2019 y 2024 (4,16 → 5,89).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indicadores de Elixhauser no significan lo mismo en todos los años. Se reporta su prevalencia por año y el PSI (cambio de distribución) como control.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identificador del paciente cambia de sistema entre 2020 y 2021.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pueden encadenar historiales de punta a punta. Por eso las variables de historial no se construyen (decisión 1) y el enlace de traslados se limita a cada régimen.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46,7 % de los traslados salientes se encuentra en otro hospital dentro de 30 días; el 30,6 % de HOSPPROCEDENCIA es autorreferencia.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enlace de traslados (solo dentro de 2021–2024) se prepara como tabla aparte para recuperar el desenlace. HOSPPROCEDENCIA no sirve (89 % vacía): los traslados entrantes se identifican con TIPO_PROCEDENCIA.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AUROC aparente del L1 de 0,925 en 2023, explicado por variables cercanas a proxy del hospital o de fuga.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Oro entrega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solo conjunto de variables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 ESPECIALIDAD_MEDICA, SERVICIOINGRESO y DERIVADO_OTRO_HOSPITAL quedan fuera (asociación con el hospital de 0,17 a 0,56 y cambios grandes entre años). La Fase 4 verifica con el modelo entrenado que las condicionales que sí entran no identifican al hospital.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Los 31 indicadores de Elixhauser son exactamente colineales con N_COMORB_ELIX y con el puntaje de van Walraven.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agregados se guardan en una tabla de línea base separada, nunca junto a los 31 indicadores.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65 de 68 hospitales cumplen el volumen mínimo; los tres que no, son pediátricos.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elimina ningún hospital del entrenamiento. El volumen se registra como marca en el catálogo y se aplica en la Fase 5.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2.3 Estado de las decisiones metodológicas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semáforo de la Fase 1 (versión 3) deja las 17 decisiones así: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 en rojo, 7 en amarillo, 5 en verde y 4 en gris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El estudiante confirmó las propuestas (18 de octubre de 2026); falta la confirmación del profesor guía en todas. Las que gobiernan directamente la Fase 3 son éstas: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"/>
        <w:gridCol w:w="3202"/>
        <w:gridCol w:w="1232"/>
        <w:gridCol w:w="4310"/>
      </w:tblGrid>
      <w:tr>
        <w:trPr>
          <w:cantSplit/>
          <w:tblHeader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Consecuencia en la preparación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Historial de internación previa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F3B38"/>
                <w:sz w:val="18"/>
                <w:szCs w:val="18"/>
              </w:rPr>
              <w:t xml:space="preserve">● rojo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construyen N_EGRESOS_12M, DIAS_DESDE_EGRESO_PREVIO ni HISTORIAL_INCOMPLETO.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Servicio y especialidad (variables condicionales)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Fuera ESPECIALIDAD_MEDICA, SERVICIOINGRESO y DERIVADO_OTRO_HOSPITAL. Solo se deriva NIVEL_CUIDADO_INGRESO, que entra.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adultos (18 años o más)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de la cohorte B.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Volumen mínimo (500 egresos y 10 muertes esperadas)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se calcula y se marca en el catálogo; no excluye filas.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Estadías largas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verde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calcula una vez el percentil 99 con 2019–2022 (53 días) y se crea el tope de estadía.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Categorías de Elixhauser sospechosas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gris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Retirada: se construyen las 31 categorías y no hay análisis de sensibilidad.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Identificación visual de hospitales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gris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Oro usa códigos de hospital, no nombres.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Valores con forma de RUT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verde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aíslan sin guardar su contenido y se informa a FONASA.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Rastreo de traslados salientes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verde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enlace a 30 días dentro de 2021–2024 para recuperar el desenlace; el desenlace se atribuye al hospital que trasladó.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Severidad del GRD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verde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Severidad, peso y riesgo de mortalidad del GRD no pasan a Oro: fuera del modelo, sin excepciones.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Estadías de 0 días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conservan en mortalidad y salen del modelo de estadía.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Traslados entrantes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marcan y salen de los modelos y del O/E.</w:t>
            </w:r>
          </w:p>
        </w:tc>
      </w:tr>
      <w:tr>
        <w:trPr>
          <w:cantSplit/>
          <w:tblHeader w:val="false"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Ventana de entrenamiento 2019–2022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amarillo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entrena con 2019–2022 completo y se recalibra con 2023. No hay marca ni partición que excluya 2020–2021.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</w:pPr>
      <w:r>
        <w:t xml:space="preserve">3.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Dentro de la Fase 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Fuera de la Fase 3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Convertir los 6 archivos a Parquet y validar el esquema de 129 columnas.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Entrenar o ajustar cualquier modelo (Fase 4).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Limpiar y estandarizar sin imputar.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Imputar faltantes: se hace en la Fase 4, dentro de cada pliegue de entrenamiento.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Aplicar la cascada de exclusiones y construir las cohortes A a 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Calcular el O/E, los gráficos de embudo o cualquier métrica de 2024 (Fase 5).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Construir las variables del Oro (un solo conjunto) y el tope de estadía.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Decidir el desempeño de los modelos o elegir hiperparámetros.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Definir las particiones temporales y sellar el desenlace de 2024.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Desplegar la API o la plataforma web (Fase 6).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Armar el catálogo de hospitales por año y el informe de cierre.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Resolver las decisiones institucionales en gris (4, 10 y 12) que dependen de terceros, y cualquier análisis de sensibilidad (fuera del alcance de la tesis).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4. Principios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446"/>
        <w:gridCol w:w="304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significa en la práctica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se comprueba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Reproducible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 entrada, mismo resultado. El identificador de episodio sale del año, la línea y una huella del contenido de la fila.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Dos corridas completas generan archivos con el mismo SHA-256.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Sin fuga de información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vocabularios de categorías, los niveles raros y cualquier umbral aprendido se calculan solo con 2019–2022.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 que reconstruye los vocabularios con y sin 2023–2024 y exige que sean idénticos.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Cortafuegos de 2024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desenlace de 2024 vive en un archivo separado, sin permiso de lectura salvo la prueba final. Todo acceso queda en un registro.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Registro de accesos con cero lecturas de desenlace 2024 en la fase.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Privacidad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columna sensible se descarta en Bronce; la fecha de nacimiento se borra en Oro tras calcular la edad; las salidas no llevan identificadores, fechas completas ni celdas de 1 a 9 casos.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Escaneo automático de todas las salidas, como el criterio DT04 de la Fase 2.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cifra del informe sale de un CSV; cada columna del Oro, de una fila del diccionario.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cifra del informe se verifica contra su CSV de origen.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Memoria acotada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Lectura por bloques y por año, solo con las columnas necesarias. Meta: pico de RAM bajo 8 GB en un equipo de 16 GB.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Medición de memoria en cada corrida completa.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Anular, no imputar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valor imposible se vuelve vacío y se documenta; el egreso se conserva (regla R5).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Conteo de valores anulados por variable y por año.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733675"/>
            <wp:effectExtent t="0" r="0" b="0" l="0"/>
            <wp:docPr id="1" name="f3_flujo.png" descr="Flujo de la Fase 3. Las tres capas de procesamiento terminan en el Oro, que se separa en entrenamiento (2019–2022), calibración (2023) y en el año 2024 sellado. PostgreSQL solo recibe el catálogo de hospitale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1.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Flujo de la Fase 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Las tres capas de procesamiento terminan en el Oro, que se separa en entrenamiento (2019–2022), calibración (2023) y en el año 2024 sellado. PostgreSQL solo recibe el catálogo de hospitales.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Una incongruencia entre documentos que conviene corregir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El informe de la Fase 2 dice que la Fase 3 ejecutará las transformaciones «directamente sobre PostgreSQL». La Fase 1 establece lo contrario: PostgreSQL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no guarda registros de pacientes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 Este plan sigue la Fase 1: las capas viven en Parquet y PostgreSQL solo recibe el catálogo y los agregados. Es una decisión de diseño que se confirma con el profesor guía (sección 9).</w:t>
      </w:r>
    </w:p>
    <w:p>
      <w:r>
        <w:br w:type="page"/>
      </w:r>
    </w:p>
    <w:p>
      <w:pPr>
        <w:pStyle w:val="Heading1"/>
        <w:keepNext/>
      </w:pPr>
      <w:r>
        <w:t xml:space="preserve">5. Plan detallado por etapa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trabajo se divide en nueve etapas. Cada una tiene entrada, salida y un criterio de aceptación que se puede comprobar con una prueba automática.</w:t>
      </w:r>
    </w:p>
    <w:p>
      <w:pPr>
        <w:pStyle w:val="Heading2"/>
        <w:keepNext/>
      </w:pPr>
      <w:r>
        <w:t xml:space="preserve">E0. Congelar decisiones y preparar la estructura (día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Reunir con el profesor guía las consultas de la sección 9 y registrar sus respuestas.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Protocolo v2 con los cambios fechados y justificados.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Copiar la configuración de umbrales de la Fase 2 (umbrales.toml v1.5) como punto de partida y congelarla.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Archivo de configuración de la Fase 3, sin valores nuevos sin fecha ni motivo.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Crear la carpeta de la fase con la misma estructura de la Fase 2 (código, configuración, pruebas, salidas).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Repositorio listo para ejecutar la primera prueba.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Definir el contrato de columnas de cada capa (nombre, tipo, nulos permitidos), partiendo de la tabla de las 129 columnas (Fase 1 v3, sección 5.4).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Esquemas por capa en un archivo de configuración.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Dejar encaminados los tres pendientes que no dependen de los datos: contraparte clínica (decisión 12), carta a FONASA por los valores con forma de RUT y carta por microdatos y condiciones de publicación.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registrado en el protocolo; la fase avanza con las propuestas por defecto.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Criterio de aceptación E0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Todas las decisiones que afectan la construcción tienen respuesta escrita; las que no, tienen una opción por defecto y el nombre de quien debe confirmarla.</w:t>
      </w:r>
    </w:p>
    <w:p>
      <w:pPr>
        <w:pStyle w:val="Heading2"/>
        <w:keepNext/>
      </w:pPr>
      <w:r>
        <w:t xml:space="preserve">E1. Capa Bronce (días 2 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Validar que cada archivo tenga exactamente las 129 columnas esperadas; detener el proceso si falta o sobra una.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Reporte de esquema por año.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Convertir a Parquet por año de archivo, todo como texto, leyendo por bloques.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Bronce por año.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Crear ID_EPISODIO a partir del año, la línea y la huella del contenido; comprobar que no haya colisiones.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Identificador determinista, único.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Revisar todas las columnas buscando valores con forma de identificador personal. Aislarlos sin guardar su contenido, registrar cuántos hay y en qué columna, y descartar la columna.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Conteo de hallazgos (la Fase 2 detectó 22 valores en dos columnas de 2019).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Guardar aparte las líneas que no se pueden leer, con su número de línea y el motivo.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rechazadas.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Criterio de aceptación E1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Filas leídas + filas rechazadas = líneas del archivo, en los 6 años. La suma de egresos debe dar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5.808.535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, la cifra medida en la Fase 2. La Fase 1 cita 5.808.536; la diferencia de una fila debe explicarse (por ejemplo, una línea de encabezado) y quedar documentada.</w:t>
      </w:r>
    </w:p>
    <w:p>
      <w:pPr>
        <w:pStyle w:val="Heading2"/>
        <w:keepNext/>
      </w:pPr>
      <w:r>
        <w:t xml:space="preserve">E2. Capa Plata (días 3 a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Unificar los dos formatos de fecha. Una fecha imposible se anula; el egreso se conserva.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Números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Corregir el separador decimal (coma por punto).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Unificar la categoría OTRO de etnia, que viene escrita de dos formas.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Diagnósticos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Mayúsculas, sin tildes, sin puntos internos y sin espacios extra, en las 35 columnas de diagnóstico. Validar el formato CIE-10.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Valores imposibles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Aplicar las reglas de calidad de la Fase 2 (por ejemplo, largo mínimo del identificador y edad máxima del neonato), con los mismos umbrales. Anular solo el valor malo.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Censura y marcas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Marcar traslados salientes (desenlace desconocido), traslados entrantes (con TIPO_PROCEDENCIA) y tipos de alta sin desenlace confirmado.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Duplicados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Documentar filas repetidas y episodios del mismo paciente con las mismas fechas antes de decidir qué hacer; no eliminar nada en silencio.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Faltantes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Contar valores vacíos por variable y por año. No imputar.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Estancia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Calcular días de hospitalización como fecha de alta menos fecha de ingreso, con control de valores negativos.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Alcance de menores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recién nacidos y menores de 18 se identifican y se cuentan por año antes de excluirlos (Fase 1 v3, sección 9.6), para poder reportar cuántos quedan fuera.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Criterio de aceptación E2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Cada fila de Bronce está en Plata o en la tabla de exclusiones con su motivo. El conteo de valores anulados por regla queda en una tabla por año.</w:t>
      </w:r>
    </w:p>
    <w:p>
      <w:pPr>
        <w:pStyle w:val="Heading2"/>
        <w:keepNext/>
      </w:pPr>
      <w:r>
        <w:t xml:space="preserve">E3. Cohortes y cascada de exclusiones (días 5 y 6)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 la etapa de mayor riesgo, porque sus cifras ya fueron medidas en la Fase 2. La regla 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reproducir, no reinventar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se implementa la misma secuencia y se compara contra las cifras de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4973"/>
        <w:gridCol w:w="1755"/>
        <w:gridCol w:w="1930"/>
      </w:tblGrid>
      <w:tr>
        <w:trPr>
          <w:cantSplit/>
          <w:tblHeader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Cohorte resultante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Cifra de referencia (Fase 2)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Excluir GRD no asignable, recién nacidos sanos (MDC 15) y partos normales sin complicación (MDC 14).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4.221.603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Conservar adultos de 18 años o más.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3.546.013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Conservar hospitalización adulta en camas básicas o críticas.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2.861.414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Conservar episodios con desenlace conocido: excluir traslados salientes, traslados entrantes y tipos de alta sin desenlace confirmado.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 (mortalidad)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2.640.061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 estadía: excluir fallecidos y estadías de 0 días.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 (estadía)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2.396.356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cohorte D de la Fase 2 tiene 2.071.324 egresos de 2019–2022 y 568.737 de 2023, y ninguno de 2024. Es decir,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cohorte de 2024 todavía no existe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y la Fase 3 debe construirla.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Enlace de traslados (dentro de E3, solo 2021–2024).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 el identificador encriptado se busca si el paciente reapareció en otro hospital en 30 días. Si aparece, su desenlace final es el del último episodio de la cadena y se atribuye al hospital que trasladó. Como el identificador cambia de sistema entre 2020 y 2021, el enlace no existe para 2019–2020, y el 46,7 % de enlace medido en la Fase 2 deja una parte censurada. Para no perder la comparación con la Fase 2, la cohorte D se construye primero tal como se midió (cifra de referencia) y los traslados recuperados se agregan como un bloque separado, con la marca RECUPERADO_POR_ENLACE. Si se incorporan al entrenamiento es la decisión 13: se mantienen aparte según lo decidido por el estudiante; falta el profesor guía.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Atención: la cohorte de prueba de 2024 necesita leer el tipo de alta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Para decidir si un egreso de 2024 es un traslado saliente hay que mirar TIPOALTA, que es la misma columna de la que sale el desenlace. Propuesta: una función enmascarada que lee solo lo necesario, devuelve únicamente la marca «entra o no a la cohorte», nunca la mortalidad, y deja registro de cada acceso. La Fase 2 ya usó un mecanismo equivalente («reglas de calidad autorizadas»).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Requiere aprobación explícita del profesor guía antes de implementarse.</w:t>
      </w: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Criterio de aceptación E3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cascada cuadra por año (entrada = salida + excluidos) y las cohortes A a E coinciden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exactamente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con las cifras de referencia. Se produce una figura tipo CONSORT y una tabla con cada exclusión, su regla y su cantidad por año. Los traslados entrantes y los de 2024 se reportan por separado.</w:t>
      </w:r>
    </w:p>
    <w:p>
      <w:pPr>
        <w:pStyle w:val="Heading2"/>
        <w:keepNext/>
      </w:pPr>
      <w:r>
        <w:t xml:space="preserve">E4. Capa Oro: variables del modelo (días 6 a 8)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construyen las variables de la sección 7, siempre con una lista de variables prohibidas que detiene el proceso si alguna aparece. Los puntos delicados: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Edad.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calcula con la fecha de nacimiento y la de ingreso, y luego la fecha de nacimiento se borra. Las edades imposibles se anulan; el efecto sobre la cohorte B se registra aparte.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Diagnóstico en dos niveles.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CIE10_3C (3 caracteres) y GRUPO_CLINICO (categoría amplia). Los códigos poco frecuentes se agrupan como «RARO»; el umbral y la lista se fijan solo con 2019–2022.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Elixhauser.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31 indicadores calculados desde DIAGNOSTICO2 a DIAGNOSTICO35, sin el diagnóstico principal (regla R3). Los agregados (N_COMORB_ELIX y el puntaje de van Walraven) van a una tabla de línea base aparte.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Variables de ingreso.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TIPO_INGRESO, TIPO_PROCEDENCIA (agrupada como PROCEDENCIA_AGR) y NIVEL_CUIDADO_INGRESO (derivada de SERVICIOINGRESO) entran, y se marcan como condicionales en el diccionario para que la Fase 4 verifique que no actúan como proxy del hospital. SERVICIOINGRESO y ESPECIALIDAD_MEDICA se usan solo para derivar el nivel de cuidado y la macroespecialidad de control, y no pasan a Oro como predictores.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Calendario.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Solo ES_FIN_SEMANA (decisión del estudiante; falta el profesor guía). MES_INGRESO y DIA_SEMANA no se construyen como predictores: su aporte medido es nulo.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Tope de estadía.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calcula el percentil 99 de la estadía de los sobrevivientes solo con 2019–2022 (53 días) y se guarda como parámetro congelado. Se crea ESTANCIA_DIAS_TOPE = mínimo entre la estadía y 53; la estadía original se conserva. Nadie sale de la cohorte.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Elixhauser completo.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construyen las 31 categorías, sin excluir ninguna. La limitación (sin marca de presente al ingreso y con codificación que crece) se declara en el informe.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Desenlaces.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MORTALIDAD_BINARIA y ESTANCIA se escriben en archivos distintos de las variables predictoras.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Variables prohibidas.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Severidad, peso y riesgo de mortalidad del GRD no pasan a Oro (AUC de 0,81 a 0,88, sobre el umbral de fuga). Tampoco procedimientos, intervención, alta, traslados internos ni neonatos.</w:t>
      </w:r>
    </w:p>
    <w:p>
      <w:pPr>
        <w:spacing w:after="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Criterio de aceptación E4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Ninguna variable prohibida en el Oro; los 31 indicadores sin sus agregados en la misma tabla; todas las columnas del Oro con su fila en el diccionario; la prevalencia anual de cada indicador de Elixhauser queda en una tabla.</w:t>
      </w:r>
    </w:p>
    <w:p>
      <w:pPr>
        <w:pStyle w:val="Heading2"/>
        <w:keepNext/>
      </w:pPr>
      <w:r>
        <w:t xml:space="preserve">E5. Particiones y sellado de 2024 (día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1463"/>
        <w:gridCol w:w="3218"/>
        <w:gridCol w:w="2631"/>
      </w:tblGrid>
      <w:tr>
        <w:trPr>
          <w:cantSplit/>
          <w:tblHeader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Conjunto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Años</w:t>
            </w:r>
          </w:p>
        </w:tc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rPr>
          <w:cantSplit/>
          <w:tblHeader w:val="false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Entrenamiento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2019–2022 completo</w:t>
            </w:r>
          </w:p>
        </w:tc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Ajustar modelos (decisión 17: la pandemia se queda en el entrenamiento)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Libre</w:t>
            </w:r>
          </w:p>
        </w:tc>
      </w:tr>
      <w:tr>
        <w:trPr>
          <w:cantSplit/>
          <w:tblHeader w:val="false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Calibración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Verificar y recalibrar probabilidades (corrige el nivel tras la pandemia)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Libre</w:t>
            </w:r>
          </w:p>
        </w:tc>
      </w:tr>
      <w:tr>
        <w:trPr>
          <w:cantSplit/>
          <w:tblHeader w:val="false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Prueba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3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Evaluación final, una sola vez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Variables libres;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desenlace sellado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columna SPLIT se calcula solo por año de egreso, nunca al azar.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desenlace de 2024 se escribe en un archivo separado, y su lectura pasa por una única función que deja registro.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comprueba que las tasas de mortalidad por conjunto coinciden con las de la Fase 2 (5,11 % en 2019–2023 y 4,26 % en 2023).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se crean particiones ni marcas para análisis de sensibilidad: la fase se enfoca en construir las matrices del modelo.</w:t>
      </w:r>
    </w:p>
    <w:p>
      <w:pPr>
        <w:spacing w:after="60"/>
      </w:pPr>
    </w:p>
    <w:p>
      <w:pPr>
        <w:pStyle w:val="Heading2"/>
        <w:keepNext/>
      </w:pPr>
      <w:r>
        <w:t xml:space="preserve">E6. Catálogo de hospitales y PostgreSQL (días 8 y 9)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Tabla hospital–año con: código del hospital, indicador de operación con GRD ese año, nivel de complejidad, volumen de egresos y muertes esperadas (marca de volumen mínimo, solo informativa).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Cargar el catálogo en PostgreSQL y comprobar que ninguna columna contiene datos de pacientes.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Reconciliar con los 68 hospitales oficiales y con los al menos 72 identificados en 2019–2024 (Fase 1, sección 9.1).</w:t>
      </w:r>
    </w:p>
    <w:p>
      <w:pPr>
        <w:spacing w:after="60"/>
      </w:pPr>
    </w:p>
    <w:p>
      <w:pPr>
        <w:pStyle w:val="Heading2"/>
        <w:keepNext/>
      </w:pPr>
      <w:r>
        <w:t xml:space="preserve">E7. Corrida completa y verificación (días 9 y 10)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Ejecutar el pipeline completo sobre los 6 años con medición de memoria y tiempo.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Ejecutar el conjunto de pruebas (las 1.759 de la Fase 2 más las nuevas de la Fase 3) y una segunda corrida para comprobar el determinismo.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Pasar las ocho puertas de calidad de la sección 8 y registrar el resultado en una tabla de verificación.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Escanear todas las salidas en busca de identificadores, fechas completas y celdas pequeñas.</w:t>
      </w:r>
    </w:p>
    <w:p>
      <w:pPr>
        <w:spacing w:after="60"/>
      </w:pPr>
    </w:p>
    <w:p>
      <w:pPr>
        <w:pStyle w:val="Heading2"/>
        <w:keepNext/>
      </w:pPr>
      <w:r>
        <w:t xml:space="preserve">E8. Informe de cierre y traspaso a la Fase 4 (día 10)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Informe técnico con el mismo diseño de las fases anteriores: cascada, diccionario, controles de deriva, limitaciones y decisiones tomadas.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Contrato de traspaso: qué archivos recibe la Fase 4, con qué esquema, y qué le está prohibido hacer (sección 12).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Actualizar la guía de ejecución para que cualquiera pueda reproducir la fase desde cero.</w:t>
      </w:r>
    </w:p>
    <w:p>
      <w:pPr>
        <w:spacing w:after="60"/>
      </w:pPr>
    </w:p>
    <w:p>
      <w:pPr>
        <w:pStyle w:val="Heading1"/>
        <w:keepNext/>
      </w:pPr>
      <w:r>
        <w:t xml:space="preserve">6. Cronograma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plan de la Fase 1 asigna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 semanas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la Fase 3. El diagrama distribuye el trabajo en 10 días hábiles y deja tres días de reserva. Las etapas se solapan donde la salida de una alimenta a la siguiente desde su primer año procesado.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f3_gantt.png" descr="Cronograma de la Fase 3. D1 es el primer día de trabajo de la fase. La reserva se usa si la cascada no reproduce las cifras de referencia o si la corrida completa falla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2.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Cronograma de la Fase 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D1 es el primer día de trabajo de la fase. La reserva se usa si la cascada no reproduce las cifras de referencia o si la corrida completa falla.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3"/>
        <w:gridCol w:w="878"/>
        <w:gridCol w:w="4679"/>
      </w:tblGrid>
      <w:tr>
        <w:trPr>
          <w:cantSplit/>
          <w:tblHeader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H1. Decisiones congeladas y estructura lista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Protocolo v2 y repositorio con la primera prueba en verde.</w:t>
            </w:r>
          </w:p>
        </w:tc>
      </w:tr>
      <w:tr>
        <w:trPr>
          <w:cantSplit/>
          <w:tblHeader w:val="false"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H2. Bronce completo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Filas leídas + rechazadas = líneas del archivo en los 6 años.</w:t>
            </w:r>
          </w:p>
        </w:tc>
      </w:tr>
      <w:tr>
        <w:trPr>
          <w:cantSplit/>
          <w:tblHeader w:val="false"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H3. Cascada reproduce la Fase 2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Cohortes A a E con las cifras de referencia; tope de 53 días calculado.</w:t>
            </w:r>
          </w:p>
        </w:tc>
      </w:tr>
      <w:tr>
        <w:trPr>
          <w:cantSplit/>
          <w:tblHeader w:val="false"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H4. Oro y particiones listos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Diccionario completo y 2024 sellado.</w:t>
            </w:r>
          </w:p>
        </w:tc>
      </w:tr>
      <w:tr>
        <w:trPr>
          <w:cantSplit/>
          <w:tblHeader w:val="false"/>
        </w:trPr>
        <w:tc>
          <w:tcPr>
            <w:tcW w:type="dxa" w:w="3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H5. Corrida completa verificada</w:t>
            </w:r>
          </w:p>
        </w:tc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4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Ocho puertas en verde y corridas idénticas.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7. Catálogo de variables del 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335"/>
        <w:gridCol w:w="1404"/>
        <w:gridCol w:w="1696"/>
      </w:tblGrid>
      <w:tr>
        <w:trPr>
          <w:cantSplit/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Conjunto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EDAD_ANIOS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Edad al ingreso, calculada y luego se borra la fecha de nacimiento.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permitida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SEXO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Sexo registrado.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permitida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ES_FIN_SEMANA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el ingreso fue sábado o domingo. Señal baja (decisión del estudiante; falta el profesor guía).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permitida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MES_INGRESO, DIA_SEMANA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Calendario del ingreso. Aporte medido nulo.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no se construye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CIE10_3C, GRUPO_CLINICO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Diagnóstico principal en dos niveles.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con reserva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ELIX_01 a ELIX_31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 indicadores de enfermedades crónicas, desde los diagnósticos secundarios.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con reserva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N_COMORB_ELIX, PUNTAJE_VAN_WALRAVEN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Resúmenes de comorbilidad. Colineales con los 31 indicadores.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solo línea base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aparte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N_DX_SECUNDARIOS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Cantidad de diagnósticos secundarios; mide la exhaustividad del registro.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no predictor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aparte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TIPO_INGRESO, TIPO_PROCEDENCIA (PROCEDENCIA_AGR), NIVEL_CUIDADO_INGRESO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Datos del ingreso; se conocen al llegar. Asociación con el hospital de 0,14 a 0,17.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5408"/>
                <w:sz w:val="18"/>
                <w:szCs w:val="18"/>
              </w:rPr>
              <w:t xml:space="preserve">● condicional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Basal, con verificación en la Fase 4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SERVICIOINGRESO, ESPECIALIDAD_MEDICA, DERIVADO_OTRO_HOSPITAL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Proxy del hospital (asociación 0,17 a 0,56) y cambios grandes entre años.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F3B38"/>
                <w:sz w:val="18"/>
                <w:szCs w:val="18"/>
              </w:rPr>
              <w:t xml:space="preserve">● excluida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para derivar NIVEL_CUIDADO_INGRESO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ID_EPISODIO, HOSPITAL (código), ANIO_EGRESO, SPLIT, marcas de cohorte y de traslado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Claves y marcas de control.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no predictor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Claves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MORTALIDAD_BINARIA, ESTANCIA, ESTANCIA_DIAS_TOPE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Variables a predecir (la segunda, con tope de 53 días).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7F7F"/>
                <w:sz w:val="18"/>
                <w:szCs w:val="18"/>
              </w:rPr>
              <w:t xml:space="preserve">● desenlace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Archivo aparte; 2024 sellado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IR_29301_SEVERIDAD, IR_29301_PESO, IR_29301_MORTALIDAD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Severidad, peso y riesgo de mortalidad del GRD: los asigna el agrupador con todo lo ocurrido en el episodio.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F3B38"/>
                <w:sz w:val="18"/>
                <w:szCs w:val="18"/>
              </w:rPr>
              <w:t xml:space="preserve">● prohibida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pasa a Oro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N_EGRESOS_12M, DIAS_DESDE_EGRESO_PREVIO, HISTORIAL_INCOMPLETO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Historial de internación previa.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F3B38"/>
                <w:sz w:val="18"/>
                <w:szCs w:val="18"/>
              </w:rPr>
              <w:t xml:space="preserve">● no se construye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Procedimientos, cirugías, fechas de intervención, medicamentos, fecha de alta</w:t>
            </w:r>
          </w:p>
        </w:tc>
        <w:tc>
          <w:tcPr>
            <w:tcW w:type="dxa" w:w="3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Ocurren durante la hospitalización o al alta.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F3B38"/>
                <w:sz w:val="18"/>
                <w:szCs w:val="18"/>
              </w:rPr>
              <w:t xml:space="preserve">● prohibida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pasa a Oro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Sobre los faltantes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3 no imputa. Deja los vacíos como vacíos, con una marca de faltante donde aporte información. LightGBM y XGBoost aceptan valores vacíos; para la línea base logística, la imputación se ajusta dentro de la Fase 4 usando solo el entrenamiento, para no filtrar información entre conjuntos.</w:t>
      </w:r>
    </w:p>
    <w:p>
      <w:r>
        <w:br w:type="page"/>
      </w:r>
    </w:p>
    <w:p>
      <w:pPr>
        <w:pStyle w:val="Heading1"/>
        <w:keepNext/>
      </w:pPr>
      <w:r>
        <w:t xml:space="preserve">8. Criterios de terminado de la Fase 3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Igual que la Fase 2, la fase se da por terminada solo cuando una verificación automática pasa todas sus puertas. Se proponen ocho: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5382"/>
        <w:gridCol w:w="2340"/>
      </w:tblGrid>
      <w:tr>
        <w:trPr>
          <w:cantSplit/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Puerta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se comprueba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P1 Bronce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Filas leídas + rechazadas = líneas del archivo; total de egresos 5.808.535; esquema de 129 columnas.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por año.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P2 Plata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Ningún episodio desaparece sin motivo; conteo de valores anulados por regla.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cuadratura.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P3 Cascada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Cuadra por año y reproduce las cohortes A a E de la Fase 2 sin diferencia.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Comparación contra cifras de referencia.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P4 Oro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variables prohibidas; cero agregados junto a los 31 indicadores; las 129 columnas con destino; diccionario completo.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 automática y diccionario.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P5 Sellado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lecturas del desenlace de 2024 fuera de la función autorizada.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Registro de accesos.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P6 Privacidad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identificadores, fechas completas ni celdas de 1 a 9 casos en las salidas; fecha de nacimiento ausente en Oro.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Escaneo de salidas.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P7 Sin fuga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Vocabularios y umbrales idénticos con y sin 2023–2024.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 de reconstrucción.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P8 Reproducibilidad</w:t>
            </w:r>
          </w:p>
        </w:tc>
        <w:tc>
          <w:tcPr>
            <w:tcW w:type="dxa" w:w="5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Pruebas en verde y dos corridas completas con los mismos SHA-256; pico de RAM medido.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verificación.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9. Decisiones que necesitan respuesta del profesor guía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Estas consultas se envían antes de empezar (día 1). Cada una trae una propuesta por defecto, para poder avanzar si la respuesta tarda.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5558"/>
        <w:gridCol w:w="3217"/>
      </w:tblGrid>
      <w:tr>
        <w:trPr>
          <w:cantSplit/>
          <w:tblHeader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Propuesta por defecto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autoriza una lectura enmascarada de TIPOALTA 2024 solo para decidir quién entra a la cohorte de prueba, sin exponer mortalidad?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Sí, con registro de cada acceso y revisión posterior.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¿Las capas viven en Parquet y PostgreSQL solo guarda catálogo y agregados, según la Fase 1, aunque el informe de la Fase 2 menciona PostgreSQL?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Parquet para capas; PostgreSQL para catálogo.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confirma que el historial de internación no se construye (decisión 1 en rojo)?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construye.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aprueba excluir ESPECIALIDAD_MEDICA y SERVICIOINGRESO, y mantener solo NIVEL_CUIDADO_INGRESO (decisión 2)?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¿Los traslados recuperados por enlace (2021–2024) entran al entrenamiento o se reportan aparte (decisión 13)?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construye la marca y se reportan aparte; la cohorte D de referencia no cambia.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conserva solo ES_FIN_SEMANA de las tres variables de calendario?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confirma entrenar con 2019–2022 completo y recalibrar con 2023 (decisión 17), y el tope de estadía de 53 días (decisión 7)?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¿Se informa a FONASA por el canal formal de los 22 valores con forma de RUT antes del informe final?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Sí; el informe describe el hallazgo sin reproducir los valores.</w:t>
            </w:r>
          </w:p>
        </w:tc>
      </w:tr>
      <w:tr>
        <w:trPr>
          <w:cantSplit/>
          <w:tblHeader w:val="false"/>
        </w:trPr>
        <w:tc>
          <w:tcPr>
            <w:tcW w:type="dxa" w:w="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¿Qué se hace con los hospitales bajo el volumen mínimo?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conservan en el entrenamiento y se marcan; la exclusión se aplica en la Fase 5.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10. Riesgos y cómo se controlan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404"/>
        <w:gridCol w:w="1112"/>
        <w:gridCol w:w="3334"/>
      </w:tblGrid>
      <w:tr>
        <w:trPr>
          <w:cantSplit/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cascada no reproduce las cifras de la Fase 2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Implementar los pasos en el mismo orden; comparar paso a paso; usar la reserva de tres días.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código original de Plata y Oro no está en el repositorio; el mapeo de 3 caracteres de la Fase 2 es una reconstrucción aproximada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Reimplementar desde las reglas documentadas, validar con las cifras de referencia y registrar las diferencias.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 lee el desenlace de 2024 por accidente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Muy alto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Archivo separado, función única con registro y puerta P5 automática.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Fuga por vocabularios calculados con todos los años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Vocabularios solo con 2019–2022 y prueba P7.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Deriva de codificación (+41,8 %) distorsiona Elixhauser entre años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Reportar prevalencia por año y PSI; la Fase 4 decide cómo tratarla.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Las tres variables de ingreso que quedan actúan como proxy del hospital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Asociación con el hospital baja (0,14 a 0,17); verificación con el modelo entrenado en la Fase 4.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 hay revisión clínica de las variables (decisión 12)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Registrar el pendiente, avanzar con la evidencia estadística y declarar la limitación.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Memoria insuficiente al unir los 35 diagnósticos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Procesar por año y por bloques; guardar Parquet por partición; medir el pico.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cambio de identificador entre 2020 y 2021 rompe el enlace de traslados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Bajo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Enlazar solo dentro de 2021–2024; la cohorte D de referencia no depende del enlace.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Retraso en las respuestas del profesor guía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consulta trae una propuesta por defecto y se registra como tal.</w:t>
            </w:r>
          </w:p>
        </w:tc>
      </w:tr>
      <w:tr>
        <w:trPr>
          <w:cantSplit/>
          <w:tblHeader w:val="false"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Reidentificación por celdas pequeñas en las salidas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Supresión de celdas de 1 a 9 casos y escaneo automático.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11. Recursos y estimaciones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925"/>
        <w:gridCol w:w="4095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Memoria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Pico de 5 a 8 GB sobre 16 GB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Fase 2: 5,7 GB con lectura por bloques.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Tiempo de corrida completa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Entre 1 y 2 horas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Fase 2: 1 h 54 min. Es una estimación a confirmar con la primera corrida.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Tamaño del Oro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Alrededor de 1 GB en Parquet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2,6 millones de egresos con unas 100 columnas, comprimidas. Estimación.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Python, Polars, Parquet, PostgreSQL, pytest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mismas de las Fases 1 y 2.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Pruebas nuevas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Cascada, esquema, sellado, privacidad, sin fuga, determinismo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suman a las 1.759 existentes.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12. Traspaso a la Fase 4 (Modelado)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 Fase 4 recibe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 Fase 4 tiene prohibido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Matriz de mortalidad (cohorte D) y de estadía (cohorte E), con SPLIT.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Leer el desenlace de 2024.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conjunto de variables del modelo (con las tres de ingreso marcadas como condicionales).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Usar severidad, peso o riesgo de mortalidad del GRD, procedimientos o fecha de alta como predictores.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Diccionario de variables con su estado.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Combinar los 31 indicadores de Elixhauser con sus agregados.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Tabla de línea base con los agregados de comorbilidad.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Usar el año o el código del hospital como predictor.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Tope de estadía de 53 días y la tabla de las 129 columnas con su destino.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Imputar o ajustar vocabularios con datos de 2023 o 2024.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Bloque separado de traslados recuperados por enlace (2021–2024).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Rebalancear o ponderar las clases (rompe el O/E).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Tablas de prevalencia anual y PSI para vigilar la deriva.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Citar el AUROC del modelo L1 preliminar (0,925) como meta.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Cómo sigue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Con la Fase 3 cerrada, la Fase 4 se centra solo en el desarrollo del modelo: compara la regresión logística (línea base) con LightGBM y XGBoost optimizando PR AUC, modela la estadía con pérdidas Poisson o Tweedie y recalibra con 2023. Esa fase tiene 6 semanas en el plan de la Fase 1.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Plan de trabajo Fase 3 (versión 2)  |  Página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99be5ab9eab565a6a589ed98239346d04c7d892.png"/><Relationship Id="rId10" Type="http://schemas.openxmlformats.org/officeDocument/2006/relationships/image" Target="media/023f0bf3fc8394bedb8699f999205a2c5287ce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Fase 3 - Preparación de los datos</dc:title>
  <dc:creator>Felipe Ignacio Baeza Muñoz</dc:creator>
  <dc:description>Tesis USACH - CRISP-DM Fase 3</dc:description>
  <cp:lastModifiedBy>Un-named</cp:lastModifiedBy>
  <cp:revision>1</cp:revision>
  <dcterms:created xsi:type="dcterms:W3CDTF">2026-10-18T04:13:09.639Z</dcterms:created>
  <dcterms:modified xsi:type="dcterms:W3CDTF">2026-10-18T04:13:09.642Z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