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SANTIAGO DE CHILE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DE INGENIERÍA INFORMÁTICA</w:t>
      </w:r>
    </w:p>
    <w:p>
      <w:pPr>
        <w:spacing w:after="40" w:before="19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CIERRE — FASE 5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EVALUACIÓN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Evaluación de los modelos congelados en 2024</w:t>
      </w:r>
    </w:p>
    <w:p>
      <w:pPr>
        <w:spacing w:after="60" w:before="17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Tesis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evaluación del desempeño hospitalario</w:t>
      </w:r>
    </w:p>
    <w:p>
      <w:pPr>
        <w:spacing w:after="17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Ignacio Baeza Muñoz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 guía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Villalobos Cid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Octubre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Resumen: ¿funcionan los modelos en 2024?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Fase 5 puso a prueba,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una sola vez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los modelos congelados de la Fase 4 en 2024, un año que nunca habían visto.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Respuesta corta: sí funcionan.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Los 7 criterios de aceptación de la Fase 1 se cumplen: 5 con holgura y 2 «con incertidumbre» (cumplen en su valor central, pero su intervalo de confianza roza el borde del umbral). Ningún criterio falló, así que no se activa ningún plan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 de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criterios de aceptación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cumplidos (5 + 2 con incertidumbre)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de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puertas de cierre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aprobadas (G1 a G8)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598.522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egresos de mortalidad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y 545.784 de estadía en 2024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69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hospitales con volumen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suficiente para el O/E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Lo más importante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Mortalidad: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el modelo supera a la regresión logística (PR AUC +0,033), tiene un Brier Skill Score de 0,227 y una pendiente de calibración de 1,02. Predice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2 % más muertes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las observadas (O/E 0,979).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Estadía: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el error es menor que el de las regresiones lineal y de Poisson (−0,19 y −0,25 días). Predice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4 % más días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los observados (O/E 0,957).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Hospitales: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11 de 69 quedan fuera del límite del 95 % en mortalidad y 11 en estadía. Es más de lo esperado por azar, y se explica porque los hospitales difieren más de lo que capturan los predictores. Es una señal para mirar con atención,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no un ranking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Recomendación: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avanzar a la Fase 6 (Despliegue), con las advertencias de la sección 9.</w:t>
      </w: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Cómo se hizo (en una línea)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El protocolo se escribió y se firmó con huella SHA-256 antes de mirar 2024; los modelos no se tocaron; 2024 se abrió una vez; los intervalos se calcularon con 1.000 remuestreos de hospitales completos; y no se ajustó nada después de ver los resultados.</w:t>
      </w:r>
    </w:p>
    <w:p>
      <w:pPr>
        <w:pStyle w:val="Heading1"/>
        <w:keepNext/>
      </w:pPr>
      <w:r>
        <w:t xml:space="preserve">2. Qué se evaluó y con qué datos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modelos de la Fase 4 se aplicaron a los egresos de 2024 sin reentrenar ni recalibrar. Las cohortes se armaron con las mismas reglas de la Fase 3, de modo que 2024 se parece en su definición a los años de entrenamiento.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5242"/>
        <w:gridCol w:w="1622"/>
      </w:tblGrid>
      <w:tr>
        <w:trPr>
          <w:cantSplit/>
          <w:tblHeader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Cohorte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1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Egresos en 2024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(adultos hospitalizados)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 de partida; sus predictores ya estaban listos antes de abrir el desenlace.</w:t>
            </w:r>
          </w:p>
        </w:tc>
        <w:tc>
          <w:tcPr>
            <w:tcW w:type="dxa" w:w="1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665.450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(mortalidad)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Egresos de C que terminan en alta o fallecimiento (se excluyen traslados a otro hospital y otras salidas).</w:t>
            </w:r>
          </w:p>
        </w:tc>
        <w:tc>
          <w:tcPr>
            <w:tcW w:type="dxa" w:w="1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598.522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(estadía)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Sobrevivientes de D con al menos 1 día de estadía y tope de 53 días.</w:t>
            </w:r>
          </w:p>
        </w:tc>
        <w:tc>
          <w:tcPr>
            <w:tcW w:type="dxa" w:w="1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545.784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72 códigos de hospital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2024 se reducen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69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cumplen el volumen mínimo del protocolo (500 egresos y 10 eventos esperados). Los otros 3 suman 115 egresos y no se muestran, para no publicar cifras de pocos casos.</w:t>
      </w:r>
    </w:p>
    <w:p>
      <w:pPr>
        <w:pStyle w:val="Heading1"/>
        <w:keepNext/>
      </w:pPr>
      <w:r>
        <w:t xml:space="preserve">3. La apertura de 2024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Una sola lectura.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El registro de accesos tiene exactamente una lectura concedida del desenlace de 2024, con el propósito «Fase 5 evaluación: apertura única». El desenlace se guardó en el espacio de trabajo y la evaluación usó esa copia, sin volver a leer el archivo sellado.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Autorización.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El archivo de autorización lo registró el estudiante, informando la aprobación del profesor guía (Manuel Villalobos Cid) y la adopción de las recomendaciones del plan para las decisiones D1 a D9.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constancia escrita del propio profesor está pendiente de adjuntar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(sección 9).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Orden de las comprobaciones.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Antes de leer, el candado verificó la autorización, que el protocolo tuviera la huella pre-registrada, que los modelos estuvieran intactos y que no hubiera lecturas previas.</w:t>
      </w:r>
    </w:p>
    <w:p>
      <w:pPr>
        <w:spacing w:after="60"/>
      </w:pPr>
    </w:p>
    <w:p>
      <w:pPr>
        <w:pStyle w:val="Heading1"/>
        <w:keepNext/>
      </w:pPr>
      <w:r>
        <w:t xml:space="preserve">4. Resultados: los siete criterios de aceptación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Cada criterio viene de la Fase 1. El intervalo de confianza del 95 % se obtuvo remuestreando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hospitales completos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1.000 veces, para que refleje que los pacientes de un mismo hospital se parecen entre sí. La regla del veredicto está escrita en el protocolo: «cumple» si el valor y todo su intervalo quedan del lado favorable del umbral; «cumple con incertidumbre» si el valor cumple pero el intervalo cruza el umbral.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4"/>
        <w:gridCol w:w="2746"/>
        <w:gridCol w:w="1373"/>
        <w:gridCol w:w="1747"/>
      </w:tblGrid>
      <w:tr>
        <w:trPr>
          <w:cantSplit/>
          <w:tblHeader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(intervalo 95 %)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PR AUC del modelo menos el de la regresión logística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+0,033 (0,028 a 0,038)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mayor que 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cumple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Brier Skill Score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0,227 (0,214 a 0,242)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mayor que 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cumple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pendiente de calibración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1,018 (0,992 a 1,047)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0,8 a 1,2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cumple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O/E global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0,979 (0,937 a 1,021)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 a 1,05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incertidumbre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RMSE menos el de la regresión lineal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−0,192 días (−0,214 a −0,171)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que 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cumple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RMSE menos el de la regresión de Poisson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−0,253 días (−0,279 a −0,229)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que 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cumple</w:t>
            </w:r>
          </w:p>
        </w:tc>
      </w:tr>
      <w:tr>
        <w:trPr>
          <w:cantSplit/>
          <w:tblHeader w:val="false"/>
        </w:trPr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O/E global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0,957 (0,929 a 0,984)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 a 1,05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● incertidumbre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Otras medidas de referencia (no son criterios): AUC de mortalidad 0,932; PR AUC 0,384, unas 8,9 veces la prevalencia; RMSE de estadía 7,01 días y error absoluto medio 4,16 días.</w:t>
      </w:r>
    </w:p>
    <w:p>
      <w:pPr>
        <w:pStyle w:val="Heading2"/>
        <w:keepNext/>
      </w:pPr>
      <w:r>
        <w:t xml:space="preserve">4.1 Cómo leer los dos «con incertidumbre»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O/E es «lo observado dividido por lo esperado». Un valor de 1 significa que el modelo acierta el nivel total. En 2024 el valor es 0,979 en mortalidad y 0,957 en estadía: el modelo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espera un poco más de muertes y de días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los que ocurrieron. Ambos valores están dentro de la banda 0,95 a 1,05, por lo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cumplen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Pero el intervalo de confianza llega por debajo de 0,95 (0,937 y 0,929), y por eso el veredicto lleva la etiqueta «con incertidumbre». En la práctica: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hay un fallo, pero tampoco una holgura amplia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Esto coincide con lo que la Fase 4 había advertido: el nivel de mortalidad y de estadía cambia de un año a otro, y la calibración se hizo con 2023. En 2024 hubo algo menos de muertes y de días que los esperados. Por la regla de «no ajustar con 2024»,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se corrigió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se informa tal cual.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2247900"/>
            <wp:effectExtent t="0" r="0" b="0" l="0"/>
            <wp:docPr id="1" name="f5_calibracion.png" descr="Calibración en 2024. Izquierda: O/E global con su intervalo; la banda verde es el rango aceptable de la Fase 1. Derecha: en los deciles de mayor riesgo de mortalidad, lo observado sigue de cerca a lo predicho; en los deciles de riesgo más bajo casi no hay muertes y no se grafican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1.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Calibración en 2024.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Izquierda: O/E global con su intervalo; la banda verde es el rango aceptable de la Fase 1. Derecha: en los deciles de mayor riesgo de mortalidad, lo observado sigue de cerca a lo predicho; en los deciles de riesgo más bajo casi no hay muertes y no se grafican.</w:t>
      </w:r>
    </w:p>
    <w:p>
      <w:pPr>
        <w:pStyle w:val="Heading1"/>
        <w:keepNext/>
      </w:pPr>
      <w:r>
        <w:t xml:space="preserve">5. Resultados por hospital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Cada hospital tiene su O/E: sus muertes (o días) observados divididos por los esperados según el modelo. Un O/E de 1,2 no significa «20 % peor»: con pocos pacientes el azar mueve mucho el cociente. Por eso se usa un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gráfico de embudo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las curvas marcan hasta dónde llega una diferencia que el azar y la sobredispersión habitual pueden explicar. Se muestran solo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códigos de hospital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ordenados por código y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sin ranking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2184"/>
        <w:gridCol w:w="2184"/>
      </w:tblGrid>
      <w:tr>
        <w:trPr>
          <w:cantSplit/>
          <w:tblHeader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Mortalidad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Estadía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Hospitales analizados (volumen suficiente)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Dentro de lo esperado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Alerta (fuera del 95 %): arriba / abajo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/ 5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/ 9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Señal fuerte (fuera del 99,8 %): arriba / abajo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/ 2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/ 2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Proporción fuera del límite del 95 %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15,9 %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15,9 %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Varianza extra entre hospitales (tau²)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0,0159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0,0110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581650" cy="2981325"/>
            <wp:effectExtent t="0" r="0" b="0" l="0"/>
            <wp:docPr id="1" name="embudo_mortalidad.png" descr="O/E de mortalidad por hospital, 2024. Cada punto es un hospital. Las curvas naranjas son los límites con corrección de sobredispersión (95 % y 99,8 %); las grises, solo con azar de muestreo. Rojo: fuera del límite del 95 %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2.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O/E de mortalidad por hospital, 2024.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Cada punto es un hospital. Las curvas naranjas son los límites con corrección de sobredispersión (95 % y 99,8 %); las grises, solo con azar de muestreo. Rojo: fuera del límite del 95 %.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81650" cy="2981325"/>
            <wp:effectExtent t="0" r="0" b="0" l="0"/>
            <wp:docPr id="1" name="embudo_estadia.png" descr="O/E de estadía por hospital, 2024. Misma lectura. Todos los hospitales fuera de los límites están por debajo de 1: estadías más cortas que las esperadas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3.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O/E de estadía por hospital, 2024.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Misma lectura. Todos los hospitales fuera de los límites están por debajo de 1: estadías más cortas que las esperadas.</w:t>
      </w:r>
    </w:p>
    <w:p>
      <w:pPr>
        <w:pStyle w:val="Heading2"/>
        <w:keepNext/>
      </w:pPr>
      <w:r>
        <w:t xml:space="preserve">5.1 Qué significa que 16 % quede fuera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los hospitales solo difirieran por azar, cerca del 5 % quedaría fuera del límite del 95 %. Aquí es el 15,9 %, incluso con la corrección de sobredispersión. La lectura es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los hospitales sí se distinguen entre sí más de lo que explican los predictores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pueden influir su complejidad, su forma de registrar los diagnósticos, la derivación de casos y, eventualmente, la calidad de la atención.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El indicador no permite separar esas causas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sirve para decidir dónde conviene mirar con más detalle. Pasaba lo mismo en el ensayo de 2023 (16,9 %), así que no es una sorpresa de 2024.</w:t>
      </w:r>
    </w:p>
    <w:p>
      <w:pPr>
        <w:pStyle w:val="Heading1"/>
        <w:keepNext/>
      </w:pPr>
      <w:r>
        <w:t xml:space="preserve">6. Lo que acompaña al O/E: codificación y traslados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Fase 1 pidió no leer el O/E solo. Estas tres lecturas ayudan a interpretarlo: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Exhaustividad de la codificación.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Compara los diagnósticos secundarios registrados con los que el modelo congelado esperaba. En 2024 el índice global sube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1,038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respecto de 2023: se registran 3,8 % más diagnósticos de los esperados, es decir, la codificación siguió creciendo. Por hospital el índice va de 0,65 a 1,50; 12 hospitales superan 1,2 y 8 quedan bajo 0,8. En los 69 hospitales, el índice casi no se relaciona con el O/E de mortalidad (correlación de rangos −0,00) ni con el de estadía (−0,10). Es decir,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hay señal de que el O/E esté arrastrado por diferencias de codificación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Traslados a otro hospital.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La tasa de traslado saliente (sobre todos los egresos de la cohorte C) tiene una mediana de 3,9 % y llega a 14,3 %. Con el O/E de mortalidad no hay relación (−0,05). Con el de estadía sí hay una relación moderada (−0,28): los hospitales que más derivan tienden a tener estadías más cortas que las esperadas, lo que 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consistente con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un alta anticipada, aunque no lo prueba.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Traslados entrantes (decisión D9).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evaluó con las mismas cohortes del entrenamiento, que los incluyen, y se muestra la proporción por hospital: mediana 9,5 % y máximo 62,4 %; 10 hospitales superan 20 %. Los hospitales de derivación reciben pacientes más graves y ya trasladados; esto es una fuente de diferencias que conviene tener presente al leer su O/E, y se debe dejar escrito en el indicador.</w:t>
      </w:r>
    </w:p>
    <w:p>
      <w:pPr>
        <w:spacing w:after="60"/>
      </w:pPr>
    </w:p>
    <w:p>
      <w:pPr>
        <w:pStyle w:val="Heading1"/>
        <w:keepNext/>
      </w:pPr>
      <w:r>
        <w:t xml:space="preserve">7. Desempeño por subgrupos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calculó el O/E dentro de grupos de pacientes, para ver si el modelo falla en alguno. En los grupos con pocos casos se oculta el número de eventos.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Mortalidad: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 edad el O/E va de 0,93 a 1,01; por sexo, 0,96 en hombres y 1,00 en mujeres; por tamaño de hospital, de 0,96 a 1,01. Los grupos clínicos grandes están cerca de 1. Los más alejados son grupos pequeños y de baja mortalidad (XXI: 0,64; XXII: 0,58; XVIII: 0,80), donde el modelo espera más muertes que las ocurridas.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Estadía: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el modelo sobreestima más la estadía en los mayores: el O/E baja de 1,01 en 18 a 29 años a 0,90 en 90 años o más. Es un patrón sistemático que conviene reportar y vigilar.</w:t>
      </w:r>
    </w:p>
    <w:p>
      <w:pPr>
        <w:spacing w:after="60"/>
      </w:pPr>
    </w:p>
    <w:p>
      <w:pPr>
        <w:pStyle w:val="Heading1"/>
        <w:keepNext/>
      </w:pPr>
      <w:r>
        <w:t xml:space="preserve">8. Puertas de cierre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Las puertas miden la calidad del proceso, no si los modelos cumplen los criterios.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6864"/>
        <w:gridCol w:w="1498"/>
      </w:tblGrid>
      <w:tr>
        <w:trPr>
          <w:cantSplit/>
          <w:tblHeader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Puerta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comprueba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modelos de la Fase 4 y las líneas base siguen con la huella de su manifiesto.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Apertura única y autorizada: 1 lectura concedida en el registro y archivo de autorización completo.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protocolo tiene la huella pre-registrada y el registro es anterior a la apertura.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reajuste con 2024: el código no entrena ni recalibra.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7 criterios tienen valor, intervalo y veredicto; hay gráficos de embudo.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G6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Indicador válido: O/E en 69 hospitales de mortalidad y 69 de estadía.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RUT, fechas completas ni celdas de 1 a 9 casos; tablas ordenadas por código, sin ranking.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G8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Reproducibilidad: 15 pruebas, semilla fija, 1.000 réplicas y huella del desenlace abierto.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9. Limitaciones, desviaciones y pendientes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Desviaciones y hechos que se declaran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1. Autorización.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La aprobación del profesor guía fue informada por el estudiante;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falta adjuntar la constancia escrita del profesor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a la carpeta de documentos. Si el profesor no la confirmara, la evaluación deberá declararse como hecha sin su autorización formal.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2. Incidente de preparación.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Antes de la apertura, el esquema del archivo sellado se consultó con una lectura directa fuera del cortafuegos (solo nombres de columnas). Está declarado en el protocolo y en INCIDENTES.md.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3. Corrección posterior a la apertura.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La tabla de traslados salientes se había calculado sobre la cohorte D, que excluye a los trasladados por construcción, y salía en cero. Se recalculó sobre la cohorte C completa. No cambia ningún criterio, modelo ni gráfico.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4. Sensibilidad 2020–2021 (D4).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No se hizo; queda como limitación. La Fase 1 la había dado por obligatoria, pero se decidió dejarla fuera de esta fase.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5. Cohortes con traslados entrantes (D9).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Se mantienen incluidos, como en el entrenamiento; la decisión 16 de la Fase 1 pedía excluirlos.</w:t>
      </w: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Lo que el indicador no es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No mide la calidad asistencial por sí solo, no prueba causalidad y no es un ranking. Mide cuánto se aparta cada hospital de lo esperado dado el perfil de sus pacientes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según los datos disponibles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 Con sobredispersión del 16 %, una diferencia es un motivo para revisar, no una conclusión.</w:t>
      </w:r>
    </w:p>
    <w:p>
      <w:pPr>
        <w:pStyle w:val="Heading1"/>
        <w:keepNext/>
      </w:pPr>
      <w:r>
        <w:t xml:space="preserve">10. Conclusión y paso siguiente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modelos de la Fase 4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cumplen los siete criterios de aceptación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 2024. La decisión D8 del plan se aplica así: como no falló la discriminación ni el error,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se usa el plan 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y como los dos O/E globales cumplen en su valor central pero con intervalo que roza 0,95, el despliegue debe llevar 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advertencia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que el nivel global de los modelos puede quedar levemente por encima de lo observado.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Fase 6 (Despliegue):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definir cómo se entrega el indicador (tablero o informe por hospital), con códigos, sin ranking y con la lectura del embudo.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Antes de entregarlo: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adjuntar la constancia del profesor guía y decidir si se hace la sensibilidad 2020–2021.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Vigilancia: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repetir la verificación de calibración cada año, porque el nivel cambia; y vigilar la sobreestimación de la estadía en los mayores.</w:t>
      </w:r>
    </w:p>
    <w:p>
      <w:pPr>
        <w:spacing w:after="60"/>
      </w:pP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Informe de cierre Fase 5  |  Página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1478ae8d37bac6a55465db908fc8fb23d2a6ea6.png"/><Relationship Id="rId10" Type="http://schemas.openxmlformats.org/officeDocument/2006/relationships/image" Target="media/727f2dc438da2919050669ecbe8379df6ed9fba2.png"/><Relationship Id="rId11" Type="http://schemas.openxmlformats.org/officeDocument/2006/relationships/image" Target="media/55c4d303c0df2c54d607a4cf4360aa5568d512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Fase 5 - Evaluación</dc:title>
  <dc:creator>Felipe Ignacio Baeza Muñoz</dc:creator>
  <dc:description>Tesis USACH - CRISP-DM Fase 5</dc:description>
  <cp:lastModifiedBy>Un-named</cp:lastModifiedBy>
  <cp:revision>1</cp:revision>
  <dcterms:created xsi:type="dcterms:W3CDTF">2026-10-19T13:37:52.705Z</dcterms:created>
  <dcterms:modified xsi:type="dcterms:W3CDTF">2026-10-19T13:37:52.706Z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