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UNIVERSIDAD DE SANTIAGO DE CHILE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FACULTAD DE INGENIERÍA</w:t>
      </w:r>
    </w:p>
    <w:p>
      <w:pPr>
        <w:spacing w:after="1200"/>
        <w:jc w:val="center"/>
      </w:pPr>
      <w:r>
        <w:rPr>
          <w:b/>
          <w:bCs/>
          <w:color w:val="000000"/>
          <w:sz w:val="24"/>
          <w:szCs w:val="24"/>
        </w:rPr>
        <w:t xml:space="preserve">DEPARTAMENTO DE INGENIERÍA INFORMÁTICA</w:t>
      </w: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ANEXO DE LA FASE 5 · ENMIENDA 01</w:t>
      </w:r>
    </w:p>
    <w:p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 xml:space="preserve">RESULTADOS</w:t>
      </w:r>
    </w:p>
    <w:p>
      <w:pPr>
        <w:spacing w:after="1000"/>
        <w:jc w:val="center"/>
      </w:pPr>
      <w:r>
        <w:rPr>
          <w:color w:val="404040"/>
          <w:sz w:val="24"/>
          <w:szCs w:val="24"/>
        </w:rPr>
        <w:t xml:space="preserve">15 análisis de robustez del indicador, registrados antes de correr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Proyecto de Tesis</w:t>
      </w:r>
    </w:p>
    <w:p>
      <w:pPr>
        <w:spacing w:after="60"/>
        <w:jc w:val="center"/>
      </w:pPr>
      <w:r>
        <w:rPr>
          <w:color w:val="000000"/>
          <w:sz w:val="24"/>
          <w:szCs w:val="24"/>
        </w:rPr>
        <w:t xml:space="preserve">Sistema de evaluación del desempeño hospitalario</w:t>
      </w:r>
    </w:p>
    <w:p>
      <w:pPr>
        <w:spacing w:after="900"/>
        <w:jc w:val="center"/>
      </w:pPr>
      <w:r>
        <w:rPr>
          <w:color w:val="000000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Felipe Ignacio Baeza Muñoz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Profesor guía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Manuel Villalobos Cid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Carrera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22 de octubre de 2026 · v1.0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Qué es este anexo</w:t>
      </w:r>
    </w:p>
    <w:p>
      <w:pPr>
        <w:spacing w:after="120" w:line="276"/>
      </w:pPr>
      <w:r>
        <w:t xml:space="preserve">La enmienda 01 al protocolo de la Fase 5 fijó, antes de correrlos, 15 análisis que ponen a prueba las decisiones que la auditoría cuestionó: comorbilidades que pueden ser complicaciones, variables condicionales, pandemia, algoritmo, traslados, institutos monográficos, grupos de pares, re-basado y método del embudo. Este anexo informa </w:t>
      </w:r>
      <w:r>
        <w:rPr>
          <w:b/>
          <w:bCs/>
        </w:rPr>
        <w:t xml:space="preserve">todos</w:t>
      </w:r>
      <w:r>
        <w:t xml:space="preserve"> sus resultados, cumplan o no la regla de lectura.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2E5AAC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</w:rPr>
              <w:t xml:space="preserve">Lo que no cambia</w:t>
            </w:r>
          </w:p>
          <w:p>
            <w:pPr>
              <w:spacing w:after="60" w:line="264"/>
            </w:pPr>
            <w:r>
              <w:t xml:space="preserve">Los modelos congelados de la Fase 4, el protocolo v1.0 y las tablas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salidas/evaluacion_2024/</w:t>
            </w:r>
            <w:r>
              <w:t xml:space="preserve"> siguen siendo el </w:t>
            </w:r>
            <w:r>
              <w:rPr>
                <w:b/>
                <w:bCs/>
              </w:rPr>
              <w:t xml:space="preserve">resultado primario</w:t>
            </w:r>
            <w:r>
              <w:t xml:space="preserve"> de la tesis. Ningún análisis de este anexo los reemplaza.</w:t>
            </w:r>
          </w:p>
          <w:p>
            <w:pPr>
              <w:spacing w:after="60" w:line="264"/>
            </w:pPr>
            <w:r>
              <w:t xml:space="preserve">Ningún análisis se modificó, se repitió con otra configuración ni se descartó por no mejorar el modelo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ENMIENDA_01.md</w:t>
            </w:r>
            <w:r>
              <w:t xml:space="preserve">, §7).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Orden de los hechos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9"/>
        <w:gridCol w:w="4680"/>
        <w:gridCol w:w="2621"/>
      </w:tblGrid>
      <w:tr>
        <w:trPr>
          <w:tblHeader/>
        </w:trPr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y hora (UTC)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Hecho</w:t>
            </w:r>
          </w:p>
        </w:tc>
        <w:tc>
          <w:tcPr>
            <w:tcW w:type="dxa" w:w="2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21-10-2026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Registro de la enmienda con la aprobación verbal del profesor guía, sin constancia escrita. El profesor aprobó conociendo los resultados de 2024 y los exploratorios (incidentes I-08 e I-10)</w:t>
            </w:r>
          </w:p>
        </w:tc>
        <w:tc>
          <w:tcPr>
            <w:tcW w:type="dxa" w:w="2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documentos/registro_enmienda_01.json</w:t>
            </w:r>
            <w:r>
              <w:rPr>
                <w:sz w:val="19"/>
                <w:szCs w:val="19"/>
              </w:rPr>
              <w:t xml:space="preserve">; 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89b9b56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22-10-2026 02:24:47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Registro de la huella del código de los 15 análisis, antes de la primera corrida</w:t>
            </w:r>
          </w:p>
        </w:tc>
        <w:tc>
          <w:tcPr>
            <w:tcW w:type="dxa" w:w="2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documentos/registro_corrida_enmienda_01.json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22-10-2026 02:24:53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código y su registro llegan a GitHub: la hora del servidor sirve de prueba de terceros</w:t>
            </w:r>
          </w:p>
        </w:tc>
        <w:tc>
          <w:tcPr>
            <w:tcW w:type="dxa" w:w="2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b718454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22-10-2026 02:25 a 04:10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Única corrida, sobre la reproducción independiente. La guardia comprobó registros y huellas antes de empezar</w:t>
            </w:r>
          </w:p>
        </w:tc>
        <w:tc>
          <w:tcPr>
            <w:tcW w:type="dxa" w:w="2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metadatos.json</w:t>
            </w:r>
            <w:r>
              <w:rPr>
                <w:sz w:val="19"/>
                <w:szCs w:val="19"/>
              </w:rPr>
              <w:t xml:space="preserve">; bitácora interna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41 de 44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combinaciones de análisis, tarea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y diseño cumplen la regla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no cumplen: las tres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en mortalidad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40 de 40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comparaciones idénticas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a la exploración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0,00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diferencia entre la receta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y el modelo congelado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Cómo se leen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Diseño anidado</w:t>
      </w:r>
      <w:r>
        <w:t xml:space="preserve"> (entrenar 2019–2021, calibrar 2022, probar 2023): es el resultado de la enmienda, porque no usa 2024.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Diseño original</w:t>
      </w:r>
      <w:r>
        <w:t xml:space="preserve"> (2019–2022, 2023, 2024): secundario, rotulado «ya abierto».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Cada análisis se compara con la </w:t>
      </w:r>
      <w:r>
        <w:rPr>
          <w:b/>
          <w:bCs/>
        </w:rPr>
        <w:t xml:space="preserve">base del mismo diseño y la misma tarea</w:t>
      </w:r>
      <w:r>
        <w:t xml:space="preserve">. En el diseño original, la receta reentrenada reproduce las predicciones congeladas de 2024 con diferencia cero en las dos tareas (control), así que la base es exactamente el resultado primario.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Regla de lectura:</w:t>
      </w:r>
      <w:r>
        <w:t xml:space="preserve"> la conclusión se mantiene si al menos el 80 % de los hospitales conserva su zona y la correlación de rangos (ρ de Spearman) del O/E por hospital con la base es de al menos 0,90.</w:t>
      </w:r>
    </w:p>
    <w:p>
      <w:pPr>
        <w:spacing w:after="120" w:line="276"/>
      </w:pPr>
      <w:r>
        <w:t xml:space="preserve">Las bases: en mortalidad, O/E global 0,905 [0,864; 0,947] en 2023 (anidado) y 0,979 [0,937; 1,021] en 2024; en estadía, 0,946 [0,917; 0,971] y 0,956 [0,929; 0,984]. Fuera del 95 %: 13,8 % y 15,9 % en mortalidad; 12,3 % y 15,9 % en estadía.</w:t>
      </w:r>
    </w:p>
    <w:p>
      <w:pPr>
        <w:pStyle w:val="Heading1"/>
      </w:pPr>
      <w:r>
        <w:t xml:space="preserve">2. Resultado en una frase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9F5E7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El indicador resiste 41 de las 44 combinaciones de análisis, tarea y diseño.</w:t>
            </w:r>
            <w:r>
              <w:t xml:space="preserve"> Las 3 que no cumplen son de mortalidad y tienen que ver con </w:t>
            </w:r>
            <w:r>
              <w:rPr>
                <w:b/>
                <w:bCs/>
              </w:rPr>
              <w:t xml:space="preserve">qué se ajusta</w:t>
            </w:r>
            <w:r>
              <w:t xml:space="preserve">, no con el algoritmo ni con el embudo:</w:t>
            </w:r>
          </w:p>
          <w:p>
            <w:pPr>
              <w:spacing w:after="60" w:line="264"/>
              <w:ind w:left="240" w:hanging="200"/>
            </w:pPr>
            <w:r>
              <w:t xml:space="preserve">•  </w:t>
            </w:r>
            <w:r>
              <w:t xml:space="preserve">sin las 4 variables condicionales (2.3), en los dos diseños (ρ 0,891 en 2023 y 0,802 en 2024);</w:t>
            </w:r>
          </w:p>
          <w:p>
            <w:pPr>
              <w:spacing w:after="60" w:line="264"/>
              <w:ind w:left="240" w:hanging="200"/>
            </w:pPr>
            <w:r>
              <w:t xml:space="preserve">•  </w:t>
            </w:r>
            <w:r>
              <w:t xml:space="preserve">sin ninguna comorbilidad (2.4), solo en 2024 (88,4 % en la misma zona; ρ 0,879). En 2023 cumple por poco (ρ 0,909).</w:t>
            </w:r>
          </w:p>
          <w:p>
            <w:pPr>
              <w:spacing w:after="60" w:line="264"/>
            </w:pPr>
            <w:r>
              <w:t xml:space="preserve">El O/E de estadía cumple en todos los análisis. Su debilidad es otra: depende del tamaño del hospital (sección 5).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Variantes del modelo (2.1 a 2.5)</w:t>
      </w:r>
    </w:p>
    <w:p>
      <w:pPr>
        <w:spacing w:after="120" w:line="276"/>
      </w:pPr>
      <w:r>
        <w:t xml:space="preserve">Cada celda indica </w:t>
      </w:r>
      <w:r>
        <w:rPr>
          <w:b/>
          <w:bCs/>
        </w:rPr>
        <w:t xml:space="preserve">% de hospitales en la misma zona · ρ del O/E</w:t>
      </w:r>
      <w:r>
        <w:t xml:space="preserve">, y en la columna siguiente el cambio en el desempeño frente a la base: PR AUC en mortalidad, devianza de Poisson en estadía.</w:t>
      </w:r>
    </w:p>
    <w:p>
      <w:pPr>
        <w:pStyle w:val="Heading3"/>
      </w:pPr>
      <w:r>
        <w:t xml:space="preserve">Mortalidad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3"/>
        <w:gridCol w:w="1276"/>
        <w:gridCol w:w="1191"/>
        <w:gridCol w:w="936"/>
        <w:gridCol w:w="1276"/>
        <w:gridCol w:w="1191"/>
        <w:gridCol w:w="937"/>
      </w:tblGrid>
      <w:tr>
        <w:trPr>
          <w:tblHeader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Análisis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2023 (anidado)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2024 (original)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2.1</w:t>
            </w:r>
            <w:r>
              <w:rPr>
                <w:sz w:val="19"/>
                <w:szCs w:val="19"/>
              </w:rPr>
              <w:t xml:space="preserve"> Sin las 5 comorbilidades sospechosas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95,4 % · 0,960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−0,027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91,3 % · 0,932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−0,028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2.2</w:t>
            </w:r>
            <w:r>
              <w:rPr>
                <w:sz w:val="19"/>
                <w:szCs w:val="19"/>
              </w:rPr>
              <w:t xml:space="preserve"> Sin 2020 y 2021 en el entrenamiento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95,4 % · 0,989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−0,012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98,6 % · 0,997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−0,003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2.3</w:t>
            </w:r>
            <w:r>
              <w:rPr>
                <w:sz w:val="19"/>
                <w:szCs w:val="19"/>
              </w:rPr>
              <w:t xml:space="preserve"> Sin las 4 variables condicionales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92,3 % · 0,891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−0,027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91,3 % · 0,802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−0,025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cumple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2.4</w:t>
            </w:r>
            <w:r>
              <w:rPr>
                <w:sz w:val="19"/>
                <w:szCs w:val="19"/>
              </w:rPr>
              <w:t xml:space="preserve"> Sin ninguna comorbilidad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96,9 % · 0,909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−0,063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88,4 % · 0,879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−0,065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cumple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2.5</w:t>
            </w:r>
            <w:r>
              <w:rPr>
                <w:sz w:val="19"/>
                <w:szCs w:val="19"/>
              </w:rPr>
              <w:t xml:space="preserve"> Línea base en vez de LightGBM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100,0 % · 0,982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−0,032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94,2 % · 0,982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−0,033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Estadía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3"/>
        <w:gridCol w:w="1276"/>
        <w:gridCol w:w="1191"/>
        <w:gridCol w:w="936"/>
        <w:gridCol w:w="1276"/>
        <w:gridCol w:w="1191"/>
        <w:gridCol w:w="937"/>
      </w:tblGrid>
      <w:tr>
        <w:trPr>
          <w:tblHeader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Análisis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2023 (anidado)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2024 (original)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2.1</w:t>
            </w:r>
            <w:r>
              <w:rPr>
                <w:sz w:val="19"/>
                <w:szCs w:val="19"/>
              </w:rPr>
              <w:t xml:space="preserve"> Sin las 5 comorbilidades sospechosas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100,0 % · 0,988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+3,5 %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97,1 % · 0,980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+3,6 %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2.2</w:t>
            </w:r>
            <w:r>
              <w:rPr>
                <w:sz w:val="19"/>
                <w:szCs w:val="19"/>
              </w:rPr>
              <w:t xml:space="preserve"> Sin 2020 y 2021 en el entrenamiento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98,5 % · 0,995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+1,7 %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100,0 % · 0,998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+0,5 %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2.3</w:t>
            </w:r>
            <w:r>
              <w:rPr>
                <w:sz w:val="19"/>
                <w:szCs w:val="19"/>
              </w:rPr>
              <w:t xml:space="preserve"> Sin las 4 variables condicionales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96,9 % · 0,962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+9,0 %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95,7 % · 0,955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+8,6 %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2.4</w:t>
            </w:r>
            <w:r>
              <w:rPr>
                <w:sz w:val="19"/>
                <w:szCs w:val="19"/>
              </w:rPr>
              <w:t xml:space="preserve"> Sin ninguna comorbilidad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96,9 % · 0,966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+8,4 %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98,6 % · 0,942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+8,5 %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2.5</w:t>
            </w:r>
            <w:r>
              <w:rPr>
                <w:sz w:val="19"/>
                <w:szCs w:val="19"/>
              </w:rPr>
              <w:t xml:space="preserve"> Línea base en vez de LightGBM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96,9 % · 0,983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+7,2 %</w:t>
            </w:r>
          </w:p>
        </w:tc>
        <w:tc>
          <w:tcPr>
            <w:tcW w:type="dxa" w:w="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98,6 % · 0,984</w:t>
            </w:r>
          </w:p>
        </w:tc>
        <w:tc>
          <w:tcPr>
            <w:tcW w:type="dxa" w:w="11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devianza +7,5 %</w:t>
            </w:r>
          </w:p>
        </w:tc>
        <w:tc>
          <w:tcPr>
            <w:tcW w:type="dxa" w:w="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2.1, comorbilidades sospechosas:</w:t>
      </w:r>
      <w:r>
        <w:t xml:space="preserve"> quitarlas baja el PR AUC en 0,028, pero el indicador casi no cambia (91–100 % de los hospitales en la misma zona). La dependencia del modelo de esas categorías no se traslada al O/E.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2.2, sin pandemia:</w:t>
      </w:r>
      <w:r>
        <w:t xml:space="preserve"> el indicador no cambia (ρ de 0,989 a 0,998). En el diseño anidado solo queda 2019 para entrenar y el O/E global baja a 0,830: la deriva crece, pero el orden de los hospitales se mantiene.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2.3, sin variables condicionales:</w:t>
      </w:r>
      <w:r>
        <w:t xml:space="preserve"> es el análisis que más mueve el O/E de mortalidad. El tipo de ingreso, la procedencia y el nivel de cuidado al ingreso explican parte de las diferencias entre hospitales. Pueden ser riesgo del paciente o capacidad del hospital, y con estos datos no se puede separar (hallazgo H-10).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2.4, sin comorbilidades:</w:t>
      </w:r>
      <w:r>
        <w:t xml:space="preserve"> el «O/E resistente a la codificación» cambia la zona de 8 hospitales en 2024. La codificación de diagnósticos secundarios influye en el O/E de mortalidad, como anticipaba la auditoría.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2.5, logística en vez de LightGBM:</w:t>
      </w:r>
      <w:r>
        <w:t xml:space="preserve"> 94–100 % de los hospitales en la misma zona y ρ 0,98 en las dos tareas. </w:t>
      </w:r>
      <w:r>
        <w:rPr>
          <w:b/>
          <w:bCs/>
        </w:rPr>
        <w:t xml:space="preserve">El indicador no depende del algoritmo</w:t>
      </w:r>
      <w:r>
        <w:t xml:space="preserve"> (pregunta 8 del comité), aunque LightGBM predice mejor: con la línea base, el PR AUC baja 0,032 y la devianza de estadía sube 7 %.</w:t>
      </w:r>
    </w:p>
    <w:p>
      <w:pPr>
        <w:pStyle w:val="Heading1"/>
      </w:pPr>
      <w:r>
        <w:t xml:space="preserve">4. Variantes del indicador (2.6 y 3.1 a 3.4)</w:t>
      </w:r>
    </w:p>
    <w:p>
      <w:pPr>
        <w:spacing w:after="120" w:line="276"/>
      </w:pPr>
      <w:r>
        <w:t xml:space="preserve">No reentrenan: cambian la cohorte evaluada o el embudo. Cada fila muestra el </w:t>
      </w:r>
      <w:r>
        <w:rPr>
          <w:b/>
          <w:bCs/>
        </w:rPr>
        <w:t xml:space="preserve">% de hospitales fuera del 95 %</w:t>
      </w:r>
      <w:r>
        <w:t xml:space="preserve"> (base → análisis) y el </w:t>
      </w:r>
      <w:r>
        <w:rPr>
          <w:b/>
          <w:bCs/>
        </w:rPr>
        <w:t xml:space="preserve">% en la misma zona</w:t>
      </w:r>
      <w:r>
        <w:t xml:space="preserve">. Todas cumplen la regla.</w:t>
      </w:r>
    </w:p>
    <w:p>
      <w:pPr>
        <w:pStyle w:val="Heading3"/>
      </w:pPr>
      <w:r>
        <w:t xml:space="preserve">Mortalidad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8"/>
        <w:gridCol w:w="1426"/>
        <w:gridCol w:w="981"/>
        <w:gridCol w:w="1114"/>
        <w:gridCol w:w="1426"/>
        <w:gridCol w:w="981"/>
        <w:gridCol w:w="1114"/>
      </w:tblGrid>
      <w:tr>
        <w:trPr>
          <w:tblHeader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Análisis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Fuera 95 % (2023)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Misma zona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Fuera 95 % (2024)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Misma zona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2.6</w:t>
            </w:r>
            <w:r>
              <w:rPr>
                <w:sz w:val="19"/>
                <w:szCs w:val="19"/>
              </w:rPr>
              <w:t xml:space="preserve"> Sin traslados entrantes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13,8 % → 13,8 %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93,8 %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15,9 %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94,2 %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3.1a</w:t>
            </w:r>
            <w:r>
              <w:rPr>
                <w:sz w:val="19"/>
                <w:szCs w:val="19"/>
              </w:rPr>
              <w:t xml:space="preserve"> Sin institutos monográficos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13,8 % → 12,9 %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98,4 %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15,2 %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97,0 %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3.1b</w:t>
            </w:r>
            <w:r>
              <w:rPr>
                <w:sz w:val="19"/>
                <w:szCs w:val="19"/>
              </w:rPr>
              <w:t xml:space="preserve"> Grupos de pares por tercil de egresos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13,8 % → 7,7 %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87,7 %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10,1 %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85,5 %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3.3</w:t>
            </w:r>
            <w:r>
              <w:rPr>
                <w:sz w:val="19"/>
                <w:szCs w:val="19"/>
              </w:rPr>
              <w:t xml:space="preserve"> Re-basado anual del esperado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13,8 % → 16,9 %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92,3 %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17,4 %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98,6 %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3.4a</w:t>
            </w:r>
            <w:r>
              <w:rPr>
                <w:sz w:val="19"/>
                <w:szCs w:val="19"/>
              </w:rPr>
              <w:t xml:space="preserve"> Embudo sin winsorizar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13,8 % → 12,3 %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98,5 %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8,7 %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91,3 %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3.4b</w:t>
            </w:r>
            <w:r>
              <w:rPr>
                <w:sz w:val="19"/>
                <w:szCs w:val="19"/>
              </w:rPr>
              <w:t xml:space="preserve"> Truncamiento al 10 % por cola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13,8 % → 16,9 %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96,9 %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21,7 %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91,3 %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Estadía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8"/>
        <w:gridCol w:w="1426"/>
        <w:gridCol w:w="981"/>
        <w:gridCol w:w="1114"/>
        <w:gridCol w:w="1426"/>
        <w:gridCol w:w="981"/>
        <w:gridCol w:w="1114"/>
      </w:tblGrid>
      <w:tr>
        <w:trPr>
          <w:tblHeader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Análisis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Fuera 95 % (2023)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Misma zona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Fuera 95 % (2024)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Misma zona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2.6</w:t>
            </w:r>
            <w:r>
              <w:rPr>
                <w:sz w:val="19"/>
                <w:szCs w:val="19"/>
              </w:rPr>
              <w:t xml:space="preserve"> Sin traslados entrantes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12,3 % → 16,9 %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93,8 %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15,9 %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100,0 %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3.1a</w:t>
            </w:r>
            <w:r>
              <w:rPr>
                <w:sz w:val="19"/>
                <w:szCs w:val="19"/>
              </w:rPr>
              <w:t xml:space="preserve"> Sin institutos monográficos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12,3 % → 11,3 %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100,0 %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15,2 %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100,0 %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3.1b</w:t>
            </w:r>
            <w:r>
              <w:rPr>
                <w:sz w:val="19"/>
                <w:szCs w:val="19"/>
              </w:rPr>
              <w:t xml:space="preserve"> Grupos de pares por tercil de egresos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12,3 % → 1,5 %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89,2 %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5,8 %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82,6 %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3.3</w:t>
            </w:r>
            <w:r>
              <w:rPr>
                <w:sz w:val="19"/>
                <w:szCs w:val="19"/>
              </w:rPr>
              <w:t xml:space="preserve"> Re-basado anual del esperado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12,3 % → 12,3 %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93,8 %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15,9 %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97,1 %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3.4a</w:t>
            </w:r>
            <w:r>
              <w:rPr>
                <w:sz w:val="19"/>
                <w:szCs w:val="19"/>
              </w:rPr>
              <w:t xml:space="preserve"> Embudo sin winsorizar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12,3 % → 9,2 %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95,4 %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14,5 %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97,1 %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3.4b</w:t>
            </w:r>
            <w:r>
              <w:rPr>
                <w:sz w:val="19"/>
                <w:szCs w:val="19"/>
              </w:rPr>
              <w:t xml:space="preserve"> Truncamiento al 10 % por cola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12,3 % → 15,4 %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93,8 %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→ 17,4 %</w:t>
            </w:r>
          </w:p>
        </w:tc>
        <w:tc>
          <w:tcPr>
            <w:tcW w:type="dxa" w:w="9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94,2 %</w:t>
            </w:r>
          </w:p>
        </w:tc>
        <w:tc>
          <w:tcPr>
            <w:tcW w:type="dxa" w:w="1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F7F7F"/>
              </w:rPr>
              <w:t xml:space="preserve">Una advertencia sobre la regla en estos análisis</w:t>
            </w:r>
          </w:p>
          <w:p>
            <w:pPr>
              <w:spacing w:after="60" w:line="264"/>
            </w:pPr>
            <w:r>
              <w:t xml:space="preserve">En 3.1a, 3.1b, 3.3 y 3.4 el O/E de cada hospital no cambia, o cambia en la misma proporción para todos (re-basado). Por construcción, ρ = 1, y la regla depende solo del porcentaje que conserva su zona.</w:t>
            </w:r>
          </w:p>
          <w:p>
            <w:pPr>
              <w:spacing w:after="60" w:line="264"/>
            </w:pPr>
            <w:r>
              <w:t xml:space="preserve">En 2.6, el O/E sí cambia (ρ de 0,97 a 0,99).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3.1b, grupos de pares por volumen</w:t>
      </w:r>
      <w:r>
        <w:t xml:space="preserve">, es el cambio más grande: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en estadía, los hospitales fuera del 95 % bajan de 12,3 % a 1,5 % en 2023 y de 15,9 % a 5,8 % en 2024;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en mortalidad, de 13,8 a 7,7 % y de 15,9 a 10,1 %;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todos los hospitales que pasan de fuera a dentro son del tercil de menos egresos, y casi todos eran alertas bajas: comparados con los de su tamaño, quedan dentro de lo esperado.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3.4a, sin winsorizar</w:t>
      </w:r>
      <w:r>
        <w:t xml:space="preserve">, y </w:t>
      </w:r>
      <w:r>
        <w:rPr>
          <w:b/>
          <w:bCs/>
        </w:rPr>
        <w:t xml:space="preserve">3.4b, truncamiento al estilo SHMI</w:t>
      </w:r>
      <w:r>
        <w:t xml:space="preserve">, van en direcciones opuestas: sin winsorizar quedan menos hospitales fuera (8,7 % en mortalidad 2024) y truncando, más (21,7 %). El porcentaje fuera de los límites depende del estimador de τ², no solo de los hospitales.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3.1a, sin institutos:</w:t>
      </w:r>
      <w:r>
        <w:t xml:space="preserve"> el resto del embudo casi no cambia (97–100 % en la misma zona). En 2024 los 3 institutos quedan fuera en mortalidad: 2 en señal baja y 1 en alerta alta.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3.3, re-basado:</w:t>
      </w:r>
      <w:r>
        <w:t xml:space="preserve"> en mortalidad, el porcentaje fuera sube un poco (de 15,9 a 17,4 % en 2024), así que la deriva global no explica las alertas.</w:t>
      </w:r>
    </w:p>
    <w:p>
      <w:pPr>
        <w:pStyle w:val="Heading1"/>
      </w:pPr>
      <w:r>
        <w:t xml:space="preserve">5. Lo que se informa sin regla (3.2, 3.4c, 3.5 y 3.6)</w:t>
      </w:r>
    </w:p>
    <w:p>
      <w:pPr>
        <w:pStyle w:val="Heading2"/>
      </w:pPr>
      <w:r>
        <w:t xml:space="preserve">3.6 Calibración por estrato</w:t>
      </w:r>
    </w:p>
    <w:p>
      <w:pPr>
        <w:spacing w:after="120" w:line="276"/>
      </w:pPr>
      <w:r>
        <w:t xml:space="preserve">O/E por estrato de hospitales elegibles, con intervalo bootstrap por hospital. En mortalidad, el O/E de un estrato que contiene un hospital con menos de 10 muertes no se publica: restando los demás se podría reconstruir ese conteo.</w:t>
      </w:r>
    </w:p>
    <w:p>
      <w:pPr>
        <w:pStyle w:val="Heading3"/>
      </w:pPr>
      <w:r>
        <w:t xml:space="preserve">Mortalidad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5"/>
        <w:gridCol w:w="1761"/>
        <w:gridCol w:w="880"/>
        <w:gridCol w:w="2131"/>
        <w:gridCol w:w="880"/>
        <w:gridCol w:w="2133"/>
      </w:tblGrid>
      <w:tr>
        <w:trPr>
          <w:tblHeader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Estrato</w:t>
            </w: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Hosp.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O/E 2023 (anidado)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Hosp.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O/E 2024 (original)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tercil de egresos</w:t>
            </w: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T1 menor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publica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publica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0,919 [0,848; 0,994]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0,974 [0,900; 1,055]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T3 mayor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0,923 [0,854; 0,987]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0,999 [0,936; 1,059]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tipo de hospital</w:t>
            </w: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general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0,907 [0,862; 0,949]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66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0,980 [0,938; 1,024]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instituto monográfico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publica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publica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años en GRD</w:t>
            </w: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 o más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0,908 [0,866; 0,947]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0,981 [0,939; 1,024]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menos de 2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publica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publica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Estadía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5"/>
        <w:gridCol w:w="1761"/>
        <w:gridCol w:w="880"/>
        <w:gridCol w:w="2131"/>
        <w:gridCol w:w="880"/>
        <w:gridCol w:w="2133"/>
      </w:tblGrid>
      <w:tr>
        <w:trPr>
          <w:tblHeader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Estrato</w:t>
            </w: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Hosp.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O/E 2023 (anidado)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Hosp.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O/E 2024 (original)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tercil de egresos</w:t>
            </w: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T1 menor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0,864 [0,789; 0,933]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0,850 [0,793; 0,906]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0,961 [0,925; 0,996]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0,979 [0,944; 1,013]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T3 mayor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0,957 [0,917; 0,997]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0,968 [0,927; 1,010]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tipo de hospital</w:t>
            </w: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general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0,947 [0,921; 0,974]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66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0,958 [0,931; 0,987]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instituto monográfico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0,848 [0,763; 0,905]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0,877 [0,711; 1,027]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años en GRD</w:t>
            </w: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 o más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0,948 [0,923; 0,974]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0,961 [0,934; 0,990]</w:t>
            </w:r>
          </w:p>
        </w:tc>
      </w:tr>
      <w:tr>
        <w:trPr>
          <w:cantSplit/>
        </w:trPr>
        <w:tc>
          <w:tcPr>
            <w:tcW w:type="dxa" w:w="15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7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menos de 2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0,794 [0,763; 0,846]</w:t>
            </w:r>
          </w:p>
        </w:tc>
        <w:tc>
          <w:tcPr>
            <w:tcW w:type="dxa" w:w="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0,829 [0,713; 0,927]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El hallazgo principal de esta sección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El modelo de estadía sobreestima la estadía de los hospitales pequeños.</w:t>
            </w:r>
            <w:r>
              <w:t xml:space="preserve"> El tercil de menos egresos tiene O/E 0,864 en 2023 y 0,850 en 2024. Los otros dos terciles están entre 0,957 y 0,979. Los hospitales con menos de 2 años en GRD tienen O/E de 0,794 y 0,829.</w:t>
            </w:r>
          </w:p>
          <w:p>
            <w:pPr>
              <w:spacing w:after="60" w:line="264"/>
            </w:pPr>
            <w:r>
              <w:t xml:space="preserve">Por eso las alertas bajas de estadía se concentran en hospitales pequeños y nuevos, y desaparecen con grupos de pares (3.1b). Es la confirmación de los hallazgos H-06 y H-01 con el método registrado.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3.4c Validación del embudo con la heterogeneidad real</w:t>
      </w:r>
    </w:p>
    <w:p>
      <w:pPr>
        <w:spacing w:after="120" w:line="276"/>
      </w:pPr>
      <w:r>
        <w:t xml:space="preserve">Simulación (400 réplicas, semilla 7): todos los hospitales son «normales», con la variación real entre hospitales (τ sin winsorizar), y se cuenta qué fracción queda fuera del 95 %.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123"/>
        <w:gridCol w:w="2059"/>
        <w:gridCol w:w="2246"/>
        <w:gridCol w:w="2060"/>
      </w:tblGrid>
      <w:tr>
        <w:trPr>
          <w:tblHeader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 y año</w:t>
            </w:r>
          </w:p>
        </w:tc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τ real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 fuera, protocolo</w:t>
            </w:r>
          </w:p>
        </w:tc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 fuera, sin winsorizar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Observado fuera, protocolo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 2023</w:t>
            </w:r>
          </w:p>
        </w:tc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0,189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11,9 %</w:t>
            </w:r>
          </w:p>
        </w:tc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4,8 %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13,8 %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 2024</w:t>
            </w:r>
          </w:p>
        </w:tc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0,167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11,6 %</w:t>
            </w:r>
          </w:p>
        </w:tc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4,7 %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 2023</w:t>
            </w:r>
          </w:p>
        </w:tc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0,120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12,8 %</w:t>
            </w:r>
          </w:p>
        </w:tc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5,0 %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12,3 %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 2024</w:t>
            </w:r>
          </w:p>
        </w:tc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0,118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13,2 %</w:t>
            </w:r>
          </w:p>
        </w:tc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4,9 %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Con la variación real, el embudo del protocolo deja fuera entre el 11,6 y el 13,2 % aunque ningún hospital sea anómalo; sin winsorizar, cerca del 5 %. </w:t>
      </w:r>
      <w:r>
        <w:rPr>
          <w:b/>
          <w:bCs/>
        </w:rPr>
        <w:t xml:space="preserve">La mayor parte del 15,9 % que la Fase 5 atribuyó a «diferencias no capturadas» es una propiedad del estimador</w:t>
      </w:r>
      <w:r>
        <w:t xml:space="preserve"> (hallazgo H-05). Lo observado va de 0,5 puntos bajo lo esperado (estadía 2023) a 4,3 puntos sobre lo esperado (mortalidad 2024).</w:t>
      </w:r>
    </w:p>
    <w:p>
      <w:pPr>
        <w:pStyle w:val="Heading2"/>
      </w:pPr>
      <w:r>
        <w:t xml:space="preserve">3.5 Estabilidad entre 2023 y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8"/>
        <w:gridCol w:w="1831"/>
        <w:gridCol w:w="1831"/>
        <w:gridCol w:w="1424"/>
        <w:gridCol w:w="2646"/>
      </w:tblGrid>
      <w:tr>
        <w:trPr>
          <w:tblHeader/>
        </w:trPr>
        <w:tc>
          <w:tcPr>
            <w:tcW w:type="dxa" w:w="16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Hospitales comparados</w:t>
            </w:r>
          </w:p>
        </w:tc>
        <w:tc>
          <w:tcPr>
            <w:tcW w:type="dxa" w:w="18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ρ del O/E 2023–2024</w:t>
            </w:r>
          </w:p>
        </w:tc>
        <w:tc>
          <w:tcPr>
            <w:tcW w:type="dxa" w:w="1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Fuera en 2024</w:t>
            </w:r>
          </w:p>
        </w:tc>
        <w:tc>
          <w:tcPr>
            <w:tcW w:type="dxa" w:w="26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ellos, fuera en 2023 en la misma dirección</w:t>
            </w:r>
          </w:p>
        </w:tc>
      </w:tr>
      <w:tr>
        <w:trPr>
          <w:cantSplit/>
        </w:trPr>
        <w:tc>
          <w:tcPr>
            <w:tcW w:type="dxa" w:w="16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8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65</w:t>
            </w:r>
          </w:p>
        </w:tc>
        <w:tc>
          <w:tcPr>
            <w:tcW w:type="dxa" w:w="18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0,821</w:t>
            </w:r>
          </w:p>
        </w:tc>
        <w:tc>
          <w:tcPr>
            <w:tcW w:type="dxa" w:w="1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6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6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8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65</w:t>
            </w:r>
          </w:p>
        </w:tc>
        <w:tc>
          <w:tcPr>
            <w:tcW w:type="dxa" w:w="18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0,882</w:t>
            </w:r>
          </w:p>
        </w:tc>
        <w:tc>
          <w:tcPr>
            <w:tcW w:type="dxa" w:w="1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6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Con los modelos congelados aplicados a los dos años, el orden de los hospitales se mantiene bastante (ρ 0,82 y 0,88) y la mayoría de las alertas de 2024 ya estaban en 2023 en la misma dirección. Las diferencias son sistemáticas, lo que no prueba que sean de calidad.</w:t>
      </w:r>
    </w:p>
    <w:p>
      <w:pPr>
        <w:pStyle w:val="Heading2"/>
      </w:pPr>
      <w:r>
        <w:t xml:space="preserve">3.2 Hospitales con menos de 2 años en GRD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 y año</w:t>
            </w:r>
          </w:p>
        </w:tc>
        <w:tc>
          <w:tcPr>
            <w:tcW w:type="dxa" w:w="7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Zonas de los hospitales nuevos (cantidad)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 2023</w:t>
            </w:r>
          </w:p>
        </w:tc>
        <w:tc>
          <w:tcPr>
            <w:tcW w:type="dxa" w:w="7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alerta baja: 1; dentro de lo esperado: 1; señal baja: 1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 2024</w:t>
            </w:r>
          </w:p>
        </w:tc>
        <w:tc>
          <w:tcPr>
            <w:tcW w:type="dxa" w:w="7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dentro de lo esperado: 6; señal baja: 1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 2023</w:t>
            </w:r>
          </w:p>
        </w:tc>
        <w:tc>
          <w:tcPr>
            <w:tcW w:type="dxa" w:w="7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alerta baja: 2; dentro de lo esperado: 1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 2024</w:t>
            </w:r>
          </w:p>
        </w:tc>
        <w:tc>
          <w:tcPr>
            <w:tcW w:type="dxa" w:w="71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alerta baja: 3; dentro de lo esperado: 3; señal baja: 1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En estadía 2024, 4 de los 7 hospitales nuevos quedan fuera, todos por debajo de lo esperado.</w:t>
      </w:r>
    </w:p>
    <w:p>
      <w:pPr>
        <w:pStyle w:val="Heading1"/>
      </w:pPr>
      <w:r>
        <w:t xml:space="preserve">6. Comparación con la exploración de la auditoría</w:t>
      </w:r>
    </w:p>
    <w:p>
      <w:pPr>
        <w:spacing w:after="120" w:line="276"/>
      </w:pPr>
      <w:r>
        <w:t xml:space="preserve">La auditoría había corrido por adelantado la mayoría de estos análisis (incidente I-08). Las 40 comparaciones posibles (% en la misma zona y ρ, por análisis, tarea y diseño) son </w:t>
      </w:r>
      <w:r>
        <w:rPr>
          <w:b/>
          <w:bCs/>
        </w:rPr>
        <w:t xml:space="preserve">idénticas</w:t>
      </w:r>
      <w:r>
        <w:t xml:space="preserve"> a las exploratorias. Era lo esperable: el código registrado sigue los mismos pasos con las mismas semillas, y la enmienda dijo de antemano que informaría cualquier diferencia.</w:t>
      </w:r>
    </w:p>
    <w:p>
      <w:pPr>
        <w:spacing w:after="120" w:line="276"/>
      </w:pPr>
      <w:r>
        <w:t xml:space="preserve">Por eso estos resultados no son ciegos. Lo que la enmienda garantiza es otra cosa: la lista, las métricas y la regla se fijaron antes de correr, y todos los resultados se informan.</w:t>
      </w:r>
    </w:p>
    <w:p>
      <w:pPr>
        <w:pStyle w:val="Heading1"/>
      </w:pPr>
      <w:r>
        <w:t xml:space="preserve">7. Qué cambia en la lectura de la tesis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Se mantiene</w:t>
      </w:r>
      <w:r>
        <w:t xml:space="preserve"> la conclusión de la Fase 5 frente al algoritmo, las comorbilidades sospechosas, la pandemia, los traslados entrantes, los institutos, el re-basado y el método del embudo.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El O/E de mortalidad depende de ajustar o no las variables condicionales</w:t>
      </w:r>
      <w:r>
        <w:t xml:space="preserve"> (y en 2024, de las comorbilidades). La tesis debe decir que el indicador es sensible a esa decisión, y que esas variables pueden reflejar capacidad del hospital además de riesgo del paciente.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El O/E de estadía no es comparable entre hospitales de distinto tamaño.</w:t>
      </w:r>
      <w:r>
        <w:t xml:space="preserve"> Se recomienda presentarlo por grupo de pares o junto al volumen, y marcar a los hospitales con menos de 2 años en GRD.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El 15,9 % fuera de los límites no es por sí solo una señal de mal ajuste:</w:t>
      </w:r>
      <w:r>
        <w:t xml:space="preserve"> con la variación real, el procedimiento deja fuera alrededor del 12 % de hospitales normales.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Los resultados primarios no cambian.</w:t>
      </w:r>
      <w:r>
        <w:t xml:space="preserve"> Si se adopta alguna variante (por ejemplo, grupos de pares), es una versión 2 del indicador que debe validarse en 2025.</w:t>
      </w:r>
    </w:p>
    <w:p>
      <w:pPr>
        <w:pStyle w:val="Heading1"/>
      </w:pPr>
      <w:r>
        <w:t xml:space="preserve">8. Qué se publica y qué no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 publican los resúmenes por análisis y la lista de códigos que cambian de zona (Apéndice A), sin conteos ni O/E por hospital.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Las tablas por hospital (zonas, observados y esperados) quedan en una carpeta interna, fuera del repositorio.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 mortalidad no se publica el O/E de los estratos que contienen un hospital con menos de 10 muertes.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El escáner de privacidad de la Fase 5 revisó </w:t>
      </w:r>
      <w:r>
        <w:rPr>
          <w:rFonts w:ascii="Consolas" w:cs="Consolas" w:eastAsia="Consolas" w:hAnsi="Consolas"/>
          <w:sz w:val="19"/>
          <w:szCs w:val="19"/>
        </w:rPr>
        <w:t xml:space="preserve">salidas/enmienda_01/</w:t>
      </w:r>
      <w:r>
        <w:t xml:space="preserve"> antes de terminar y no encontró problemas.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 zona de un hospital con conteo suprimido bajo varios embudos acota su conteo, pero no lo reconstruye. Pasaba lo mismo en la Fase 5, por diseño.</w:t>
      </w:r>
    </w:p>
    <w:p>
      <w:pPr>
        <w:pStyle w:val="Heading2"/>
      </w:pPr>
      <w:r>
        <w:t xml:space="preserve">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 (en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fase5_evaluacion/salidas/enmienda_01/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resumen_modelo.csv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2.1 a 2.5: métricas, O/E global con intervalo, zonas y regla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resumen_indicador.csv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2.6 y 3.1 a 3.4: τ², % fuera, comparación y regla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calibracion_por_estrato.csv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3.6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validacion_embudo_p5b.csv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3.4c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estabilidad_2023_2024.csv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institutos_y_hospitales_nuevos.csv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3.1a (zona de los institutos) y 3.2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comparacion_con_exploracion.csv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Comparación con la exploración de la auditoría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metadatos.json</w:t>
            </w:r>
          </w:p>
        </w:tc>
        <w:tc>
          <w:tcPr>
            <w:tcW w:type="dxa" w:w="52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Huellas de los registros y de las capas Oro, horas, semillas y versiones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Apéndice A. Hospitales que cambian de zona</w:t>
      </w:r>
    </w:p>
    <w:p>
      <w:pPr>
        <w:spacing w:after="120" w:line="276"/>
      </w:pPr>
      <w:r>
        <w:t xml:space="preserve">Por código de hospital, como los publica la Fase 5. Sin conteos.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1030"/>
        <w:gridCol w:w="655"/>
        <w:gridCol w:w="6552"/>
      </w:tblGrid>
      <w:tr>
        <w:trPr>
          <w:tblHeader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Diseño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113180: alerta alta → señal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125100: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113180: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119101: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111100: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113180: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113180: alerta alta → señal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125100: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103100: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106100: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107102: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112103: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114105: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dentro de lo esperado → alerta alta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107101: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111100: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112103: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113180: señal alta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119102: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103100: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106100: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107102: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señal baja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112103: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114105: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126100: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107102: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110130: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110150: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112103: alerta alta → señal alta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alerta baja → señal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112104: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121117: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101100: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señal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112104: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133150: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101100: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112104: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2.6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121114: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125100: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3.1a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125100: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3.1b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señal baja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112104: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119101: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120101: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121114: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124105: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103100: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106100: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107101: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113180: alerta alta → señal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3.4a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3.4b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125100: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2.6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112103: alerta alta → señal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112104: señal baja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119102: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3.1a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110130: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dentro de lo esperado → alerta alta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3.1b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103100: alerta alta → señal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106100: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107102: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señal baja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112103: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112104: señal baja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120101: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121114: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dentro de lo esperado → alerta alta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3.4a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107102: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112103: alerta alta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112104: señal baja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126100: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Mortalidad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3.4b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103100: alerta alta → señal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110130: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110150: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119102: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120101: alerta baja → señal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2.6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106102: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121117: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3.1b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señal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118105: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señal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133150: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103100: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106102: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3.4a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señal baja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3.4b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118105: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121117: dentro de lo esperado → alerta baja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3.1b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101100: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110150: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116107: señal baja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116110: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117102: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118105: señal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118106: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119102: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alerta baja → dentro de lo esperado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133150: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103100: dentro de lo esperado → alerta alta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133150: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3.4a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118105: señal baja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133150: alerta baja → dentro de lo esperado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</w:t>
            </w:r>
          </w:p>
        </w:tc>
        <w:tc>
          <w:tcPr>
            <w:tcW w:type="dxa" w:w="1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6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3.4b</w:t>
            </w:r>
          </w:p>
        </w:tc>
        <w:tc>
          <w:tcPr>
            <w:tcW w:type="dxa" w:w="65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101100: dentro de lo esperado → alerta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115110: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119102: alerta baja → señal baja</w:t>
            </w:r>
          </w:p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121121: alerta baja → señal baja</w:t>
            </w:r>
          </w:p>
        </w:tc>
      </w:tr>
    </w:tbl>
    <w:p>
      <w:pPr>
        <w:spacing w:after="8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Anexo F5 · Enmienda 01: resultados  ·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F5 · Enmienda 01: resultados</dc:title>
  <dc:creator>Felipe Ignacio Baeza Muñoz</dc:creator>
  <dc:description>Informe v5 del proyecto de tesis (reproducción independiente verificada)</dc:description>
  <cp:lastModifiedBy>Un-named</cp:lastModifiedBy>
  <cp:revision>1</cp:revision>
  <dcterms:created xsi:type="dcterms:W3CDTF">2026-10-22T04:16:03.095Z</dcterms:created>
  <dcterms:modified xsi:type="dcterms:W3CDTF">2026-10-22T04:16:03.096Z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