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6"/>
        </w:rPr>
        <w:t>UNIVERSIDAD DE SANTIAGO DE CHILE</w:t>
      </w:r>
    </w:p>
    <w:p>
      <w:pPr>
        <w:jc w:val="center"/>
      </w:pPr>
      <w:r>
        <w:rPr>
          <w:sz w:val="22"/>
        </w:rPr>
        <w:t>Facultad de Ingeniería — Departamento de Ingeniería Informática</w:t>
      </w:r>
    </w:p>
    <w:p/>
    <w:p>
      <w:pPr>
        <w:jc w:val="center"/>
      </w:pPr>
      <w:r>
        <w:rPr>
          <w:b/>
          <w:color w:val="1B5E20"/>
          <w:sz w:val="32"/>
        </w:rPr>
        <w:t>Documento de Planificación del Desarrollo</w:t>
        <w:br/>
        <w:t>Fase 2: Comprensión de los Datos</w:t>
      </w:r>
    </w:p>
    <w:p/>
    <w:p>
      <w:pPr>
        <w:jc w:val="center"/>
      </w:pPr>
      <w:r>
        <w:rPr>
          <w:i/>
          <w:sz w:val="24"/>
        </w:rPr>
        <w:t>Proyecto de Tesis: Sistema de evaluación del desempeño hospitalario</w:t>
        <w:br/>
        <w:t>ajustado por riesgo mediante aprendizaje automático</w:t>
      </w:r>
    </w:p>
    <w:p/>
    <w:p>
      <w:pPr>
        <w:jc w:val="center"/>
      </w:pPr>
      <w:r>
        <w:rPr>
          <w:sz w:val="22"/>
        </w:rPr>
        <w:t>Estudiante: Felipe Ignacio Baeza Muñoz</w:t>
        <w:br/>
      </w:r>
      <w:r>
        <w:rPr>
          <w:sz w:val="22"/>
        </w:rPr>
        <w:t>Profesor guía: Manuel Villalobos Cid</w:t>
        <w:br/>
      </w:r>
      <w:r>
        <w:rPr>
          <w:sz w:val="22"/>
        </w:rPr>
        <w:t>Carrera: Ingeniería de Ejecución en Computación e Informática</w:t>
        <w:br/>
      </w:r>
      <w:r>
        <w:rPr>
          <w:sz w:val="22"/>
        </w:rPr>
        <w:t>Septiembre 2026</w:t>
        <w:br/>
      </w:r>
    </w:p>
    <w:p>
      <w:r>
        <w:br w:type="page"/>
      </w:r>
    </w:p>
    <w:p>
      <w:pPr>
        <w:pStyle w:val="Heading1"/>
        <w:jc w:val="left"/>
      </w:pPr>
      <w:r>
        <w:rPr>
          <w:color w:val="1B5E20"/>
        </w:rPr>
        <w:t>1. Propósito del documento</w:t>
      </w:r>
    </w:p>
    <w:p>
      <w:r>
        <w:rPr>
          <w:b w:val="0"/>
          <w:i w:val="0"/>
          <w:sz w:val="22"/>
        </w:rPr>
        <w:t>Este documento presenta los hallazgos del análisis de los datos crudos recibidos de FONASA, describe cada problema encontrado y explica cómo será tratado en el código. También identifica qué variables de las 129 disponibles entran al modelo, cuáles se usan para construir otras variables, cuáles son de resultado y cuáles están prohibidas. Al igual que el Documento 1, incluye una sección de propuestas que requieren validación del profesor guía.</w:t>
      </w:r>
    </w:p>
    <w:p>
      <w:pPr>
        <w:pStyle w:val="Heading1"/>
        <w:jc w:val="left"/>
      </w:pPr>
      <w:r>
        <w:rPr>
          <w:color w:val="1B5E20"/>
        </w:rPr>
        <w:t>2. Estructura general de los datos</w:t>
      </w:r>
    </w:p>
    <w:p>
      <w:r>
        <w:rPr>
          <w:b w:val="0"/>
          <w:i w:val="0"/>
          <w:sz w:val="22"/>
        </w:rPr>
        <w:t>Cada archivo anual tiene 129 columnas y aproximadamente 970.000 filas. Las columnas se agrupan en los siguientes bloques temáticos: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B5E20"/>
          </w:tcPr>
          <w:p>
            <w:pPr>
              <w:jc w:val="center"/>
            </w:pPr>
            <w:r/>
            <w:r>
              <w:rPr>
                <w:b/>
                <w:color w:val="FFFFFF"/>
                <w:sz w:val="20"/>
              </w:rPr>
              <w:t>Bloque</w:t>
            </w:r>
          </w:p>
        </w:tc>
        <w:tc>
          <w:tcPr>
            <w:tcW w:type="dxa" w:w="3041"/>
            <w:shd w:val="clear" w:color="auto" w:fill="1B5E20"/>
          </w:tcPr>
          <w:p>
            <w:pPr>
              <w:jc w:val="center"/>
            </w:pPr>
            <w:r/>
            <w:r>
              <w:rPr>
                <w:b/>
                <w:color w:val="FFFFFF"/>
                <w:sz w:val="20"/>
              </w:rPr>
              <w:t>Columnas</w:t>
            </w:r>
          </w:p>
        </w:tc>
        <w:tc>
          <w:tcPr>
            <w:tcW w:type="dxa" w:w="3041"/>
            <w:shd w:val="clear" w:color="auto" w:fill="1B5E20"/>
          </w:tcPr>
          <w:p>
            <w:pPr>
              <w:jc w:val="center"/>
            </w:pPr>
            <w:r/>
            <w:r>
              <w:rPr>
                <w:b/>
                <w:color w:val="FFFFFF"/>
                <w:sz w:val="20"/>
              </w:rPr>
              <w:t>Contenido</w:t>
            </w:r>
          </w:p>
        </w:tc>
      </w:tr>
      <w:tr>
        <w:tc>
          <w:tcPr>
            <w:tcW w:type="dxa" w:w="3041"/>
          </w:tcPr>
          <w:p>
            <w:r/>
            <w:r>
              <w:rPr>
                <w:b/>
                <w:sz w:val="20"/>
              </w:rPr>
              <w:t>Identificación</w:t>
            </w:r>
          </w:p>
        </w:tc>
        <w:tc>
          <w:tcPr>
            <w:tcW w:type="dxa" w:w="3041"/>
          </w:tcPr>
          <w:p>
            <w:r/>
            <w:r>
              <w:rPr>
                <w:sz w:val="20"/>
              </w:rPr>
              <w:t>3 columnas</w:t>
            </w:r>
          </w:p>
        </w:tc>
        <w:tc>
          <w:tcPr>
            <w:tcW w:type="dxa" w:w="3041"/>
          </w:tcPr>
          <w:p>
            <w:r/>
            <w:r>
              <w:rPr>
                <w:sz w:val="20"/>
              </w:rPr>
              <w:t>Código del hospital, identificador encriptado del paciente, servicio de salud</w:t>
            </w:r>
          </w:p>
        </w:tc>
      </w:tr>
      <w:tr>
        <w:tc>
          <w:tcPr>
            <w:tcW w:type="dxa" w:w="3041"/>
            <w:shd w:val="clear" w:color="auto" w:fill="F1F8E9"/>
          </w:tcPr>
          <w:p>
            <w:r/>
            <w:r>
              <w:rPr>
                <w:b/>
                <w:sz w:val="20"/>
              </w:rPr>
              <w:t>Datos demográficos</w:t>
            </w:r>
          </w:p>
        </w:tc>
        <w:tc>
          <w:tcPr>
            <w:tcW w:type="dxa" w:w="3041"/>
            <w:shd w:val="clear" w:color="auto" w:fill="F1F8E9"/>
          </w:tcPr>
          <w:p>
            <w:r/>
            <w:r>
              <w:rPr>
                <w:sz w:val="20"/>
              </w:rPr>
              <w:t>5 columnas</w:t>
            </w:r>
          </w:p>
        </w:tc>
        <w:tc>
          <w:tcPr>
            <w:tcW w:type="dxa" w:w="3041"/>
            <w:shd w:val="clear" w:color="auto" w:fill="F1F8E9"/>
          </w:tcPr>
          <w:p>
            <w:r/>
            <w:r>
              <w:rPr>
                <w:sz w:val="20"/>
              </w:rPr>
              <w:t>Sexo, fecha de nacimiento, etnia, provincia, comuna, nacionalidad, previsión</w:t>
            </w:r>
          </w:p>
        </w:tc>
      </w:tr>
      <w:tr>
        <w:tc>
          <w:tcPr>
            <w:tcW w:type="dxa" w:w="3041"/>
          </w:tcPr>
          <w:p>
            <w:r/>
            <w:r>
              <w:rPr>
                <w:b/>
                <w:sz w:val="20"/>
              </w:rPr>
              <w:t>Contexto del ingreso</w:t>
            </w:r>
          </w:p>
        </w:tc>
        <w:tc>
          <w:tcPr>
            <w:tcW w:type="dxa" w:w="3041"/>
          </w:tcPr>
          <w:p>
            <w:r/>
            <w:r>
              <w:rPr>
                <w:sz w:val="20"/>
              </w:rPr>
              <w:t>6 columnas</w:t>
            </w:r>
          </w:p>
        </w:tc>
        <w:tc>
          <w:tcPr>
            <w:tcW w:type="dxa" w:w="3041"/>
          </w:tcPr>
          <w:p>
            <w:r/>
            <w:r>
              <w:rPr>
                <w:sz w:val="20"/>
              </w:rPr>
              <w:t>Fecha de ingreso, tipo de ingreso, procedencia, especialidad médica</w:t>
            </w:r>
          </w:p>
        </w:tc>
      </w:tr>
      <w:tr>
        <w:tc>
          <w:tcPr>
            <w:tcW w:type="dxa" w:w="3041"/>
            <w:shd w:val="clear" w:color="auto" w:fill="F1F8E9"/>
          </w:tcPr>
          <w:p>
            <w:r/>
            <w:r>
              <w:rPr>
                <w:b/>
                <w:sz w:val="20"/>
              </w:rPr>
              <w:t>Diagnósticos</w:t>
            </w:r>
          </w:p>
        </w:tc>
        <w:tc>
          <w:tcPr>
            <w:tcW w:type="dxa" w:w="3041"/>
            <w:shd w:val="clear" w:color="auto" w:fill="F1F8E9"/>
          </w:tcPr>
          <w:p>
            <w:r/>
            <w:r>
              <w:rPr>
                <w:sz w:val="20"/>
              </w:rPr>
              <w:t>35 columnas</w:t>
            </w:r>
          </w:p>
        </w:tc>
        <w:tc>
          <w:tcPr>
            <w:tcW w:type="dxa" w:w="3041"/>
            <w:shd w:val="clear" w:color="auto" w:fill="F1F8E9"/>
          </w:tcPr>
          <w:p>
            <w:r/>
            <w:r>
              <w:rPr>
                <w:sz w:val="20"/>
              </w:rPr>
              <w:t>Un diagnóstico principal y hasta 34 diagnósticos secundarios</w:t>
            </w:r>
          </w:p>
        </w:tc>
      </w:tr>
      <w:tr>
        <w:tc>
          <w:tcPr>
            <w:tcW w:type="dxa" w:w="3041"/>
          </w:tcPr>
          <w:p>
            <w:r/>
            <w:r>
              <w:rPr>
                <w:b/>
                <w:sz w:val="20"/>
              </w:rPr>
              <w:t>Procedimientos y evolución</w:t>
            </w:r>
          </w:p>
        </w:tc>
        <w:tc>
          <w:tcPr>
            <w:tcW w:type="dxa" w:w="3041"/>
          </w:tcPr>
          <w:p>
            <w:r/>
            <w:r>
              <w:rPr>
                <w:sz w:val="20"/>
              </w:rPr>
              <w:t>39 columnas</w:t>
            </w:r>
          </w:p>
        </w:tc>
        <w:tc>
          <w:tcPr>
            <w:tcW w:type="dxa" w:w="3041"/>
          </w:tcPr>
          <w:p>
            <w:r/>
            <w:r>
              <w:rPr>
                <w:sz w:val="20"/>
              </w:rPr>
              <w:t>Hasta 30 procedimientos quirúrgicos, fechas de intervención, uso de pabellón</w:t>
            </w:r>
          </w:p>
        </w:tc>
      </w:tr>
      <w:tr>
        <w:tc>
          <w:tcPr>
            <w:tcW w:type="dxa" w:w="3041"/>
            <w:shd w:val="clear" w:color="auto" w:fill="F1F8E9"/>
          </w:tcPr>
          <w:p>
            <w:r/>
            <w:r>
              <w:rPr>
                <w:b/>
                <w:sz w:val="20"/>
              </w:rPr>
              <w:t>Egreso y resultado</w:t>
            </w:r>
          </w:p>
        </w:tc>
        <w:tc>
          <w:tcPr>
            <w:tcW w:type="dxa" w:w="3041"/>
            <w:shd w:val="clear" w:color="auto" w:fill="F1F8E9"/>
          </w:tcPr>
          <w:p>
            <w:r/>
            <w:r>
              <w:rPr>
                <w:sz w:val="20"/>
              </w:rPr>
              <w:t>8 columnas</w:t>
            </w:r>
          </w:p>
        </w:tc>
        <w:tc>
          <w:tcPr>
            <w:tcW w:type="dxa" w:w="3041"/>
            <w:shd w:val="clear" w:color="auto" w:fill="F1F8E9"/>
          </w:tcPr>
          <w:p>
            <w:r/>
            <w:r>
              <w:rPr>
                <w:sz w:val="20"/>
              </w:rPr>
              <w:t>Fecha de alta, tipo de alta, datos de recién nacidos</w:t>
            </w:r>
          </w:p>
        </w:tc>
      </w:tr>
      <w:tr>
        <w:tc>
          <w:tcPr>
            <w:tcW w:type="dxa" w:w="3041"/>
          </w:tcPr>
          <w:p>
            <w:r/>
            <w:r>
              <w:rPr>
                <w:b/>
                <w:sz w:val="20"/>
              </w:rPr>
              <w:t>Clasificación GRD</w:t>
            </w:r>
          </w:p>
        </w:tc>
        <w:tc>
          <w:tcPr>
            <w:tcW w:type="dxa" w:w="3041"/>
          </w:tcPr>
          <w:p>
            <w:r/>
            <w:r>
              <w:rPr>
                <w:sz w:val="20"/>
              </w:rPr>
              <w:t>4 columnas</w:t>
            </w:r>
          </w:p>
        </w:tc>
        <w:tc>
          <w:tcPr>
            <w:tcW w:type="dxa" w:w="3041"/>
          </w:tcPr>
          <w:p>
            <w:r/>
            <w:r>
              <w:rPr>
                <w:sz w:val="20"/>
              </w:rPr>
              <w:t>Código GRD, peso del GRD, severidad, riesgo de mortalidad del agrupador</w:t>
            </w:r>
          </w:p>
        </w:tc>
      </w:tr>
      <w:tr>
        <w:tc>
          <w:tcPr>
            <w:tcW w:type="dxa" w:w="3041"/>
            <w:shd w:val="clear" w:color="auto" w:fill="F1F8E9"/>
          </w:tcPr>
          <w:p>
            <w:r/>
            <w:r>
              <w:rPr>
                <w:b/>
                <w:sz w:val="20"/>
              </w:rPr>
              <w:t>Traslados internos</w:t>
            </w:r>
          </w:p>
        </w:tc>
        <w:tc>
          <w:tcPr>
            <w:tcW w:type="dxa" w:w="3041"/>
            <w:shd w:val="clear" w:color="auto" w:fill="F1F8E9"/>
          </w:tcPr>
          <w:p>
            <w:r/>
            <w:r>
              <w:rPr>
                <w:sz w:val="20"/>
              </w:rPr>
              <w:t>18 columnas</w:t>
            </w:r>
          </w:p>
        </w:tc>
        <w:tc>
          <w:tcPr>
            <w:tcW w:type="dxa" w:w="3041"/>
            <w:shd w:val="clear" w:color="auto" w:fill="F1F8E9"/>
          </w:tcPr>
          <w:p>
            <w:r/>
            <w:r>
              <w:rPr>
                <w:sz w:val="20"/>
              </w:rPr>
              <w:t>Pares fecha-servicio de hasta 9 traslados internos durante la hospitalización</w:t>
            </w:r>
          </w:p>
        </w:tc>
      </w:tr>
    </w:tbl>
    <w:p/>
    <w:p>
      <w:pPr>
        <w:pStyle w:val="Heading1"/>
        <w:jc w:val="left"/>
      </w:pPr>
      <w:r>
        <w:rPr>
          <w:color w:val="1B5E20"/>
        </w:rPr>
        <w:t>3. Problema principal: ausencia de identificador único</w:t>
      </w:r>
    </w:p>
    <w:p>
      <w:r>
        <w:rPr>
          <w:b w:val="0"/>
          <w:i w:val="0"/>
          <w:sz w:val="22"/>
        </w:rPr>
        <w:t>Los datos de FONASA no incluyen ningún identificador único por registro. Sin un identificador propio es imposible rastrear a un paciente entre distintas hospitalizaciones ni cruzar tablas de manera confiable.</w:t>
      </w:r>
    </w:p>
    <w:p>
      <w:r>
        <w:rPr>
          <w:b w:val="0"/>
          <w:i w:val="0"/>
          <w:sz w:val="22"/>
        </w:rPr>
        <w:t>Para resolver esto se construirá en el código un identificador único por episodio llamado ID_EPISODIO, generado a partir de cuatro elementos: un prefijo fijo del proyecto, el año del archivo de origen, el número de línea exacta dentro del archivo y una huella digital del contenido de esa fila. Esta combinación garantiza que el identificador sea único entre todos los archivos y que si se procesa el mismo archivo dos veces, cada fila reciba exactamente el mismo identificador.</w:t>
      </w:r>
    </w:p>
    <w:p>
      <w:r>
        <w:rPr>
          <w:b w:val="0"/>
          <w:i w:val="0"/>
          <w:sz w:val="22"/>
        </w:rPr>
        <w:t>Este identificador se usará únicamente para cruzar tablas internamente. El modelo de aprendizaje automático nunca lo verá, porque si lo hiciera simplemente memorizaría registros en lugar de aprender patrones clínicos.</w:t>
      </w:r>
    </w:p>
    <w:p>
      <w:pPr>
        <w:pStyle w:val="Heading1"/>
        <w:jc w:val="left"/>
      </w:pPr>
      <w:r>
        <w:rPr>
          <w:color w:val="1B5E20"/>
        </w:rPr>
        <w:t>4. Clasificación de las 129 columnas según su uso</w:t>
      </w:r>
    </w:p>
    <w:p>
      <w:r>
        <w:rPr>
          <w:b w:val="0"/>
          <w:i w:val="0"/>
          <w:sz w:val="22"/>
        </w:rPr>
        <w:t>Cada columna fue analizada y clasificada en una de las siguientes categorías, que determinan cómo el código la tratará:</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B5E20"/>
          </w:tcPr>
          <w:p>
            <w:pPr>
              <w:jc w:val="center"/>
            </w:pPr>
            <w:r/>
            <w:r>
              <w:rPr>
                <w:b/>
                <w:color w:val="FFFFFF"/>
                <w:sz w:val="20"/>
              </w:rPr>
              <w:t>Categoría</w:t>
            </w:r>
          </w:p>
        </w:tc>
        <w:tc>
          <w:tcPr>
            <w:tcW w:type="dxa" w:w="3041"/>
            <w:shd w:val="clear" w:color="auto" w:fill="1B5E20"/>
          </w:tcPr>
          <w:p>
            <w:pPr>
              <w:jc w:val="center"/>
            </w:pPr>
            <w:r/>
            <w:r>
              <w:rPr>
                <w:b/>
                <w:color w:val="FFFFFF"/>
                <w:sz w:val="20"/>
              </w:rPr>
              <w:t>Cantidad aprox.</w:t>
            </w:r>
          </w:p>
        </w:tc>
        <w:tc>
          <w:tcPr>
            <w:tcW w:type="dxa" w:w="3041"/>
            <w:shd w:val="clear" w:color="auto" w:fill="1B5E20"/>
          </w:tcPr>
          <w:p>
            <w:pPr>
              <w:jc w:val="center"/>
            </w:pPr>
            <w:r/>
            <w:r>
              <w:rPr>
                <w:b/>
                <w:color w:val="FFFFFF"/>
                <w:sz w:val="20"/>
              </w:rPr>
              <w:t>Descripción</w:t>
            </w:r>
          </w:p>
        </w:tc>
      </w:tr>
      <w:tr>
        <w:tc>
          <w:tcPr>
            <w:tcW w:type="dxa" w:w="3041"/>
          </w:tcPr>
          <w:p>
            <w:r/>
            <w:r>
              <w:rPr>
                <w:b/>
                <w:sz w:val="20"/>
              </w:rPr>
              <w:t>Entra al modelo</w:t>
            </w:r>
          </w:p>
        </w:tc>
        <w:tc>
          <w:tcPr>
            <w:tcW w:type="dxa" w:w="3041"/>
          </w:tcPr>
          <w:p>
            <w:r/>
            <w:r>
              <w:rPr>
                <w:sz w:val="20"/>
              </w:rPr>
              <w:t>~12 columnas</w:t>
            </w:r>
          </w:p>
        </w:tc>
        <w:tc>
          <w:tcPr>
            <w:tcW w:type="dxa" w:w="3041"/>
          </w:tcPr>
          <w:p>
            <w:r/>
            <w:r>
              <w:rPr>
                <w:sz w:val="20"/>
              </w:rPr>
              <w:t>Información conocida al ingreso que el modelo usará como predictor: sexo, edad, diagnóstico de ingreso, tipo de ingreso, comorbilidades.</w:t>
            </w:r>
          </w:p>
        </w:tc>
      </w:tr>
      <w:tr>
        <w:tc>
          <w:tcPr>
            <w:tcW w:type="dxa" w:w="3041"/>
            <w:shd w:val="clear" w:color="auto" w:fill="F1F8E9"/>
          </w:tcPr>
          <w:p>
            <w:r/>
            <w:r>
              <w:rPr>
                <w:b/>
                <w:sz w:val="20"/>
              </w:rPr>
              <w:t>Genera otras variables</w:t>
            </w:r>
          </w:p>
        </w:tc>
        <w:tc>
          <w:tcPr>
            <w:tcW w:type="dxa" w:w="3041"/>
            <w:shd w:val="clear" w:color="auto" w:fill="F1F8E9"/>
          </w:tcPr>
          <w:p>
            <w:r/>
            <w:r>
              <w:rPr>
                <w:sz w:val="20"/>
              </w:rPr>
              <w:t>~39 columnas</w:t>
            </w:r>
          </w:p>
        </w:tc>
        <w:tc>
          <w:tcPr>
            <w:tcW w:type="dxa" w:w="3041"/>
            <w:shd w:val="clear" w:color="auto" w:fill="F1F8E9"/>
          </w:tcPr>
          <w:p>
            <w:r/>
            <w:r>
              <w:rPr>
                <w:sz w:val="20"/>
              </w:rPr>
              <w:t>Columnas crudas que se transforman en otras variables. La fecha de nacimiento genera la edad en años. No entran directamente al modelo.</w:t>
            </w:r>
          </w:p>
        </w:tc>
      </w:tr>
      <w:tr>
        <w:tc>
          <w:tcPr>
            <w:tcW w:type="dxa" w:w="3041"/>
          </w:tcPr>
          <w:p>
            <w:r/>
            <w:r>
              <w:rPr>
                <w:b/>
                <w:sz w:val="20"/>
              </w:rPr>
              <w:t>Prohibida — post-ingreso</w:t>
            </w:r>
          </w:p>
        </w:tc>
        <w:tc>
          <w:tcPr>
            <w:tcW w:type="dxa" w:w="3041"/>
          </w:tcPr>
          <w:p>
            <w:r/>
            <w:r>
              <w:rPr>
                <w:sz w:val="20"/>
              </w:rPr>
              <w:t>~54 columnas</w:t>
            </w:r>
          </w:p>
        </w:tc>
        <w:tc>
          <w:tcPr>
            <w:tcW w:type="dxa" w:w="3041"/>
          </w:tcPr>
          <w:p>
            <w:r/>
            <w:r>
              <w:rPr>
                <w:sz w:val="20"/>
              </w:rPr>
              <w:t>Datos que solo existen después del ingreso: procedimientos quirúrgicos, fechas de intervención, uso de pabellón. Si entraran al modelo, este haría trampa.</w:t>
            </w:r>
          </w:p>
        </w:tc>
      </w:tr>
      <w:tr>
        <w:tc>
          <w:tcPr>
            <w:tcW w:type="dxa" w:w="3041"/>
            <w:shd w:val="clear" w:color="auto" w:fill="F1F8E9"/>
          </w:tcPr>
          <w:p>
            <w:r/>
            <w:r>
              <w:rPr>
                <w:b/>
                <w:sz w:val="20"/>
              </w:rPr>
              <w:t>Lo que predigo</w:t>
            </w:r>
          </w:p>
        </w:tc>
        <w:tc>
          <w:tcPr>
            <w:tcW w:type="dxa" w:w="3041"/>
            <w:shd w:val="clear" w:color="auto" w:fill="F1F8E9"/>
          </w:tcPr>
          <w:p>
            <w:r/>
            <w:r>
              <w:rPr>
                <w:sz w:val="20"/>
              </w:rPr>
              <w:t>2 columnas</w:t>
            </w:r>
          </w:p>
        </w:tc>
        <w:tc>
          <w:tcPr>
            <w:tcW w:type="dxa" w:w="3041"/>
            <w:shd w:val="clear" w:color="auto" w:fill="F1F8E9"/>
          </w:tcPr>
          <w:p>
            <w:r/>
            <w:r>
              <w:rPr>
                <w:sz w:val="20"/>
              </w:rPr>
              <w:t>Mortalidad binaria (falleció sí/no) y días de estadía. Son los resultados que el modelo aprende a predecir.</w:t>
            </w:r>
          </w:p>
        </w:tc>
      </w:tr>
      <w:tr>
        <w:tc>
          <w:tcPr>
            <w:tcW w:type="dxa" w:w="3041"/>
          </w:tcPr>
          <w:p>
            <w:r/>
            <w:r>
              <w:rPr>
                <w:b/>
                <w:sz w:val="20"/>
              </w:rPr>
              <w:t>Identificadores para agrupar</w:t>
            </w:r>
          </w:p>
        </w:tc>
        <w:tc>
          <w:tcPr>
            <w:tcW w:type="dxa" w:w="3041"/>
          </w:tcPr>
          <w:p>
            <w:r/>
            <w:r>
              <w:rPr>
                <w:sz w:val="20"/>
              </w:rPr>
              <w:t>3 columnas</w:t>
            </w:r>
          </w:p>
        </w:tc>
        <w:tc>
          <w:tcPr>
            <w:tcW w:type="dxa" w:w="3041"/>
          </w:tcPr>
          <w:p>
            <w:r/>
            <w:r>
              <w:rPr>
                <w:sz w:val="20"/>
              </w:rPr>
              <w:t>Código del hospital y servicio de salud. Solo se usan al final para agrupar resultados, nunca como predictores.</w:t>
            </w:r>
          </w:p>
        </w:tc>
      </w:tr>
      <w:tr>
        <w:tc>
          <w:tcPr>
            <w:tcW w:type="dxa" w:w="3041"/>
            <w:shd w:val="clear" w:color="auto" w:fill="F1F8E9"/>
          </w:tcPr>
          <w:p>
            <w:r/>
            <w:r>
              <w:rPr>
                <w:b/>
                <w:sz w:val="20"/>
              </w:rPr>
              <w:t>Filtros de cohorte</w:t>
            </w:r>
          </w:p>
        </w:tc>
        <w:tc>
          <w:tcPr>
            <w:tcW w:type="dxa" w:w="3041"/>
            <w:shd w:val="clear" w:color="auto" w:fill="F1F8E9"/>
          </w:tcPr>
          <w:p>
            <w:r/>
            <w:r>
              <w:rPr>
                <w:sz w:val="20"/>
              </w:rPr>
              <w:t>5 columnas</w:t>
            </w:r>
          </w:p>
        </w:tc>
        <w:tc>
          <w:tcPr>
            <w:tcW w:type="dxa" w:w="3041"/>
            <w:shd w:val="clear" w:color="auto" w:fill="F1F8E9"/>
          </w:tcPr>
          <w:p>
            <w:r/>
            <w:r>
              <w:rPr>
                <w:sz w:val="20"/>
              </w:rPr>
              <w:t>Determinan qué pacientes se incluyen o excluyen del análisis.</w:t>
            </w:r>
          </w:p>
        </w:tc>
      </w:tr>
      <w:tr>
        <w:tc>
          <w:tcPr>
            <w:tcW w:type="dxa" w:w="3041"/>
          </w:tcPr>
          <w:p>
            <w:r/>
            <w:r>
              <w:rPr>
                <w:b/>
                <w:sz w:val="20"/>
              </w:rPr>
              <w:t>Para análisis de equidad</w:t>
            </w:r>
          </w:p>
        </w:tc>
        <w:tc>
          <w:tcPr>
            <w:tcW w:type="dxa" w:w="3041"/>
          </w:tcPr>
          <w:p>
            <w:r/>
            <w:r>
              <w:rPr>
                <w:sz w:val="20"/>
              </w:rPr>
              <w:t>7 columnas</w:t>
            </w:r>
          </w:p>
        </w:tc>
        <w:tc>
          <w:tcPr>
            <w:tcW w:type="dxa" w:w="3041"/>
          </w:tcPr>
          <w:p>
            <w:r/>
            <w:r>
              <w:rPr>
                <w:sz w:val="20"/>
              </w:rPr>
              <w:t>Variables como etnia, previsión y comuna. Quedan reservadas fuera del modelo principal.</w:t>
            </w:r>
          </w:p>
        </w:tc>
      </w:tr>
      <w:tr>
        <w:tc>
          <w:tcPr>
            <w:tcW w:type="dxa" w:w="3041"/>
            <w:shd w:val="clear" w:color="auto" w:fill="F1F8E9"/>
          </w:tcPr>
          <w:p>
            <w:r/>
            <w:r>
              <w:rPr>
                <w:b/>
                <w:sz w:val="20"/>
              </w:rPr>
              <w:t>Sin propósito</w:t>
            </w:r>
          </w:p>
        </w:tc>
        <w:tc>
          <w:tcPr>
            <w:tcW w:type="dxa" w:w="3041"/>
            <w:shd w:val="clear" w:color="auto" w:fill="F1F8E9"/>
          </w:tcPr>
          <w:p>
            <w:r/>
            <w:r>
              <w:rPr>
                <w:sz w:val="20"/>
              </w:rPr>
              <w:t>~7 columnas</w:t>
            </w:r>
          </w:p>
        </w:tc>
        <w:tc>
          <w:tcPr>
            <w:tcW w:type="dxa" w:w="3041"/>
            <w:shd w:val="clear" w:color="auto" w:fill="F1F8E9"/>
          </w:tcPr>
          <w:p>
            <w:r/>
            <w:r>
              <w:rPr>
                <w:sz w:val="20"/>
              </w:rPr>
              <w:t>Columnas completamente vacías en todos los años o con datos sin diccionario conocido.</w:t>
            </w:r>
          </w:p>
        </w:tc>
      </w:tr>
    </w:tbl>
    <w:p/>
    <w:p>
      <w:pPr>
        <w:pStyle w:val="Heading1"/>
        <w:jc w:val="left"/>
      </w:pPr>
      <w:r>
        <w:rPr>
          <w:color w:val="1B5E20"/>
        </w:rPr>
        <w:t>5. Tratamiento de datos vacíos, nulos y erróneos</w:t>
      </w:r>
    </w:p>
    <w:p>
      <w:r>
        <w:rPr>
          <w:b w:val="0"/>
          <w:i w:val="0"/>
          <w:sz w:val="22"/>
        </w:rPr>
        <w:t>Los datos administrativos hospitalarios presentan de forma sistemática valores faltantes, errores de digitación e inconsistencias de formato. El tratamiento de estos problemas sigue un principio central: cuando se detecta un dato incorrecto, el sistema anula únicamente ese valor específico, pero conserva el resto del registro del paciente. Eliminar un episodio completo por un error de tipografía en la fecha significaría perder información clínica válida de ese paciente.</w:t>
      </w:r>
    </w:p>
    <w:p>
      <w:r>
        <w:rPr>
          <w:b w:val="0"/>
          <w:i w:val="0"/>
          <w:sz w:val="22"/>
        </w:rPr>
        <w:t>A continuación se describe cada tipo de problema, qué columnas lo presentan y cuál es la acción concreta que tomará el código:</w:t>
      </w:r>
    </w:p>
    <w:p>
      <w:pPr>
        <w:pStyle w:val="Heading2"/>
        <w:jc w:val="left"/>
      </w:pPr>
      <w:r>
        <w:t>5.1 Valores nulos en variables que entran al modelo</w:t>
      </w:r>
    </w:p>
    <w:p>
      <w:r>
        <w:rPr>
          <w:b w:val="0"/>
          <w:i w:val="0"/>
          <w:sz w:val="22"/>
        </w:rPr>
        <w:t>El diagnóstico principal presenta 80 registros con valor nulo de un total de 5.808.536 egresos, lo que equivale al 0.001% de los datos. Para estos casos, las variables derivadas del diagnóstico (categoría clínica y código de 3 caracteres) quedarán vacías, pero el registro completo del paciente se conserva para que su información demográfica y de comorbilidades siga siendo útil al modelo.</w:t>
      </w:r>
    </w:p>
    <w:p>
      <w:r>
        <w:rPr>
          <w:b w:val="0"/>
          <w:i w:val="0"/>
          <w:sz w:val="22"/>
        </w:rPr>
        <w:t>Las variables de sexo y tipo de ingreso no presentan nulos en los 5.808.536 registros, lo que garantiza que los predictores demográficos centrales están completos en toda la cohorte.</w:t>
      </w:r>
    </w:p>
    <w:p>
      <w:pPr>
        <w:pStyle w:val="Heading2"/>
        <w:jc w:val="left"/>
      </w:pPr>
      <w:r>
        <w:t>5.2 Valores nulos en el código GRD</w:t>
      </w:r>
    </w:p>
    <w:p>
      <w:r>
        <w:rPr>
          <w:b w:val="0"/>
          <w:i w:val="0"/>
          <w:sz w:val="22"/>
        </w:rPr>
        <w:t>El código GRD presenta 75 valores nulos. Este código es imprescindible porque se utiliza para determinar qué pacientes deben excluirse de la cohorte (recién nacidos y partos sin complicación). Sin ese código es imposible aplicar los filtros correctamente, por lo que los 75 registros afectados son excluidos del análisis y documentados en el reporte de cohorte.</w:t>
      </w:r>
    </w:p>
    <w:p>
      <w:pPr>
        <w:pStyle w:val="Heading2"/>
        <w:jc w:val="left"/>
      </w:pPr>
      <w:r>
        <w:t>5.3 Errores de formato en fechas</w:t>
      </w:r>
    </w:p>
    <w:p>
      <w:r>
        <w:rPr>
          <w:b w:val="0"/>
          <w:i w:val="0"/>
          <w:sz w:val="22"/>
        </w:rPr>
        <w:t>Los archivos de FONASA usan dos formatos de fecha distintos: la fecha de ingreso usa el formato día-mes-año, mientras que la fecha de nacimiento usa año-mes-día. El código convierte ambas al mismo formato estándar durante la etapa de limpieza. Este paso es obligatorio porque cualquier cálculo de días o de edad que se realice antes de la conversión producirá resultados incorrectos.</w:t>
      </w:r>
    </w:p>
    <w:p>
      <w:pPr>
        <w:pStyle w:val="Heading2"/>
        <w:jc w:val="left"/>
      </w:pPr>
      <w:r>
        <w:t>5.4 Fechas con valores biológicamente o lógicamente imposibles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B5E20"/>
          </w:tcPr>
          <w:p>
            <w:pPr>
              <w:jc w:val="center"/>
            </w:pPr>
            <w:r/>
            <w:r>
              <w:rPr>
                <w:b/>
                <w:color w:val="FFFFFF"/>
                <w:sz w:val="20"/>
              </w:rPr>
              <w:t>Problema</w:t>
            </w:r>
          </w:p>
        </w:tc>
        <w:tc>
          <w:tcPr>
            <w:tcW w:type="dxa" w:w="2280"/>
            <w:shd w:val="clear" w:color="auto" w:fill="1B5E20"/>
          </w:tcPr>
          <w:p>
            <w:pPr>
              <w:jc w:val="center"/>
            </w:pPr>
            <w:r/>
            <w:r>
              <w:rPr>
                <w:b/>
                <w:color w:val="FFFFFF"/>
                <w:sz w:val="20"/>
              </w:rPr>
              <w:t>Volumen</w:t>
            </w:r>
          </w:p>
        </w:tc>
        <w:tc>
          <w:tcPr>
            <w:tcW w:type="dxa" w:w="2280"/>
            <w:shd w:val="clear" w:color="auto" w:fill="1B5E20"/>
          </w:tcPr>
          <w:p>
            <w:pPr>
              <w:jc w:val="center"/>
            </w:pPr>
            <w:r/>
            <w:r>
              <w:rPr>
                <w:b/>
                <w:color w:val="FFFFFF"/>
                <w:sz w:val="20"/>
              </w:rPr>
              <w:t>Acción en el código</w:t>
            </w:r>
          </w:p>
        </w:tc>
        <w:tc>
          <w:tcPr>
            <w:tcW w:type="dxa" w:w="2280"/>
            <w:shd w:val="clear" w:color="auto" w:fill="1B5E20"/>
          </w:tcPr>
          <w:p>
            <w:pPr>
              <w:jc w:val="center"/>
            </w:pPr>
            <w:r/>
            <w:r>
              <w:rPr>
                <w:b/>
                <w:color w:val="FFFFFF"/>
                <w:sz w:val="20"/>
              </w:rPr>
              <w:t>Impacto si no se corrige</w:t>
            </w:r>
          </w:p>
        </w:tc>
      </w:tr>
      <w:tr>
        <w:tc>
          <w:tcPr>
            <w:tcW w:type="dxa" w:w="2280"/>
          </w:tcPr>
          <w:p>
            <w:r/>
            <w:r>
              <w:rPr>
                <w:b/>
                <w:sz w:val="20"/>
              </w:rPr>
              <w:t>Fecha de alta anterior al ingreso</w:t>
            </w:r>
          </w:p>
        </w:tc>
        <w:tc>
          <w:tcPr>
            <w:tcW w:type="dxa" w:w="2280"/>
          </w:tcPr>
          <w:p>
            <w:r/>
            <w:r>
              <w:rPr>
                <w:sz w:val="20"/>
              </w:rPr>
              <w:t>18 casos en 5.808.536</w:t>
            </w:r>
          </w:p>
        </w:tc>
        <w:tc>
          <w:tcPr>
            <w:tcW w:type="dxa" w:w="2280"/>
          </w:tcPr>
          <w:p>
            <w:r/>
            <w:r>
              <w:rPr>
                <w:sz w:val="20"/>
              </w:rPr>
              <w:t>Se anula únicamente el cálculo de días de estadía para ese registro. El resto de la información clínica del episodio se conserva.</w:t>
            </w:r>
          </w:p>
        </w:tc>
        <w:tc>
          <w:tcPr>
            <w:tcW w:type="dxa" w:w="2280"/>
          </w:tcPr>
          <w:p>
            <w:r/>
            <w:r>
              <w:rPr>
                <w:sz w:val="20"/>
              </w:rPr>
              <w:t>El modelo de estadía recibiría valores negativos de días, lo que distorsionaría completamente sus predicciones.</w:t>
            </w:r>
          </w:p>
        </w:tc>
      </w:tr>
      <w:tr>
        <w:tc>
          <w:tcPr>
            <w:tcW w:type="dxa" w:w="2280"/>
            <w:shd w:val="clear" w:color="auto" w:fill="F1F8E9"/>
          </w:tcPr>
          <w:p>
            <w:r/>
            <w:r>
              <w:rPr>
                <w:b/>
                <w:sz w:val="20"/>
              </w:rPr>
              <w:t>Fecha de nacimiento posterior al ingreso (edad negativa)</w:t>
            </w:r>
          </w:p>
        </w:tc>
        <w:tc>
          <w:tcPr>
            <w:tcW w:type="dxa" w:w="2280"/>
            <w:shd w:val="clear" w:color="auto" w:fill="F1F8E9"/>
          </w:tcPr>
          <w:p>
            <w:r/>
            <w:r>
              <w:rPr>
                <w:sz w:val="20"/>
              </w:rPr>
              <w:t>Menos del 0,01% de los registros</w:t>
            </w:r>
          </w:p>
        </w:tc>
        <w:tc>
          <w:tcPr>
            <w:tcW w:type="dxa" w:w="2280"/>
            <w:shd w:val="clear" w:color="auto" w:fill="F1F8E9"/>
          </w:tcPr>
          <w:p>
            <w:r/>
            <w:r>
              <w:rPr>
                <w:sz w:val="20"/>
              </w:rPr>
              <w:t>Se anula únicamente el campo de edad para ese registro. El episodio completo se conserva con el resto de sus diagnósticos y variables.</w:t>
            </w:r>
          </w:p>
        </w:tc>
        <w:tc>
          <w:tcPr>
            <w:tcW w:type="dxa" w:w="2280"/>
            <w:shd w:val="clear" w:color="auto" w:fill="F1F8E9"/>
          </w:tcPr>
          <w:p>
            <w:r/>
            <w:r>
              <w:rPr>
                <w:sz w:val="20"/>
              </w:rPr>
              <w:t>Una edad negativa como predictor introduce un valor imposible que el modelo intentaría interpretar incorrectamente.</w:t>
            </w:r>
          </w:p>
        </w:tc>
      </w:tr>
      <w:tr>
        <w:tc>
          <w:tcPr>
            <w:tcW w:type="dxa" w:w="2280"/>
          </w:tcPr>
          <w:p>
            <w:r/>
            <w:r>
              <w:rPr>
                <w:b/>
                <w:sz w:val="20"/>
              </w:rPr>
              <w:t>Edad calculada mayor a 110 años</w:t>
            </w:r>
          </w:p>
        </w:tc>
        <w:tc>
          <w:tcPr>
            <w:tcW w:type="dxa" w:w="2280"/>
          </w:tcPr>
          <w:p>
            <w:r/>
            <w:r>
              <w:rPr>
                <w:sz w:val="20"/>
              </w:rPr>
              <w:t>Menos del 0,01% de los registros</w:t>
            </w:r>
          </w:p>
        </w:tc>
        <w:tc>
          <w:tcPr>
            <w:tcW w:type="dxa" w:w="2280"/>
          </w:tcPr>
          <w:p>
            <w:r/>
            <w:r>
              <w:rPr>
                <w:sz w:val="20"/>
              </w:rPr>
              <w:t>Misma acción: se anula solo la edad, el episodio se conserva.</w:t>
            </w:r>
          </w:p>
        </w:tc>
        <w:tc>
          <w:tcPr>
            <w:tcW w:type="dxa" w:w="2280"/>
          </w:tcPr>
          <w:p>
            <w:r/>
            <w:r>
              <w:rPr>
                <w:sz w:val="20"/>
              </w:rPr>
              <w:t>La edad extrema distorsionaría las predicciones de riesgo asociadas a la edad del paciente.</w:t>
            </w:r>
          </w:p>
        </w:tc>
      </w:tr>
    </w:tbl>
    <w:p/>
    <w:p>
      <w:pPr>
        <w:pStyle w:val="Heading2"/>
        <w:jc w:val="left"/>
      </w:pPr>
      <w:r>
        <w:t>5.5 Separador decimal incorrecto</w:t>
      </w:r>
    </w:p>
    <w:p>
      <w:r>
        <w:rPr>
          <w:b w:val="0"/>
          <w:i w:val="0"/>
          <w:sz w:val="22"/>
        </w:rPr>
        <w:t>La columna que contiene el peso del GRD registra los valores con coma como separador decimal en lugar de punto. El sistema operativo interpreta esos valores como texto y no como números, haciendo imposible cualquier operación aritmética. El código reemplaza la coma por punto de forma automática antes de cualquier operación numérica.</w:t>
      </w:r>
    </w:p>
    <w:p>
      <w:pPr>
        <w:pStyle w:val="Heading2"/>
        <w:jc w:val="left"/>
      </w:pPr>
      <w:r>
        <w:t>5.6 Inconsistencias en el formato de textos y códigos</w:t>
      </w:r>
    </w:p>
    <w:p>
      <w:r>
        <w:rPr>
          <w:b w:val="0"/>
          <w:i w:val="0"/>
          <w:sz w:val="22"/>
        </w:rPr>
        <w:t>Los códigos de diagnóstico CIE-10 y las categorías de texto presentan múltiples inconsistencias que generan duplicados artificiales en los datos. Si no se corrigen, un mismo diagnóstico sería tratado como categorías distintas, dividiendo la información y debilitando la capacidad predictiva del modelo. El código aplica una normalización estándar a todos los textos antes de cualquier análisis: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B5E20"/>
          </w:tcPr>
          <w:p>
            <w:pPr>
              <w:jc w:val="center"/>
            </w:pPr>
            <w:r/>
            <w:r>
              <w:rPr>
                <w:b/>
                <w:color w:val="FFFFFF"/>
                <w:sz w:val="20"/>
              </w:rPr>
              <w:t>Inconsistencia</w:t>
            </w:r>
          </w:p>
        </w:tc>
        <w:tc>
          <w:tcPr>
            <w:tcW w:type="dxa" w:w="2280"/>
            <w:shd w:val="clear" w:color="auto" w:fill="1B5E20"/>
          </w:tcPr>
          <w:p>
            <w:pPr>
              <w:jc w:val="center"/>
            </w:pPr>
            <w:r/>
            <w:r>
              <w:rPr>
                <w:b/>
                <w:color w:val="FFFFFF"/>
                <w:sz w:val="20"/>
              </w:rPr>
              <w:t>Valor incorrecto</w:t>
            </w:r>
          </w:p>
        </w:tc>
        <w:tc>
          <w:tcPr>
            <w:tcW w:type="dxa" w:w="2280"/>
            <w:shd w:val="clear" w:color="auto" w:fill="1B5E20"/>
          </w:tcPr>
          <w:p>
            <w:pPr>
              <w:jc w:val="center"/>
            </w:pPr>
            <w:r/>
            <w:r>
              <w:rPr>
                <w:b/>
                <w:color w:val="FFFFFF"/>
                <w:sz w:val="20"/>
              </w:rPr>
              <w:t>Valor correcto</w:t>
            </w:r>
          </w:p>
        </w:tc>
        <w:tc>
          <w:tcPr>
            <w:tcW w:type="dxa" w:w="2280"/>
            <w:shd w:val="clear" w:color="auto" w:fill="1B5E20"/>
          </w:tcPr>
          <w:p>
            <w:pPr>
              <w:jc w:val="center"/>
            </w:pPr>
            <w:r/>
            <w:r>
              <w:rPr>
                <w:b/>
                <w:color w:val="FFFFFF"/>
                <w:sz w:val="20"/>
              </w:rPr>
              <w:t>Impacto si no se corrige</w:t>
            </w:r>
          </w:p>
        </w:tc>
      </w:tr>
      <w:tr>
        <w:tc>
          <w:tcPr>
            <w:tcW w:type="dxa" w:w="2280"/>
          </w:tcPr>
          <w:p>
            <w:r/>
            <w:r>
              <w:rPr>
                <w:b/>
                <w:sz w:val="20"/>
              </w:rPr>
              <w:t>Diagnósticos en minúsculas</w:t>
            </w:r>
          </w:p>
        </w:tc>
        <w:tc>
          <w:tcPr>
            <w:tcW w:type="dxa" w:w="2280"/>
          </w:tcPr>
          <w:p>
            <w:r/>
            <w:r>
              <w:rPr>
                <w:sz w:val="20"/>
              </w:rPr>
              <w:t>j18.0</w:t>
            </w:r>
          </w:p>
        </w:tc>
        <w:tc>
          <w:tcPr>
            <w:tcW w:type="dxa" w:w="2280"/>
          </w:tcPr>
          <w:p>
            <w:r/>
            <w:r>
              <w:rPr>
                <w:sz w:val="20"/>
              </w:rPr>
              <w:t>J18</w:t>
            </w:r>
          </w:p>
        </w:tc>
        <w:tc>
          <w:tcPr>
            <w:tcW w:type="dxa" w:w="2280"/>
          </w:tcPr>
          <w:p>
            <w:r/>
            <w:r>
              <w:rPr>
                <w:sz w:val="20"/>
              </w:rPr>
              <w:t>El modelo no reconocería el diagnóstico y no asignaría la comorbilidad correspondiente</w:t>
            </w:r>
          </w:p>
        </w:tc>
      </w:tr>
      <w:tr>
        <w:tc>
          <w:tcPr>
            <w:tcW w:type="dxa" w:w="2280"/>
            <w:shd w:val="clear" w:color="auto" w:fill="F1F8E9"/>
          </w:tcPr>
          <w:p>
            <w:r/>
            <w:r>
              <w:rPr>
                <w:b/>
                <w:sz w:val="20"/>
              </w:rPr>
              <w:t>Puntos dentro del código CIE-10</w:t>
            </w:r>
          </w:p>
        </w:tc>
        <w:tc>
          <w:tcPr>
            <w:tcW w:type="dxa" w:w="2280"/>
            <w:shd w:val="clear" w:color="auto" w:fill="F1F8E9"/>
          </w:tcPr>
          <w:p>
            <w:r/>
            <w:r>
              <w:rPr>
                <w:sz w:val="20"/>
              </w:rPr>
              <w:t>J18.0</w:t>
            </w:r>
          </w:p>
        </w:tc>
        <w:tc>
          <w:tcPr>
            <w:tcW w:type="dxa" w:w="2280"/>
            <w:shd w:val="clear" w:color="auto" w:fill="F1F8E9"/>
          </w:tcPr>
          <w:p>
            <w:r/>
            <w:r>
              <w:rPr>
                <w:sz w:val="20"/>
              </w:rPr>
              <w:t>J180</w:t>
            </w:r>
          </w:p>
        </w:tc>
        <w:tc>
          <w:tcPr>
            <w:tcW w:type="dxa" w:w="2280"/>
            <w:shd w:val="clear" w:color="auto" w:fill="F1F8E9"/>
          </w:tcPr>
          <w:p>
            <w:r/>
            <w:r>
              <w:rPr>
                <w:sz w:val="20"/>
              </w:rPr>
              <w:t>El código con punto y sin punto serían categorías distintas</w:t>
            </w:r>
          </w:p>
        </w:tc>
      </w:tr>
      <w:tr>
        <w:tc>
          <w:tcPr>
            <w:tcW w:type="dxa" w:w="2280"/>
          </w:tcPr>
          <w:p>
            <w:r/>
            <w:r>
              <w:rPr>
                <w:b/>
                <w:sz w:val="20"/>
              </w:rPr>
              <w:t>Espacios extras al inicio o final</w:t>
            </w:r>
          </w:p>
        </w:tc>
        <w:tc>
          <w:tcPr>
            <w:tcW w:type="dxa" w:w="2280"/>
          </w:tcPr>
          <w:p>
            <w:r/>
            <w:r>
              <w:rPr>
                <w:sz w:val="20"/>
              </w:rPr>
              <w:t>I48 (con espacio)</w:t>
            </w:r>
          </w:p>
        </w:tc>
        <w:tc>
          <w:tcPr>
            <w:tcW w:type="dxa" w:w="2280"/>
          </w:tcPr>
          <w:p>
            <w:r/>
            <w:r>
              <w:rPr>
                <w:sz w:val="20"/>
              </w:rPr>
              <w:t>I48</w:t>
            </w:r>
          </w:p>
        </w:tc>
        <w:tc>
          <w:tcPr>
            <w:tcW w:type="dxa" w:w="2280"/>
          </w:tcPr>
          <w:p>
            <w:r/>
            <w:r>
              <w:rPr>
                <w:sz w:val="20"/>
              </w:rPr>
              <w:t>I48 e 'I48 ' serían dos diagnósticos distintos, dividiendo artificialmente los conteos</w:t>
            </w:r>
          </w:p>
        </w:tc>
      </w:tr>
      <w:tr>
        <w:tc>
          <w:tcPr>
            <w:tcW w:type="dxa" w:w="2280"/>
            <w:shd w:val="clear" w:color="auto" w:fill="F1F8E9"/>
          </w:tcPr>
          <w:p>
            <w:r/>
            <w:r>
              <w:rPr>
                <w:b/>
                <w:sz w:val="20"/>
              </w:rPr>
              <w:t>Tildes en código de diagnóstico</w:t>
            </w:r>
          </w:p>
        </w:tc>
        <w:tc>
          <w:tcPr>
            <w:tcW w:type="dxa" w:w="2280"/>
            <w:shd w:val="clear" w:color="auto" w:fill="F1F8E9"/>
          </w:tcPr>
          <w:p>
            <w:r/>
            <w:r>
              <w:rPr>
                <w:sz w:val="20"/>
              </w:rPr>
              <w:t>Ó30</w:t>
            </w:r>
          </w:p>
        </w:tc>
        <w:tc>
          <w:tcPr>
            <w:tcW w:type="dxa" w:w="2280"/>
            <w:shd w:val="clear" w:color="auto" w:fill="F1F8E9"/>
          </w:tcPr>
          <w:p>
            <w:r/>
            <w:r>
              <w:rPr>
                <w:sz w:val="20"/>
              </w:rPr>
              <w:t>O30</w:t>
            </w:r>
          </w:p>
        </w:tc>
        <w:tc>
          <w:tcPr>
            <w:tcW w:type="dxa" w:w="2280"/>
            <w:shd w:val="clear" w:color="auto" w:fill="F1F8E9"/>
          </w:tcPr>
          <w:p>
            <w:r/>
            <w:r>
              <w:rPr>
                <w:sz w:val="20"/>
              </w:rPr>
              <w:t>El sistema no encontraría ese diagnóstico en las tablas de referencia</w:t>
            </w:r>
          </w:p>
        </w:tc>
      </w:tr>
      <w:tr>
        <w:tc>
          <w:tcPr>
            <w:tcW w:type="dxa" w:w="2280"/>
          </w:tcPr>
          <w:p>
            <w:r/>
            <w:r>
              <w:rPr>
                <w:b/>
                <w:sz w:val="20"/>
              </w:rPr>
              <w:t>Categoría duplicada en etnia</w:t>
            </w:r>
          </w:p>
        </w:tc>
        <w:tc>
          <w:tcPr>
            <w:tcW w:type="dxa" w:w="2280"/>
          </w:tcPr>
          <w:p>
            <w:r/>
            <w:r>
              <w:rPr>
                <w:sz w:val="20"/>
              </w:rPr>
              <w:t>'OTRO' y 'Otro' como categorías distintas</w:t>
            </w:r>
          </w:p>
        </w:tc>
        <w:tc>
          <w:tcPr>
            <w:tcW w:type="dxa" w:w="2280"/>
          </w:tcPr>
          <w:p>
            <w:r/>
            <w:r>
              <w:rPr>
                <w:sz w:val="20"/>
              </w:rPr>
              <w:t>OTRO (único)</w:t>
            </w:r>
          </w:p>
        </w:tc>
        <w:tc>
          <w:tcPr>
            <w:tcW w:type="dxa" w:w="2280"/>
          </w:tcPr>
          <w:p>
            <w:r/>
            <w:r>
              <w:rPr>
                <w:sz w:val="20"/>
              </w:rPr>
              <w:t>La variable derivada de pueblo originario quedaría mal calculada</w:t>
            </w:r>
          </w:p>
        </w:tc>
      </w:tr>
      <w:tr>
        <w:tc>
          <w:tcPr>
            <w:tcW w:type="dxa" w:w="2280"/>
            <w:shd w:val="clear" w:color="auto" w:fill="F1F8E9"/>
          </w:tcPr>
          <w:p>
            <w:r/>
            <w:r>
              <w:rPr>
                <w:b/>
                <w:sz w:val="20"/>
              </w:rPr>
              <w:t>Procedimientos leídos como decimales</w:t>
            </w:r>
          </w:p>
        </w:tc>
        <w:tc>
          <w:tcPr>
            <w:tcW w:type="dxa" w:w="2280"/>
            <w:shd w:val="clear" w:color="auto" w:fill="F1F8E9"/>
          </w:tcPr>
          <w:p>
            <w:r/>
            <w:r>
              <w:rPr>
                <w:sz w:val="20"/>
              </w:rPr>
              <w:t>0.17 (número)</w:t>
            </w:r>
          </w:p>
        </w:tc>
        <w:tc>
          <w:tcPr>
            <w:tcW w:type="dxa" w:w="2280"/>
            <w:shd w:val="clear" w:color="auto" w:fill="F1F8E9"/>
          </w:tcPr>
          <w:p>
            <w:r/>
            <w:r>
              <w:rPr>
                <w:sz w:val="20"/>
              </w:rPr>
              <w:t>00.17 (texto)</w:t>
            </w:r>
          </w:p>
        </w:tc>
        <w:tc>
          <w:tcPr>
            <w:tcW w:type="dxa" w:w="2280"/>
            <w:shd w:val="clear" w:color="auto" w:fill="F1F8E9"/>
          </w:tcPr>
          <w:p>
            <w:r/>
            <w:r>
              <w:rPr>
                <w:sz w:val="20"/>
              </w:rPr>
              <w:t>El código de procedimiento queda truncado y se vuelve irreconocible en los catálogos CIE-9</w:t>
            </w:r>
          </w:p>
        </w:tc>
      </w:tr>
    </w:tbl>
    <w:p/>
    <w:p>
      <w:pPr>
        <w:pStyle w:val="Heading2"/>
        <w:jc w:val="left"/>
      </w:pPr>
      <w:r>
        <w:t>5.7 Columnas completamente vacías o con datos sin diccionario</w:t>
      </w:r>
    </w:p>
    <w:p>
      <w:r>
        <w:rPr>
          <w:b w:val="0"/>
          <w:i w:val="0"/>
          <w:sz w:val="22"/>
        </w:rPr>
        <w:t>Varias columnas relacionadas con recién nacidos están completamente vacías en los seis años de datos, sin ningún valor registrado. Otras columnas de la misma familia tienen conteos que son incoherentes entre sí, lo que indica que el sistema hospitalario de origen cargó los datos con las columnas desplazadas en algunos años.</w:t>
      </w:r>
    </w:p>
    <w:p>
      <w:r>
        <w:rPr>
          <w:b w:val="0"/>
          <w:i w:val="0"/>
          <w:sz w:val="22"/>
        </w:rPr>
        <w:t>Además, se encontró una columna con valores cuya semántica es desconocida: registra números como '10' que no corresponden a ningún código documentado en los manuales clínicos disponibles. Incluir en el modelo una variable cuyo significado es incierto introduciría ruido sin ningún beneficio analítico.</w:t>
      </w:r>
    </w:p>
    <w:p>
      <w:r>
        <w:rPr>
          <w:b w:val="0"/>
          <w:i w:val="0"/>
          <w:sz w:val="22"/>
        </w:rPr>
        <w:t>Todas estas columnas serán ignoradas desde la primera etapa del procesamiento. No se realizará ningún intento de imputar o inferir valores para ellas.</w:t>
      </w:r>
    </w:p>
    <w:p>
      <w:pPr>
        <w:pStyle w:val="Heading2"/>
        <w:jc w:val="left"/>
      </w:pPr>
      <w:r>
        <w:t>5.8 Dato de identificación personal en columna de fecha</w:t>
      </w:r>
    </w:p>
    <w:p>
      <w:r>
        <w:rPr>
          <w:b w:val="0"/>
          <w:i w:val="0"/>
          <w:sz w:val="22"/>
        </w:rPr>
        <w:t>Durante el análisis se detectó que una columna declarada como fecha de procedimiento contiene 9 valores con estructura de identificador nacional (RUT chileno) en lugar de una fecha. Este es un error de carga del sistema hospitalario de origen.</w:t>
      </w:r>
    </w:p>
    <w:p>
      <w:r>
        <w:rPr>
          <w:b w:val="0"/>
          <w:i w:val="0"/>
          <w:sz w:val="22"/>
        </w:rPr>
        <w:t>El tratamiento es el siguiente: el código detecta estos valores de forma automática, los aísla en cuarentena sin escribirlos en ningún archivo de registro, y documenta únicamente la cantidad de valores sospechosos y en qué columna se encontraron. El valor real nunca queda registrado en ningún archivo del sistema. Esta columna completa queda descartada del procesamiento.</w:t>
      </w:r>
    </w:p>
    <w:p>
      <w:pPr>
        <w:pStyle w:val="Heading2"/>
        <w:jc w:val="left"/>
      </w:pPr>
      <w:r>
        <w:t>5.9 Principio general de tratamiento de errores</w:t>
      </w:r>
    </w:p>
    <w:p>
      <w:r>
        <w:rPr>
          <w:b w:val="0"/>
          <w:i w:val="0"/>
          <w:sz w:val="22"/>
        </w:rPr>
        <w:t>El sistema no imputa ni estima valores para los datos faltantes o erróneos. La decisión metodológica es conservadora: si un valor es incorrecto o desconocido, se anula y se documenta, pero no se reemplaza por un promedio ni por ningún otro valor estimado. Esto garantiza que el modelo aprenda únicamente de datos reales y que cualquier valor presente en el conjunto de entrenamiento sea auténtico.</w:t>
      </w:r>
    </w:p>
    <w:p>
      <w:pPr>
        <w:pStyle w:val="Heading1"/>
        <w:jc w:val="left"/>
      </w:pPr>
      <w:r>
        <w:rPr>
          <w:color w:val="1B5E20"/>
        </w:rPr>
        <w:t>6. Otros problemas de calidad identificados</w:t>
      </w:r>
    </w:p>
    <w:p>
      <w:pPr>
        <w:pStyle w:val="Heading2"/>
        <w:jc w:val="left"/>
      </w:pPr>
      <w:r>
        <w:t>6.1 Desajuste en columnas que deberían ser pares</w:t>
      </w:r>
    </w:p>
    <w:p>
      <w:r>
        <w:rPr>
          <w:b w:val="0"/>
          <w:i w:val="0"/>
          <w:sz w:val="22"/>
        </w:rPr>
        <w:t>Las columnas de traslados internos vienen en pares: una columna de fecha y una columna de servicio. El análisis muestra que en varios de estos pares los conteos de valores no nulos difieren entre la fecha y el servicio correspondiente. Esto indica errores de carga en el sistema hospitalario de origen. Estas columnas se usan únicamente para identificar si un episodio fue censurado (el paciente fue trasladado) y no como variables predictoras.</w:t>
      </w:r>
    </w:p>
    <w:p>
      <w:pPr>
        <w:pStyle w:val="Heading2"/>
        <w:jc w:val="left"/>
      </w:pPr>
      <w:r>
        <w:t>6.2 Columna renombrada entre años</w:t>
      </w:r>
    </w:p>
    <w:p>
      <w:r>
        <w:rPr>
          <w:b w:val="0"/>
          <w:i w:val="0"/>
          <w:sz w:val="22"/>
        </w:rPr>
        <w:t>El identificador encriptado del paciente se llamaba de una forma en los datos del año 2019 y fue renombrado en los años siguientes. El código detecta automáticamente ambos nombres y los unifica bajo un nombre estándar. Sin este paso, el sistema no podría cruzar episodios del año 2019 con los de años posteriores para calcular el historial de hospitalizaciones del paciente.</w:t>
      </w:r>
    </w:p>
    <w:p>
      <w:pPr>
        <w:pStyle w:val="Heading1"/>
        <w:jc w:val="left"/>
      </w:pPr>
      <w:r>
        <w:rPr>
          <w:color w:val="1B5E20"/>
        </w:rPr>
        <w:t>7. El problema de los traslados entre hospitales</w:t>
      </w:r>
    </w:p>
    <w:p>
      <w:r>
        <w:rPr>
          <w:b w:val="0"/>
          <w:i w:val="0"/>
          <w:sz w:val="22"/>
        </w:rPr>
        <w:t>Cuando un paciente es trasladado de un hospital a otro, aparece en los datos como dos registros separados: uno en el hospital de origen y otro en el de destino. El registro del hospital de origen no dice si el paciente finalmente falleció o sobrevivió; solo registra que fue trasladado.</w:t>
      </w:r>
    </w:p>
    <w:p>
      <w:r>
        <w:rPr>
          <w:b w:val="0"/>
          <w:i w:val="0"/>
          <w:sz w:val="22"/>
        </w:rPr>
        <w:t>Para el modelo de mortalidad: estos casos se marcan como desenlace desconocido y se excluyen del entrenamiento. Clasificarlos como sobrevivientes cuando se desconoce el resultado introduciría un error sistemático. En los datos hay aproximadamente 89.000 casos con esta condición.</w:t>
      </w:r>
    </w:p>
    <w:p>
      <w:r>
        <w:rPr>
          <w:b w:val="0"/>
          <w:i w:val="0"/>
          <w:sz w:val="22"/>
        </w:rPr>
        <w:t>Para el modelo de estadía: cuando un paciente pasa por dos hospitales, cada registro tiene solo los días correspondientes a ese centro. El total de días reales es la suma de ambos períodos. El código identifica y encadena estos episodios usando el identificador encriptado del paciente.</w:t>
      </w:r>
    </w:p>
    <w:p>
      <w:r>
        <w:rPr>
          <w:b w:val="0"/>
          <w:i w:val="0"/>
          <w:sz w:val="22"/>
        </w:rPr>
        <w:t>Existe un fenómeno documentado en sistemas de salud donde algunos hospitales trasladan pacientes en estado terminal para que la muerte no quede registrada en sus estadísticas. Esta práctica distorsiona cualquier indicador de mortalidad y no puede corregirse computacionalmente con los datos disponibles. Se reconoce como una limitación explícita del sistema.</w:t>
      </w:r>
    </w:p>
    <w:p>
      <w:pPr>
        <w:pStyle w:val="Heading1"/>
        <w:jc w:val="left"/>
      </w:pPr>
      <w:r>
        <w:rPr>
          <w:color w:val="1B5E20"/>
        </w:rPr>
        <w:t>8. Representación del diagnóstico principal en dos niveles</w:t>
      </w:r>
    </w:p>
    <w:p>
      <w:r>
        <w:rPr>
          <w:b w:val="0"/>
          <w:i w:val="0"/>
          <w:sz w:val="22"/>
        </w:rPr>
        <w:t>El diagnóstico principal tiene más de 9.500 códigos distintos en los datos. Usar ese código directamente en el modelo causaría que muchas categorías tuvieran tan pocos pacientes que el modelo no aprendería nada confiable de ellos.</w:t>
      </w:r>
    </w:p>
    <w:p>
      <w:r>
        <w:rPr>
          <w:b w:val="0"/>
          <w:i w:val="0"/>
          <w:sz w:val="22"/>
        </w:rPr>
        <w:t>Para resolver esto, el diagnóstico principal se representará en dos niveles de detalle simultáneamente:</w:t>
      </w:r>
    </w:p>
    <w:p>
      <w:pPr>
        <w:pStyle w:val="ListBullet"/>
        <w:ind w:left="283"/>
      </w:pPr>
      <w:r>
        <w:rPr>
          <w:b/>
          <w:sz w:val="22"/>
        </w:rPr>
        <w:t xml:space="preserve">Nivel grueso: </w:t>
      </w:r>
      <w:r>
        <w:rPr>
          <w:sz w:val="22"/>
        </w:rPr>
        <w:t>Primera letra del código CIE-10. Agrupa los diagnósticos en aproximadamente 22 categorías amplias. Proporciona estabilidad estadística y es comparable con estándares internacionales.</w:t>
      </w:r>
    </w:p>
    <w:p>
      <w:pPr>
        <w:pStyle w:val="ListBullet"/>
        <w:ind w:left="283"/>
      </w:pPr>
      <w:r>
        <w:rPr>
          <w:b/>
          <w:sz w:val="22"/>
        </w:rPr>
        <w:t xml:space="preserve">Nivel fino: </w:t>
      </w:r>
      <w:r>
        <w:rPr>
          <w:sz w:val="22"/>
        </w:rPr>
        <w:t>Primeros 3 caracteres del código CIE-10. Agrupa los diagnósticos en aproximadamente 1.400 categorías más específicas. Captura señal clínica específica sin llegar al nivel de detalle que causaría sobreajuste.</w:t>
      </w:r>
    </w:p>
    <w:p>
      <w:pPr>
        <w:pStyle w:val="Heading1"/>
        <w:jc w:val="left"/>
      </w:pPr>
      <w:r>
        <w:rPr>
          <w:color w:val="1B5E20"/>
        </w:rPr>
        <w:t>9. Variables de historial del paciente</w:t>
      </w:r>
    </w:p>
    <w:p>
      <w:r>
        <w:rPr>
          <w:b w:val="0"/>
          <w:i w:val="0"/>
          <w:sz w:val="22"/>
        </w:rPr>
        <w:t>Un paciente que ha sido hospitalizado múltiples veces en el último año tiene una carga de enfermedad mayor que uno sin hospitalizaciones previas, incluso si los diagnósticos actuales son similares. Para capturar esto se construirán tres variables usando el identificador encriptado del paciente:</w:t>
      </w:r>
    </w:p>
    <w:p>
      <w:pPr>
        <w:pStyle w:val="ListBullet"/>
        <w:ind w:left="283"/>
      </w:pPr>
      <w:r>
        <w:rPr>
          <w:b/>
          <w:sz w:val="22"/>
        </w:rPr>
        <w:t xml:space="preserve">Egresos en los últimos 12 meses: </w:t>
      </w:r>
      <w:r>
        <w:rPr>
          <w:sz w:val="22"/>
        </w:rPr>
        <w:t>Número de veces que el paciente fue hospitalizado en los 12 meses anteriores al ingreso actual.</w:t>
      </w:r>
    </w:p>
    <w:p>
      <w:pPr>
        <w:pStyle w:val="ListBullet"/>
        <w:ind w:left="283"/>
      </w:pPr>
      <w:r>
        <w:rPr>
          <w:b/>
          <w:sz w:val="22"/>
        </w:rPr>
        <w:t xml:space="preserve">Días desde el último egreso: </w:t>
      </w:r>
      <w:r>
        <w:rPr>
          <w:sz w:val="22"/>
        </w:rPr>
        <w:t>Días transcurridos desde el último egreso hospitalario.</w:t>
      </w:r>
    </w:p>
    <w:p>
      <w:pPr>
        <w:pStyle w:val="ListBullet"/>
        <w:ind w:left="283"/>
      </w:pPr>
      <w:r>
        <w:rPr>
          <w:b/>
          <w:sz w:val="22"/>
        </w:rPr>
        <w:t xml:space="preserve">Historia completa disponible: </w:t>
      </w:r>
      <w:r>
        <w:rPr>
          <w:sz w:val="22"/>
        </w:rPr>
        <w:t>Indica si se dispone de 12 meses completos de historia del paciente. Es necesaria porque los datos comienzan en 2019; un paciente que ingresa en enero de ese año aparecería con cero hospitalizaciones previas simplemente porque no hay datos de 2018, no porque sea un paciente sano.</w:t>
      </w:r>
    </w:p>
    <w:p>
      <w:pPr>
        <w:pStyle w:val="Heading1"/>
        <w:jc w:val="left"/>
      </w:pPr>
      <w:r>
        <w:rPr>
          <w:color w:val="1B5E20"/>
        </w:rPr>
        <w:t>10. Variables excluidas del modelo principal</w:t>
      </w:r>
    </w:p>
    <w:p>
      <w:pPr>
        <w:pStyle w:val="ListBullet"/>
        <w:ind w:left="283"/>
      </w:pPr>
      <w:r>
        <w:rPr>
          <w:b/>
          <w:sz w:val="22"/>
        </w:rPr>
        <w:t xml:space="preserve">Variables socioeconómicas y territoriales: </w:t>
      </w:r>
      <w:r>
        <w:rPr>
          <w:sz w:val="22"/>
        </w:rPr>
        <w:t>Etnia, previsión FONASA, nacionalidad, comuna y nivel de privación comunal. En Chile, el territorio y el hospital están tan relacionados geográficamente que incluir la comuna en el modelo equivale a incluir el código del hospital indirectamente, lo cual anularía la evaluación objetiva.</w:t>
      </w:r>
    </w:p>
    <w:p>
      <w:pPr>
        <w:pStyle w:val="ListBullet"/>
        <w:ind w:left="283"/>
      </w:pPr>
      <w:r>
        <w:rPr>
          <w:b/>
          <w:sz w:val="22"/>
        </w:rPr>
        <w:t xml:space="preserve">Severidad y peso del GRD: </w:t>
      </w:r>
      <w:r>
        <w:rPr>
          <w:sz w:val="22"/>
        </w:rPr>
        <w:t>La severidad y el peso del GRD son resultados calculados por el sistema administrativo usando diagnósticos y procedimientos al alta. Usarlos como predictores sería copiar la lógica del sistema GRD existente.</w:t>
      </w:r>
    </w:p>
    <w:p>
      <w:pPr>
        <w:pStyle w:val="Heading1"/>
        <w:jc w:val="left"/>
      </w:pPr>
      <w:r>
        <w:rPr>
          <w:color w:val="1B5E20"/>
        </w:rPr>
        <w:t>11. Pacientes excluidos del análisis y justificación</w:t>
      </w:r>
    </w:p>
    <w:p>
      <w:r>
        <w:rPr>
          <w:b w:val="0"/>
          <w:i w:val="0"/>
          <w:sz w:val="22"/>
        </w:rPr>
        <w:t>El sistema de evaluación del desempeño hospitalario requiere que todos los episodios analizados sean comparables entre sí. Un modelo entrenado con tipos de hospitalizaciones fundamentalmente distintos produciría predicciones incorrectas que contaminarían el indicador O/E para todos los hospitales. Por eso se aplica una cascada ordenada de exclusiones, registrando matemáticamente cuántos pacientes salen en cada paso.</w:t>
      </w:r>
    </w:p>
    <w:p>
      <w:r>
        <w:rPr>
          <w:b w:val="0"/>
          <w:i w:val="0"/>
          <w:sz w:val="22"/>
        </w:rPr>
        <w:t>La siguiente tabla detalla cada exclusión, su volumen estimado y la justificación clínica y metodológica que la sustenta: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B5E20"/>
          </w:tcPr>
          <w:p>
            <w:pPr>
              <w:jc w:val="center"/>
            </w:pPr>
            <w:r/>
            <w:r>
              <w:rPr>
                <w:b/>
                <w:color w:val="FFFFFF"/>
                <w:sz w:val="20"/>
              </w:rPr>
              <w:t>Exclusión</w:t>
            </w:r>
          </w:p>
        </w:tc>
        <w:tc>
          <w:tcPr>
            <w:tcW w:type="dxa" w:w="3041"/>
            <w:shd w:val="clear" w:color="auto" w:fill="1B5E20"/>
          </w:tcPr>
          <w:p>
            <w:pPr>
              <w:jc w:val="center"/>
            </w:pPr>
            <w:r/>
            <w:r>
              <w:rPr>
                <w:b/>
                <w:color w:val="FFFFFF"/>
                <w:sz w:val="20"/>
              </w:rPr>
              <w:t>Volumen aprox.</w:t>
            </w:r>
          </w:p>
        </w:tc>
        <w:tc>
          <w:tcPr>
            <w:tcW w:type="dxa" w:w="3041"/>
            <w:shd w:val="clear" w:color="auto" w:fill="1B5E20"/>
          </w:tcPr>
          <w:p>
            <w:pPr>
              <w:jc w:val="center"/>
            </w:pPr>
            <w:r/>
            <w:r>
              <w:rPr>
                <w:b/>
                <w:color w:val="FFFFFF"/>
                <w:sz w:val="20"/>
              </w:rPr>
              <w:t>Justificación clínica y metodológica</w:t>
            </w:r>
          </w:p>
        </w:tc>
      </w:tr>
      <w:tr>
        <w:tc>
          <w:tcPr>
            <w:tcW w:type="dxa" w:w="3041"/>
          </w:tcPr>
          <w:p>
            <w:r/>
            <w:r>
              <w:rPr>
                <w:b/>
                <w:sz w:val="20"/>
              </w:rPr>
              <w:t>GRD no agrupable</w:t>
              <w:br/>
              <w:t>(EX01)</w:t>
            </w:r>
          </w:p>
        </w:tc>
        <w:tc>
          <w:tcPr>
            <w:tcW w:type="dxa" w:w="3041"/>
          </w:tcPr>
          <w:p>
            <w:r/>
            <w:r>
              <w:rPr>
                <w:sz w:val="20"/>
              </w:rPr>
              <w:t>~75 casos</w:t>
            </w:r>
          </w:p>
        </w:tc>
        <w:tc>
          <w:tcPr>
            <w:tcW w:type="dxa" w:w="3041"/>
          </w:tcPr>
          <w:p>
            <w:r/>
            <w:r>
              <w:rPr>
                <w:sz w:val="20"/>
              </w:rPr>
              <w:t>El sistema de clasificación no pudo asignar el episodio a ningún grupo. Sin una clasificación, es imposible identificar si corresponde a recién nacido o a episodio obstétrico, lo que hace inviable aplicar los criterios de cohorte correctamente. Incluir estos casos significaría analizar episodios de naturaleza desconocida que el modelo no puede interpretar.</w:t>
            </w:r>
          </w:p>
        </w:tc>
      </w:tr>
      <w:tr>
        <w:tc>
          <w:tcPr>
            <w:tcW w:type="dxa" w:w="3041"/>
            <w:shd w:val="clear" w:color="auto" w:fill="F1F8E9"/>
          </w:tcPr>
          <w:p>
            <w:r/>
            <w:r>
              <w:rPr>
                <w:b/>
                <w:sz w:val="20"/>
              </w:rPr>
              <w:t>Recién nacidos sanos</w:t>
              <w:br/>
              <w:t>(EX02 — MDC 15)</w:t>
            </w:r>
          </w:p>
        </w:tc>
        <w:tc>
          <w:tcPr>
            <w:tcW w:type="dxa" w:w="3041"/>
            <w:shd w:val="clear" w:color="auto" w:fill="F1F8E9"/>
          </w:tcPr>
          <w:p>
            <w:r/>
            <w:r>
              <w:rPr>
                <w:sz w:val="20"/>
              </w:rPr>
              <w:t>~7.760 casos</w:t>
            </w:r>
          </w:p>
        </w:tc>
        <w:tc>
          <w:tcPr>
            <w:tcW w:type="dxa" w:w="3041"/>
            <w:shd w:val="clear" w:color="auto" w:fill="F1F8E9"/>
          </w:tcPr>
          <w:p>
            <w:r/>
            <w:r>
              <w:rPr>
                <w:sz w:val="20"/>
              </w:rPr>
              <w:t>Un recién nacido sano no es un caso clínico en el sentido del modelo: su hospitalización ocurre porque su madre acaba de dar a luz, no porque él tenga una enfermedad que tratar. Sus días de estadía corresponden al período de observación post-parto y su 'riesgo de mortalidad' no tiene relación con ninguna enfermedad previa. Incluir estos registros haría que el modelo aprendiera patrones que no tienen aplicación clínica y distorsionaría los indicadores de mortalidad de los hospitales con mayor actividad obstétrica.</w:t>
            </w:r>
          </w:p>
        </w:tc>
      </w:tr>
      <w:tr>
        <w:tc>
          <w:tcPr>
            <w:tcW w:type="dxa" w:w="3041"/>
          </w:tcPr>
          <w:p>
            <w:r/>
            <w:r>
              <w:rPr>
                <w:b/>
                <w:sz w:val="20"/>
              </w:rPr>
              <w:t>Episodios obstétricos sin complicación</w:t>
              <w:br/>
              <w:t>(EX03 — MDC 14)</w:t>
            </w:r>
          </w:p>
        </w:tc>
        <w:tc>
          <w:tcPr>
            <w:tcW w:type="dxa" w:w="3041"/>
          </w:tcPr>
          <w:p>
            <w:r/>
            <w:r>
              <w:rPr>
                <w:sz w:val="20"/>
              </w:rPr>
              <w:t>~22.303 casos</w:t>
            </w:r>
          </w:p>
        </w:tc>
        <w:tc>
          <w:tcPr>
            <w:tcW w:type="dxa" w:w="3041"/>
          </w:tcPr>
          <w:p>
            <w:r/>
            <w:r>
              <w:rPr>
                <w:sz w:val="20"/>
              </w:rPr>
              <w:t>Un parto normal sin complicaciones no es una hospitalización aguda por enfermedad: la paciente llega en buen estado de salud y sale en buen estado. El riesgo de mortalidad en estos episodios es prácticamente nulo y la estadía responde a protocolos de maternidad, no a complejidad clínica. Si estos casos se incluyeran, el modelo aprendería que los perfiles de bajo riesgo tienen estadías de 2 o 3 días, sesgando su predicción hacia abajo para el resto de los pacientes. Los hospitales con alta actividad de maternidad resultarían artificialmente beneficiados en el indicador O/E.</w:t>
            </w:r>
          </w:p>
        </w:tc>
      </w:tr>
      <w:tr>
        <w:tc>
          <w:tcPr>
            <w:tcW w:type="dxa" w:w="3041"/>
            <w:shd w:val="clear" w:color="auto" w:fill="F1F8E9"/>
          </w:tcPr>
          <w:p>
            <w:r/>
            <w:r>
              <w:rPr>
                <w:b/>
                <w:sz w:val="20"/>
              </w:rPr>
              <w:t>Estadías de 0 días</w:t>
              <w:br/>
              <w:t>(solo para el modelo de estadía)</w:t>
            </w:r>
          </w:p>
        </w:tc>
        <w:tc>
          <w:tcPr>
            <w:tcW w:type="dxa" w:w="3041"/>
            <w:shd w:val="clear" w:color="auto" w:fill="F1F8E9"/>
          </w:tcPr>
          <w:p>
            <w:r/>
            <w:r>
              <w:rPr>
                <w:sz w:val="20"/>
              </w:rPr>
              <w:t>Variable por año</w:t>
            </w:r>
          </w:p>
        </w:tc>
        <w:tc>
          <w:tcPr>
            <w:tcW w:type="dxa" w:w="3041"/>
            <w:shd w:val="clear" w:color="auto" w:fill="F1F8E9"/>
          </w:tcPr>
          <w:p>
            <w:r/>
            <w:r>
              <w:rPr>
                <w:sz w:val="20"/>
              </w:rPr>
              <w:t>Un episodio con ingreso y alta el mismo día corresponde a una cirugía ambulatoria: el paciente llega, es operado y regresa a su domicilio sin pernoctar. El objetivo del modelo de estadía es predecir cuántos días requiere una hospitalización, por definición mayor a cero días. Si se incluyeran estos casos, el modelo aprendería que algunos perfiles clínicos tienen estadías de cero días, lo que inflaría artificialmente el denominador del indicador O/E de estadía en hospitales con mayor actividad ambulatoria. Estos episodios se conservan en los datos y se incluyen en el modelo de mortalidad.</w:t>
            </w:r>
          </w:p>
        </w:tc>
      </w:tr>
      <w:tr>
        <w:tc>
          <w:tcPr>
            <w:tcW w:type="dxa" w:w="3041"/>
          </w:tcPr>
          <w:p>
            <w:r/>
            <w:r>
              <w:rPr>
                <w:b/>
                <w:sz w:val="20"/>
              </w:rPr>
              <w:t>Traslados externos</w:t>
              <w:br/>
              <w:t>(del target de mortalidad)</w:t>
            </w:r>
          </w:p>
        </w:tc>
        <w:tc>
          <w:tcPr>
            <w:tcW w:type="dxa" w:w="3041"/>
          </w:tcPr>
          <w:p>
            <w:r/>
            <w:r>
              <w:rPr>
                <w:sz w:val="20"/>
              </w:rPr>
              <w:t>~89.000 casos</w:t>
            </w:r>
          </w:p>
        </w:tc>
        <w:tc>
          <w:tcPr>
            <w:tcW w:type="dxa" w:w="3041"/>
          </w:tcPr>
          <w:p>
            <w:r/>
            <w:r>
              <w:rPr>
                <w:sz w:val="20"/>
              </w:rPr>
              <w:t>Cuando un paciente es trasladado a otro hospital, el registro del establecimiento emisor no contiene el desenlace final: no se sabe si el paciente falleció o sobrevivió en el hospital receptor. Clasificarlos como 'sobreviviente' porque no aparecen como fallecidos en el registro del hospital emisor sería un error sistemático grave: subestimaría la mortalidad real de los hospitales que trasladan más pacientes graves. Estos episodios se marcan como desenlace desconocido y se excluyen del entrenamiento de mortalidad, pero se conservan para el análisis de estadía.</w:t>
            </w:r>
          </w:p>
        </w:tc>
      </w:tr>
    </w:tbl>
    <w:p/>
    <w:p>
      <w:r>
        <w:rPr>
          <w:b w:val="0"/>
          <w:i w:val="0"/>
          <w:sz w:val="22"/>
        </w:rPr>
        <w:t>Al finalizar la cascada de exclusiones, el código genera un reporte que muestra cuántos episodios entraron, cuántos fueron excluidos en cada paso y cuántos continúan al siguiente. Este reporte permite verificar que ningún paciente fue eliminado sin razón documentada.</w:t>
      </w:r>
    </w:p>
    <w:p>
      <w:pPr>
        <w:pStyle w:val="Heading1"/>
        <w:jc w:val="left"/>
      </w:pPr>
      <w:r>
        <w:rPr>
          <w:color w:val="1B5E20"/>
        </w:rPr>
        <w:t>12. Decisión sobre el modelo de estadía</w:t>
      </w:r>
    </w:p>
    <w:p>
      <w:r>
        <w:rPr>
          <w:b w:val="0"/>
          <w:i w:val="0"/>
          <w:sz w:val="22"/>
        </w:rPr>
        <w:t>El modelo de estadía se entrenará exclusivamente con pacientes que sobrevivieron. Los pacientes fallecidos tienen estadías cortas no porque la atención fuera eficiente, sino porque murieron antes. Si se incluyeran en el entrenamiento, el modelo aprendería que los pacientes graves tienen estadías cortas, lo que distorsionaría completamente el denominador del indicador O/E de estadía.</w:t>
      </w:r>
    </w:p>
    <w:p>
      <w:r>
        <w:rPr>
          <w:b w:val="0"/>
          <w:i w:val="0"/>
          <w:sz w:val="22"/>
        </w:rPr>
        <w:t>Los días de estadía de los pacientes fallecidos se reportarán como estadística descriptiva independiente, ya que sigue siendo clínicamente relevante, pero no formarán parte del indicador O/E.</w:t>
      </w:r>
    </w:p>
    <w:p>
      <w:r>
        <w:br w:type="page"/>
      </w:r>
    </w:p>
    <w:p>
      <w:pPr>
        <w:pStyle w:val="Heading1"/>
        <w:jc w:val="left"/>
      </w:pPr>
      <w:r>
        <w:rPr>
          <w:color w:val="C62828"/>
        </w:rPr>
        <w:t>13. Propuestas que requieren aprobación del profesor guía</w:t>
      </w:r>
    </w:p>
    <w:p>
      <w:r>
        <w:rPr>
          <w:b w:val="0"/>
          <w:i w:val="0"/>
          <w:sz w:val="22"/>
        </w:rPr>
        <w:t>Las siguientes decisiones están pendientes de validación del profesor guía.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C62828"/>
          </w:tcPr>
          <w:p>
            <w:pPr>
              <w:jc w:val="center"/>
            </w:pPr>
            <w:r/>
            <w:r>
              <w:rPr>
                <w:b/>
                <w:color w:val="FFFFFF"/>
                <w:sz w:val="20"/>
              </w:rPr>
              <w:t>Propuesta</w:t>
            </w:r>
          </w:p>
        </w:tc>
        <w:tc>
          <w:tcPr>
            <w:tcW w:type="dxa" w:w="3041"/>
            <w:shd w:val="clear" w:color="auto" w:fill="C62828"/>
          </w:tcPr>
          <w:p>
            <w:pPr>
              <w:jc w:val="center"/>
            </w:pPr>
            <w:r/>
            <w:r>
              <w:rPr>
                <w:b/>
                <w:color w:val="FFFFFF"/>
                <w:sz w:val="20"/>
              </w:rPr>
              <w:t>Descripción</w:t>
            </w:r>
          </w:p>
        </w:tc>
        <w:tc>
          <w:tcPr>
            <w:tcW w:type="dxa" w:w="3041"/>
            <w:shd w:val="clear" w:color="auto" w:fill="C62828"/>
          </w:tcPr>
          <w:p>
            <w:pPr>
              <w:jc w:val="center"/>
            </w:pPr>
            <w:r/>
            <w:r>
              <w:rPr>
                <w:b/>
                <w:color w:val="FFFFFF"/>
                <w:sz w:val="20"/>
              </w:rPr>
              <w:t>Resolución del profesor</w:t>
            </w:r>
          </w:p>
        </w:tc>
      </w:tr>
      <w:tr>
        <w:tc>
          <w:tcPr>
            <w:tcW w:type="dxa" w:w="3041"/>
          </w:tcPr>
          <w:p>
            <w:r/>
            <w:r>
              <w:rPr>
                <w:sz w:val="20"/>
              </w:rPr>
              <w:t>Análisis de equidad posterior</w:t>
            </w:r>
          </w:p>
        </w:tc>
        <w:tc>
          <w:tcPr>
            <w:tcW w:type="dxa" w:w="3041"/>
          </w:tcPr>
          <w:p>
            <w:r/>
            <w:r>
              <w:rPr>
                <w:sz w:val="20"/>
              </w:rPr>
              <w:t>Se propone reservar las variables de etnia, previsión, nacionalidad y nivel de privación comunal para un análisis separado que verifique si el indicador O/E varía sistemáticamente según características socioeconómicas de los pacientes. Este análisis sería un capítulo adicional del informe final, no parte del modelo principal.</w:t>
            </w:r>
          </w:p>
        </w:tc>
        <w:tc>
          <w:tcPr>
            <w:tcW w:type="dxa" w:w="3041"/>
          </w:tcPr>
          <w:p>
            <w:r/>
            <w:r>
              <w:rPr>
                <w:sz w:val="20"/>
              </w:rPr>
              <w:t>Aprobado / Rechazado / Pendiente</w:t>
            </w:r>
          </w:p>
        </w:tc>
      </w:tr>
      <w:tr>
        <w:tc>
          <w:tcPr>
            <w:tcW w:type="dxa" w:w="3041"/>
            <w:shd w:val="clear" w:color="auto" w:fill="F1F8E9"/>
          </w:tcPr>
          <w:p>
            <w:r/>
            <w:r>
              <w:rPr>
                <w:sz w:val="20"/>
              </w:rPr>
              <w:t>Exclusión de ETNIA del análisis</w:t>
            </w:r>
          </w:p>
        </w:tc>
        <w:tc>
          <w:tcPr>
            <w:tcW w:type="dxa" w:w="3041"/>
            <w:shd w:val="clear" w:color="auto" w:fill="F1F8E9"/>
          </w:tcPr>
          <w:p>
            <w:r/>
            <w:r>
              <w:rPr>
                <w:sz w:val="20"/>
              </w:rPr>
              <w:t>La variable de etnia NO se incluirá en el modelo ni en el análisis de equidad de esta tesis. Solo se documenta su existencia en los datos. Se propone esta exclusión por la complejidad metodológica que implicaría su interpretación correcta en el contexto del sistema de salud chileno.</w:t>
            </w:r>
          </w:p>
        </w:tc>
        <w:tc>
          <w:tcPr>
            <w:tcW w:type="dxa" w:w="3041"/>
            <w:shd w:val="clear" w:color="auto" w:fill="F1F8E9"/>
          </w:tcPr>
          <w:p>
            <w:r/>
            <w:r>
              <w:rPr>
                <w:sz w:val="20"/>
              </w:rPr>
              <w:t>Aprobado / Rechazado / Pendiente</w:t>
            </w:r>
          </w:p>
        </w:tc>
      </w:tr>
      <w:tr>
        <w:tc>
          <w:tcPr>
            <w:tcW w:type="dxa" w:w="3041"/>
          </w:tcPr>
          <w:p>
            <w:r/>
            <w:r>
              <w:rPr>
                <w:sz w:val="20"/>
              </w:rPr>
              <w:t>Seguimiento de traslados encadenados</w:t>
            </w:r>
          </w:p>
        </w:tc>
        <w:tc>
          <w:tcPr>
            <w:tcW w:type="dxa" w:w="3041"/>
          </w:tcPr>
          <w:p>
            <w:r/>
            <w:r>
              <w:rPr>
                <w:sz w:val="20"/>
              </w:rPr>
              <w:t>Para calcular la estadía real de pacientes trasladados entre hospitales, se propone encadenar los episodios del mismo paciente usando el identificador encriptado. Esto permite sumar los días de cada centro para obtener la estadía total del episodio.</w:t>
            </w:r>
          </w:p>
        </w:tc>
        <w:tc>
          <w:tcPr>
            <w:tcW w:type="dxa" w:w="3041"/>
          </w:tcPr>
          <w:p>
            <w:r/>
            <w:r>
              <w:rPr>
                <w:sz w:val="20"/>
              </w:rPr>
              <w:t>Aprobado / Rechazado / Pendiente</w:t>
            </w:r>
          </w:p>
        </w:tc>
      </w:tr>
      <w:tr>
        <w:tc>
          <w:tcPr>
            <w:tcW w:type="dxa" w:w="3041"/>
            <w:shd w:val="clear" w:color="auto" w:fill="F1F8E9"/>
          </w:tcPr>
          <w:p>
            <w:r/>
            <w:r>
              <w:rPr>
                <w:sz w:val="20"/>
              </w:rPr>
              <w:t>Variables condicionales de contexto institucional</w:t>
            </w:r>
          </w:p>
        </w:tc>
        <w:tc>
          <w:tcPr>
            <w:tcW w:type="dxa" w:w="3041"/>
            <w:shd w:val="clear" w:color="auto" w:fill="F1F8E9"/>
          </w:tcPr>
          <w:p>
            <w:r/>
            <w:r>
              <w:rPr>
                <w:sz w:val="20"/>
              </w:rPr>
              <w:t>Tres variables requieren verificación antes de incluirlas: el servicio de ingreso (UCI/UTI), la especialidad médica y si el paciente fue derivado. Si el análisis estadístico muestra que miden capacidad instalada del hospital más que riesgo del paciente, serán excluidas.</w:t>
            </w:r>
          </w:p>
        </w:tc>
        <w:tc>
          <w:tcPr>
            <w:tcW w:type="dxa" w:w="3041"/>
            <w:shd w:val="clear" w:color="auto" w:fill="F1F8E9"/>
          </w:tcPr>
          <w:p>
            <w:r/>
            <w:r>
              <w:rPr>
                <w:sz w:val="20"/>
              </w:rPr>
              <w:t>Aprobado / Rechazado / Pendiente</w:t>
            </w:r>
          </w:p>
        </w:tc>
      </w:tr>
      <w:tr>
        <w:tc>
          <w:tcPr>
            <w:tcW w:type="dxa" w:w="3041"/>
          </w:tcPr>
          <w:p>
            <w:r/>
            <w:r>
              <w:rPr>
                <w:sz w:val="20"/>
              </w:rPr>
              <w:t>Umbral mínimo de volumen por hospital</w:t>
            </w:r>
          </w:p>
        </w:tc>
        <w:tc>
          <w:tcPr>
            <w:tcW w:type="dxa" w:w="3041"/>
          </w:tcPr>
          <w:p>
            <w:r/>
            <w:r>
              <w:rPr>
                <w:sz w:val="20"/>
              </w:rPr>
              <w:t>Los hospitales con menos de un número mínimo de egresos en el año de prueba serán excluidos del indicador O/E por inestabilidad estadística. Se propone definir ese umbral durante el análisis de los datos completos.</w:t>
            </w:r>
          </w:p>
        </w:tc>
        <w:tc>
          <w:tcPr>
            <w:tcW w:type="dxa" w:w="3041"/>
          </w:tcPr>
          <w:p>
            <w:r/>
            <w:r>
              <w:rPr>
                <w:sz w:val="20"/>
              </w:rPr>
              <w:t>Aprobado / Rechazado / Pendiente</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