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pPr>
        <w:pBdr/>
        <w:spacing/>
        <w:ind/>
        <w:jc w:val="center"/>
        <w:rPr/>
      </w:pPr>
      <w:r>
        <w:rPr>
          <w:b/>
          <w:sz w:val="26"/>
        </w:rPr>
        <w:t xml:space="preserve">UNIVERSIDAD DE SANTIAGO DE CHILE</w:t>
      </w:r>
      <w:r/>
    </w:p>
    <w:p>
      <w:pPr>
        <w:pBdr/>
        <w:spacing/>
        <w:ind/>
        <w:jc w:val="center"/>
        <w:rPr/>
      </w:pPr>
      <w:r>
        <w:rPr>
          <w:b w:val="0"/>
          <w:sz w:val="22"/>
        </w:rPr>
        <w:t xml:space="preserve">FACULTAD DE INGENIERÍA</w:t>
      </w:r>
      <w:r/>
    </w:p>
    <w:p>
      <w:pPr>
        <w:pBdr/>
        <w:spacing/>
        <w:ind/>
        <w:jc w:val="center"/>
        <w:rPr/>
      </w:pPr>
      <w:r>
        <w:rPr>
          <w:b w:val="0"/>
          <w:sz w:val="22"/>
        </w:rPr>
        <w:t xml:space="preserve">DEPARTAMENTO DE INGENIERÍA INFORMÁTICA</w:t>
      </w:r>
      <w:r/>
    </w:p>
    <w:p>
      <w:pPr>
        <w:pBdr/>
        <w:spacing/>
        <w:ind/>
        <w:rPr/>
      </w:pPr>
      <w:r/>
      <w:r/>
    </w:p>
    <w:p>
      <w:pPr>
        <w:pBdr/>
        <w:spacing/>
        <w:ind/>
        <w:jc w:val="center"/>
        <w:rPr/>
      </w:pPr>
      <w:r>
        <w:rPr>
          <w:b/>
          <w:color w:val="1b5e20"/>
          <w:sz w:val="34"/>
        </w:rPr>
        <w:t xml:space="preserve">INFORME TÉCNICO — FASE 2</w:t>
        <w:br/>
        <w:t xml:space="preserve">COMPRENSIÓN DE LOS DATOS</w:t>
      </w:r>
      <w:r/>
    </w:p>
    <w:p>
      <w:pPr>
        <w:pBdr/>
        <w:spacing/>
        <w:ind/>
        <w:rPr/>
      </w:pPr>
      <w:r/>
      <w:r/>
    </w:p>
    <w:p>
      <w:pPr>
        <w:pBdr/>
        <w:spacing/>
        <w:ind/>
        <w:jc w:val="center"/>
        <w:rPr/>
      </w:pPr>
      <w:r>
        <w:rPr>
          <w:i/>
          <w:sz w:val="24"/>
        </w:rPr>
        <w:t xml:space="preserve">Proyecto de Tesis: Sistema de evaluación del desempeño hospitalario</w:t>
        <w:br/>
        <w:t xml:space="preserve">ajustado por riesgo mediante aprendizaje automático</w:t>
      </w:r>
      <w:r/>
    </w:p>
    <w:p>
      <w:pPr>
        <w:pBdr/>
        <w:spacing/>
        <w:ind/>
        <w:rPr/>
      </w:pPr>
      <w:r/>
      <w:r/>
    </w:p>
    <w:tbl>
      <w:tblPr>
        <w:tblStyle w:val="753"/>
        <w:tblW w:w="0" w:type="auto"/>
        <w:tblBorders/>
        <w:tblLook w:val="04A0" w:firstRow="1" w:lastRow="0" w:firstColumn="1" w:lastColumn="0" w:noHBand="0" w:noVBand="1"/>
      </w:tblPr>
      <w:tblGrid>
        <w:gridCol w:w="4561"/>
        <w:gridCol w:w="4561"/>
      </w:tblGrid>
      <w:tr>
        <w:trPr/>
        <w:tc>
          <w:tcPr>
            <w:shd w:val="clear" w:color="auto" w:fill="e8f5e9"/>
            <w:tcBorders/>
            <w:tcW w:w="4561" w:type="dxa"/>
          </w:tcPr>
          <w:p>
            <w:pPr>
              <w:pBdr/>
              <w:spacing/>
              <w:ind/>
              <w:rPr/>
            </w:pPr>
            <w:r>
              <w:rPr>
                <w:b/>
                <w:sz w:val="22"/>
              </w:rPr>
              <w:t xml:space="preserve">Estudiante</w:t>
            </w:r>
            <w:r/>
          </w:p>
        </w:tc>
        <w:tc>
          <w:tcPr>
            <w:tcBorders/>
            <w:tcW w:w="4561" w:type="dxa"/>
          </w:tcPr>
          <w:p>
            <w:pPr>
              <w:pBdr/>
              <w:spacing/>
              <w:ind/>
              <w:rPr/>
            </w:pPr>
            <w:r>
              <w:rPr>
                <w:sz w:val="22"/>
              </w:rPr>
              <w:t xml:space="preserve">Felipe Ignacio Baeza Muñoz</w:t>
            </w:r>
            <w:r/>
          </w:p>
        </w:tc>
      </w:tr>
      <w:tr>
        <w:trPr/>
        <w:tc>
          <w:tcPr>
            <w:shd w:val="clear" w:color="auto" w:fill="e8f5e9"/>
            <w:tcBorders/>
            <w:tcW w:w="4561" w:type="dxa"/>
          </w:tcPr>
          <w:p>
            <w:pPr>
              <w:pBdr/>
              <w:spacing/>
              <w:ind/>
              <w:rPr/>
            </w:pPr>
            <w:r>
              <w:rPr>
                <w:b/>
                <w:sz w:val="22"/>
              </w:rPr>
              <w:t xml:space="preserve">Profesor guía</w:t>
            </w:r>
            <w:r/>
          </w:p>
        </w:tc>
        <w:tc>
          <w:tcPr>
            <w:tcBorders/>
            <w:tcW w:w="4561" w:type="dxa"/>
          </w:tcPr>
          <w:p>
            <w:pPr>
              <w:pBdr/>
              <w:spacing/>
              <w:ind/>
              <w:rPr/>
            </w:pPr>
            <w:r>
              <w:rPr>
                <w:sz w:val="22"/>
              </w:rPr>
              <w:t xml:space="preserve">Manuel Villalobos Cid</w:t>
            </w:r>
            <w:r/>
          </w:p>
        </w:tc>
      </w:tr>
      <w:tr>
        <w:trPr/>
        <w:tc>
          <w:tcPr>
            <w:shd w:val="clear" w:color="auto" w:fill="e8f5e9"/>
            <w:tcBorders/>
            <w:tcW w:w="4561" w:type="dxa"/>
          </w:tcPr>
          <w:p>
            <w:pPr>
              <w:pBdr/>
              <w:spacing/>
              <w:ind/>
              <w:rPr/>
            </w:pPr>
            <w:r>
              <w:rPr>
                <w:b/>
                <w:sz w:val="22"/>
              </w:rPr>
              <w:t xml:space="preserve">Carrera</w:t>
            </w:r>
            <w:r/>
          </w:p>
        </w:tc>
        <w:tc>
          <w:tcPr>
            <w:tcBorders/>
            <w:tcW w:w="4561" w:type="dxa"/>
          </w:tcPr>
          <w:p>
            <w:pPr>
              <w:pBdr/>
              <w:spacing/>
              <w:ind/>
              <w:rPr/>
            </w:pPr>
            <w:r>
              <w:rPr>
                <w:sz w:val="22"/>
              </w:rPr>
              <w:t xml:space="preserve">Ingeniería de Ejecución en Computación e Informática</w:t>
            </w:r>
            <w:r/>
          </w:p>
        </w:tc>
      </w:tr>
      <w:tr>
        <w:trPr/>
        <w:tc>
          <w:tcPr>
            <w:shd w:val="clear" w:color="auto" w:fill="e8f5e9"/>
            <w:tcBorders/>
            <w:tcW w:w="4561" w:type="dxa"/>
          </w:tcPr>
          <w:p>
            <w:pPr>
              <w:pBdr/>
              <w:spacing/>
              <w:ind/>
              <w:rPr/>
            </w:pPr>
            <w:r>
              <w:rPr>
                <w:b/>
                <w:sz w:val="22"/>
              </w:rPr>
              <w:t xml:space="preserve">Fecha</w:t>
            </w:r>
            <w:r/>
          </w:p>
        </w:tc>
        <w:tc>
          <w:tcPr>
            <w:tcBorders/>
            <w:tcW w:w="4561" w:type="dxa"/>
          </w:tcPr>
          <w:p>
            <w:pPr>
              <w:pBdr/>
              <w:spacing/>
              <w:ind/>
              <w:rPr/>
            </w:pPr>
            <w:r>
              <w:rPr>
                <w:sz w:val="22"/>
              </w:rPr>
              <w:t xml:space="preserve">Septiembre 2026</w:t>
            </w:r>
            <w:r/>
          </w:p>
        </w:tc>
      </w:tr>
    </w:tbl>
    <w:p>
      <w:pPr>
        <w:pBdr/>
        <w:spacing/>
        <w:ind/>
        <w:rPr/>
      </w:pPr>
      <w:r/>
      <w:r/>
    </w:p>
    <w:p>
      <w:pPr>
        <w:pBdr/>
        <w:spacing/>
        <w:ind/>
        <w:rPr/>
      </w:pPr>
      <w:r>
        <w:br w:type="page" w:clear="all"/>
      </w:r>
      <w:r/>
    </w:p>
    <w:p>
      <w:pPr>
        <w:pStyle w:val="693"/>
        <w:pBdr/>
        <w:spacing/>
        <w:ind/>
        <w:jc w:val="left"/>
        <w:rPr/>
      </w:pPr>
      <w:r>
        <w:rPr>
          <w:color w:val="1b5e20"/>
        </w:rPr>
        <w:t xml:space="preserve">1. Cómo se obtuvieron los datos y qué contienen</w:t>
      </w:r>
      <w:r/>
    </w:p>
    <w:p>
      <w:pPr>
        <w:pBdr/>
        <w:spacing/>
        <w:ind/>
        <w:rPr/>
      </w:pPr>
      <w:r>
        <w:rPr>
          <w:b w:val="0"/>
          <w:i w:val="0"/>
          <w:sz w:val="22"/>
        </w:rPr>
        <w:t xml:space="preserve">Los datos provienen de una solicitud formal a FONASA mediante</w:t>
      </w:r>
      <w:r>
        <w:rPr>
          <w:b w:val="0"/>
          <w:i w:val="0"/>
          <w:sz w:val="22"/>
        </w:rPr>
        <w:t xml:space="preserve"> la Ley 20.285 de Transparencia. Se recibieron seis archivos de texto plano separados por el carácter barra vertical (|), uno por cada año entre 2019 y 2024. Cada archivo contiene los registros de egresos hospitalarios de la red pública chilena de ese año.</w:t>
      </w:r>
      <w:r/>
    </w:p>
    <w:tbl>
      <w:tblPr>
        <w:tblStyle w:val="753"/>
        <w:tblW w:w="0" w:type="auto"/>
        <w:tblBorders/>
        <w:tblLook w:val="04A0" w:firstRow="1" w:lastRow="0" w:firstColumn="1" w:lastColumn="0" w:noHBand="0" w:noVBand="1"/>
      </w:tblPr>
      <w:tblGrid>
        <w:gridCol w:w="4561"/>
        <w:gridCol w:w="4561"/>
      </w:tblGrid>
      <w:tr>
        <w:trPr/>
        <w:tc>
          <w:tcPr>
            <w:shd w:val="clear" w:color="auto" w:fill="1b5e20"/>
            <w:tcBorders/>
            <w:tcW w:w="4561" w:type="dxa"/>
          </w:tcPr>
          <w:p>
            <w:pPr>
              <w:pBdr/>
              <w:spacing/>
              <w:ind/>
              <w:jc w:val="center"/>
              <w:rPr/>
            </w:pPr>
            <w:r>
              <w:rPr>
                <w:b/>
                <w:color w:val="ffffff"/>
                <w:sz w:val="20"/>
              </w:rPr>
              <w:t xml:space="preserve">Característica</w:t>
            </w:r>
            <w:r/>
          </w:p>
        </w:tc>
        <w:tc>
          <w:tcPr>
            <w:shd w:val="clear" w:color="auto" w:fill="1b5e20"/>
            <w:tcBorders/>
            <w:tcW w:w="4561" w:type="dxa"/>
          </w:tcPr>
          <w:p>
            <w:pPr>
              <w:pBdr/>
              <w:spacing/>
              <w:ind/>
              <w:jc w:val="center"/>
              <w:rPr/>
            </w:pPr>
            <w:r>
              <w:rPr>
                <w:b/>
                <w:color w:val="ffffff"/>
                <w:sz w:val="20"/>
              </w:rPr>
              <w:t xml:space="preserve">Detalle</w:t>
            </w:r>
            <w:r/>
          </w:p>
        </w:tc>
      </w:tr>
      <w:tr>
        <w:trPr/>
        <w:tc>
          <w:tcPr>
            <w:tcBorders/>
            <w:tcW w:w="4561" w:type="dxa"/>
          </w:tcPr>
          <w:p>
            <w:pPr>
              <w:pBdr/>
              <w:spacing/>
              <w:ind/>
              <w:rPr/>
            </w:pPr>
            <w:r>
              <w:rPr>
                <w:b/>
                <w:sz w:val="20"/>
              </w:rPr>
              <w:t xml:space="preserve">Fuente</w:t>
            </w:r>
            <w:r/>
          </w:p>
        </w:tc>
        <w:tc>
          <w:tcPr>
            <w:tcBorders/>
            <w:tcW w:w="4561" w:type="dxa"/>
          </w:tcPr>
          <w:p>
            <w:pPr>
              <w:pBdr/>
              <w:spacing/>
              <w:ind/>
              <w:rPr/>
            </w:pPr>
            <w:r>
              <w:rPr>
                <w:sz w:val="20"/>
              </w:rPr>
              <w:t xml:space="preserve">FONASA — Ley 20.285 de Transparencia</w:t>
            </w:r>
            <w:r/>
          </w:p>
        </w:tc>
      </w:tr>
      <w:tr>
        <w:trPr/>
        <w:tc>
          <w:tcPr>
            <w:shd w:val="clear" w:color="auto" w:fill="f1f8e9"/>
            <w:tcBorders/>
            <w:tcW w:w="4561" w:type="dxa"/>
          </w:tcPr>
          <w:p>
            <w:pPr>
              <w:pBdr/>
              <w:spacing/>
              <w:ind/>
              <w:rPr/>
            </w:pPr>
            <w:r>
              <w:rPr>
                <w:b/>
                <w:sz w:val="20"/>
              </w:rPr>
              <w:t xml:space="preserve">Período</w:t>
            </w:r>
            <w:r/>
          </w:p>
        </w:tc>
        <w:tc>
          <w:tcPr>
            <w:shd w:val="clear" w:color="auto" w:fill="f1f8e9"/>
            <w:tcBorders/>
            <w:tcW w:w="4561" w:type="dxa"/>
          </w:tcPr>
          <w:p>
            <w:pPr>
              <w:pBdr/>
              <w:spacing/>
              <w:ind/>
              <w:rPr/>
            </w:pPr>
            <w:r>
              <w:rPr>
                <w:sz w:val="20"/>
              </w:rPr>
              <w:t xml:space="preserve">Egresos hospitalarios 2019 – 2024</w:t>
            </w:r>
            <w:r/>
          </w:p>
        </w:tc>
      </w:tr>
      <w:tr>
        <w:trPr/>
        <w:tc>
          <w:tcPr>
            <w:tcBorders/>
            <w:tcW w:w="4561" w:type="dxa"/>
          </w:tcPr>
          <w:p>
            <w:pPr>
              <w:pBdr/>
              <w:spacing/>
              <w:ind/>
              <w:rPr/>
            </w:pPr>
            <w:r>
              <w:rPr>
                <w:b/>
                <w:sz w:val="20"/>
              </w:rPr>
              <w:t xml:space="preserve">Volumen total</w:t>
            </w:r>
            <w:r/>
          </w:p>
        </w:tc>
        <w:tc>
          <w:tcPr>
            <w:tcBorders/>
            <w:tcW w:w="4561" w:type="dxa"/>
          </w:tcPr>
          <w:p>
            <w:pPr>
              <w:pBdr/>
              <w:spacing/>
              <w:ind/>
              <w:rPr/>
            </w:pPr>
            <w:r>
              <w:rPr>
                <w:sz w:val="20"/>
              </w:rPr>
              <w:t xml:space="preserve">5.808.536 registros</w:t>
            </w:r>
            <w:r/>
          </w:p>
        </w:tc>
      </w:tr>
      <w:tr>
        <w:trPr/>
        <w:tc>
          <w:tcPr>
            <w:shd w:val="clear" w:color="auto" w:fill="f1f8e9"/>
            <w:tcBorders/>
            <w:tcW w:w="4561" w:type="dxa"/>
          </w:tcPr>
          <w:p>
            <w:pPr>
              <w:pBdr/>
              <w:spacing/>
              <w:ind/>
              <w:rPr/>
            </w:pPr>
            <w:r>
              <w:rPr>
                <w:b/>
                <w:sz w:val="20"/>
              </w:rPr>
              <w:t xml:space="preserve">Columnas</w:t>
            </w:r>
            <w:r/>
          </w:p>
        </w:tc>
        <w:tc>
          <w:tcPr>
            <w:shd w:val="clear" w:color="auto" w:fill="f1f8e9"/>
            <w:tcBorders/>
            <w:tcW w:w="4561" w:type="dxa"/>
          </w:tcPr>
          <w:p>
            <w:pPr>
              <w:pBdr/>
              <w:spacing/>
              <w:ind/>
              <w:rPr/>
            </w:pPr>
            <w:r>
              <w:rPr>
                <w:sz w:val="20"/>
              </w:rPr>
              <w:t xml:space="preserve">129 variables por registro</w:t>
            </w:r>
            <w:r/>
          </w:p>
        </w:tc>
      </w:tr>
      <w:tr>
        <w:trPr/>
        <w:tc>
          <w:tcPr>
            <w:tcBorders/>
            <w:tcW w:w="4561" w:type="dxa"/>
          </w:tcPr>
          <w:p>
            <w:pPr>
              <w:pBdr/>
              <w:spacing/>
              <w:ind/>
              <w:rPr/>
            </w:pPr>
            <w:r>
              <w:rPr>
                <w:b/>
                <w:sz w:val="20"/>
              </w:rPr>
              <w:t xml:space="preserve">Filas por año</w:t>
            </w:r>
            <w:r/>
          </w:p>
        </w:tc>
        <w:tc>
          <w:tcPr>
            <w:tcBorders/>
            <w:tcW w:w="4561" w:type="dxa"/>
          </w:tcPr>
          <w:p>
            <w:pPr>
              <w:pBdr/>
              <w:spacing/>
              <w:ind/>
              <w:rPr/>
            </w:pPr>
            <w:r>
              <w:rPr>
                <w:sz w:val="20"/>
              </w:rPr>
              <w:t xml:space="preserve">Aproximadamente 970.000</w:t>
            </w:r>
            <w:r/>
          </w:p>
        </w:tc>
      </w:tr>
      <w:tr>
        <w:trPr/>
        <w:tc>
          <w:tcPr>
            <w:shd w:val="clear" w:color="auto" w:fill="f1f8e9"/>
            <w:tcBorders/>
            <w:tcW w:w="4561" w:type="dxa"/>
          </w:tcPr>
          <w:p>
            <w:pPr>
              <w:pBdr/>
              <w:spacing/>
              <w:ind/>
              <w:rPr/>
            </w:pPr>
            <w:r>
              <w:rPr>
                <w:b/>
                <w:sz w:val="20"/>
              </w:rPr>
              <w:t xml:space="preserve">Formato de entrega</w:t>
            </w:r>
            <w:r/>
          </w:p>
        </w:tc>
        <w:tc>
          <w:tcPr>
            <w:shd w:val="clear" w:color="auto" w:fill="f1f8e9"/>
            <w:tcBorders/>
            <w:tcW w:w="4561" w:type="dxa"/>
          </w:tcPr>
          <w:p>
            <w:pPr>
              <w:pBdr/>
              <w:spacing/>
              <w:ind/>
              <w:rPr/>
            </w:pPr>
            <w:r>
              <w:rPr>
                <w:sz w:val="20"/>
              </w:rPr>
              <w:t xml:space="preserve">Texto plano separado por | (barra vertical), un archivo por año</w:t>
            </w:r>
            <w:r/>
          </w:p>
        </w:tc>
      </w:tr>
      <w:tr>
        <w:trPr/>
        <w:tc>
          <w:tcPr>
            <w:tcBorders/>
            <w:tcW w:w="4561" w:type="dxa"/>
          </w:tcPr>
          <w:p>
            <w:pPr>
              <w:pBdr/>
              <w:spacing/>
              <w:ind/>
              <w:rPr/>
            </w:pPr>
            <w:r>
              <w:rPr>
                <w:b/>
                <w:sz w:val="20"/>
              </w:rPr>
              <w:t xml:space="preserve">Privacidad</w:t>
            </w:r>
            <w:r/>
          </w:p>
        </w:tc>
        <w:tc>
          <w:tcPr>
            <w:tcBorders/>
            <w:tcW w:w="4561" w:type="dxa"/>
          </w:tcPr>
          <w:p>
            <w:pPr>
              <w:pBdr/>
              <w:spacing/>
              <w:ind/>
              <w:rPr/>
            </w:pPr>
            <w:r>
              <w:rPr>
                <w:sz w:val="20"/>
              </w:rPr>
              <w:t xml:space="preserve">Datos completamente anonimizados. Sin RUT ni nombre real de pacientes.</w:t>
            </w:r>
            <w:r/>
          </w:p>
        </w:tc>
      </w:tr>
      <w:tr>
        <w:trPr/>
        <w:tc>
          <w:tcPr>
            <w:shd w:val="clear" w:color="auto" w:fill="f1f8e9"/>
            <w:tcBorders/>
            <w:tcW w:w="4561" w:type="dxa"/>
          </w:tcPr>
          <w:p>
            <w:pPr>
              <w:pBdr/>
              <w:spacing/>
              <w:ind/>
              <w:rPr/>
            </w:pPr>
            <w:r>
              <w:rPr>
                <w:b/>
                <w:sz w:val="20"/>
              </w:rPr>
              <w:t xml:space="preserve">Nota 2019</w:t>
            </w:r>
            <w:r/>
          </w:p>
        </w:tc>
        <w:tc>
          <w:tcPr>
            <w:shd w:val="clear" w:color="auto" w:fill="f1f8e9"/>
            <w:tcBorders/>
            <w:tcW w:w="4561" w:type="dxa"/>
          </w:tcPr>
          <w:p>
            <w:pPr>
              <w:pBdr/>
              <w:spacing/>
              <w:ind/>
              <w:rPr/>
            </w:pPr>
            <w:r>
              <w:rPr>
                <w:sz w:val="20"/>
              </w:rPr>
              <w:t xml:space="preserve">La columna CIP_ENCRIPTADO (identificador del paciente) se llamaba ID_BENEFICIARIO en 2019. El código detecta y unifica esto automáticamente.</w:t>
            </w:r>
            <w:r/>
          </w:p>
        </w:tc>
      </w:tr>
    </w:tbl>
    <w:p>
      <w:pPr>
        <w:pBdr/>
        <w:spacing/>
        <w:ind/>
        <w:rPr/>
      </w:pPr>
      <w:r/>
      <w:r/>
    </w:p>
    <w:p>
      <w:pPr>
        <w:pBdr/>
        <w:spacing/>
        <w:ind/>
        <w:rPr/>
      </w:pPr>
      <w:r>
        <w:rPr>
          <w:b w:val="0"/>
          <w:i w:val="0"/>
          <w:sz w:val="22"/>
        </w:rPr>
        <w:t xml:space="preserve">Al abrir los archivos, el primer hallazgo fue que los datos no incluyen ningún identificador único </w:t>
      </w:r>
      <w:r>
        <w:rPr>
          <w:b w:val="0"/>
          <w:i w:val="0"/>
          <w:sz w:val="22"/>
        </w:rPr>
        <w:t xml:space="preserve">por registro: FONASA no asigna un ID a cada egreso. Sin un identificador propio es imposible rastrear a un paciente entre hospitalizaciones distintas ni cruzar tablas de forma confiable. El primer trabajo fue diseñar una solución para esto (ver Sección 4).</w:t>
      </w:r>
      <w:r/>
    </w:p>
    <w:p>
      <w:pPr>
        <w:pStyle w:val="693"/>
        <w:pBdr/>
        <w:spacing/>
        <w:ind/>
        <w:jc w:val="left"/>
        <w:rPr/>
      </w:pPr>
      <w:r>
        <w:rPr>
          <w:color w:val="1b5e20"/>
        </w:rPr>
        <w:t xml:space="preserve">2. Estructura general de las 129 columnas</w:t>
      </w:r>
      <w:r/>
    </w:p>
    <w:p>
      <w:pPr>
        <w:pBdr/>
        <w:spacing/>
        <w:ind/>
        <w:rPr/>
      </w:pPr>
      <w:r>
        <w:rPr>
          <w:b w:val="0"/>
          <w:i w:val="0"/>
          <w:sz w:val="22"/>
        </w:rPr>
        <w:t xml:space="preserve">Cada archivo tiene 129 columnas organizadas en ocho bloques temáticos. La siguiente tabla describe qué contiene cada bloque:</w:t>
      </w:r>
      <w:r/>
    </w:p>
    <w:tbl>
      <w:tblPr>
        <w:tblStyle w:val="753"/>
        <w:tblW w:w="0" w:type="auto"/>
        <w:tblBorders/>
        <w:tblLook w:val="04A0" w:firstRow="1" w:lastRow="0" w:firstColumn="1" w:lastColumn="0" w:noHBand="0" w:noVBand="1"/>
      </w:tblPr>
      <w:tblGrid>
        <w:gridCol w:w="3041"/>
        <w:gridCol w:w="3041"/>
        <w:gridCol w:w="3041"/>
      </w:tblGrid>
      <w:tr>
        <w:trPr/>
        <w:tc>
          <w:tcPr>
            <w:shd w:val="clear" w:color="auto" w:fill="1b5e20"/>
            <w:tcBorders/>
            <w:tcW w:w="3041" w:type="dxa"/>
          </w:tcPr>
          <w:p>
            <w:pPr>
              <w:pBdr/>
              <w:spacing/>
              <w:ind/>
              <w:jc w:val="center"/>
              <w:rPr/>
            </w:pPr>
            <w:r>
              <w:rPr>
                <w:b/>
                <w:color w:val="ffffff"/>
                <w:sz w:val="20"/>
              </w:rPr>
              <w:t xml:space="preserve">Bloque</w:t>
            </w:r>
            <w:r/>
          </w:p>
        </w:tc>
        <w:tc>
          <w:tcPr>
            <w:shd w:val="clear" w:color="auto" w:fill="1b5e20"/>
            <w:tcBorders/>
            <w:tcW w:w="3041" w:type="dxa"/>
          </w:tcPr>
          <w:p>
            <w:pPr>
              <w:pBdr/>
              <w:spacing/>
              <w:ind/>
              <w:jc w:val="center"/>
              <w:rPr/>
            </w:pPr>
            <w:r>
              <w:rPr>
                <w:b/>
                <w:color w:val="ffffff"/>
                <w:sz w:val="20"/>
              </w:rPr>
              <w:t xml:space="preserve">Columnas</w:t>
            </w:r>
            <w:r/>
          </w:p>
        </w:tc>
        <w:tc>
          <w:tcPr>
            <w:shd w:val="clear" w:color="auto" w:fill="1b5e20"/>
            <w:tcBorders/>
            <w:tcW w:w="3041" w:type="dxa"/>
          </w:tcPr>
          <w:p>
            <w:pPr>
              <w:pBdr/>
              <w:spacing/>
              <w:ind/>
              <w:jc w:val="center"/>
              <w:rPr/>
            </w:pPr>
            <w:r>
              <w:rPr>
                <w:b/>
                <w:color w:val="ffffff"/>
                <w:sz w:val="20"/>
              </w:rPr>
              <w:t xml:space="preserve">Contenido</w:t>
            </w:r>
            <w:r/>
          </w:p>
        </w:tc>
      </w:tr>
      <w:tr>
        <w:trPr/>
        <w:tc>
          <w:tcPr>
            <w:tcBorders/>
            <w:tcW w:w="3041" w:type="dxa"/>
          </w:tcPr>
          <w:p>
            <w:pPr>
              <w:pBdr/>
              <w:spacing/>
              <w:ind/>
              <w:rPr/>
            </w:pPr>
            <w:r>
              <w:rPr>
                <w:b/>
                <w:sz w:val="20"/>
              </w:rPr>
              <w:t xml:space="preserve">Identificación</w:t>
            </w:r>
            <w:r/>
          </w:p>
        </w:tc>
        <w:tc>
          <w:tcPr>
            <w:tcBorders/>
            <w:tcW w:w="3041" w:type="dxa"/>
          </w:tcPr>
          <w:p>
            <w:pPr>
              <w:pBdr/>
              <w:spacing/>
              <w:ind/>
              <w:rPr/>
            </w:pPr>
            <w:r>
              <w:rPr>
                <w:sz w:val="20"/>
              </w:rPr>
              <w:t xml:space="preserve">3</w:t>
            </w:r>
            <w:r/>
          </w:p>
        </w:tc>
        <w:tc>
          <w:tcPr>
            <w:tcBorders/>
            <w:tcW w:w="3041" w:type="dxa"/>
          </w:tcPr>
          <w:p>
            <w:pPr>
              <w:pBdr/>
              <w:spacing/>
              <w:ind/>
              <w:rPr/>
            </w:pPr>
            <w:r>
              <w:rPr>
                <w:sz w:val="20"/>
              </w:rPr>
              <w:t xml:space="preserve">Código del hospital, identificador encriptado del paciente, servicio de salud</w:t>
            </w:r>
            <w:r/>
          </w:p>
        </w:tc>
      </w:tr>
      <w:tr>
        <w:trPr/>
        <w:tc>
          <w:tcPr>
            <w:shd w:val="clear" w:color="auto" w:fill="f1f8e9"/>
            <w:tcBorders/>
            <w:tcW w:w="3041" w:type="dxa"/>
          </w:tcPr>
          <w:p>
            <w:pPr>
              <w:pBdr/>
              <w:spacing/>
              <w:ind/>
              <w:rPr/>
            </w:pPr>
            <w:r>
              <w:rPr>
                <w:b/>
                <w:sz w:val="20"/>
              </w:rPr>
              <w:t xml:space="preserve">Datos demográficos</w:t>
            </w:r>
            <w:r/>
          </w:p>
        </w:tc>
        <w:tc>
          <w:tcPr>
            <w:shd w:val="clear" w:color="auto" w:fill="f1f8e9"/>
            <w:tcBorders/>
            <w:tcW w:w="3041" w:type="dxa"/>
          </w:tcPr>
          <w:p>
            <w:pPr>
              <w:pBdr/>
              <w:spacing/>
              <w:ind/>
              <w:rPr/>
            </w:pPr>
            <w:r>
              <w:rPr>
                <w:sz w:val="20"/>
              </w:rPr>
              <w:t xml:space="preserve">5</w:t>
            </w:r>
            <w:r/>
          </w:p>
        </w:tc>
        <w:tc>
          <w:tcPr>
            <w:shd w:val="clear" w:color="auto" w:fill="f1f8e9"/>
            <w:tcBorders/>
            <w:tcW w:w="3041" w:type="dxa"/>
          </w:tcPr>
          <w:p>
            <w:pPr>
              <w:pBdr/>
              <w:spacing/>
              <w:ind/>
              <w:rPr/>
            </w:pPr>
            <w:r>
              <w:rPr>
                <w:sz w:val="20"/>
              </w:rPr>
              <w:t xml:space="preserve">Sexo, fecha de nacimiento, etnia, provincia, comuna, nacionalidad, previsión</w:t>
            </w:r>
            <w:r/>
          </w:p>
        </w:tc>
      </w:tr>
      <w:tr>
        <w:trPr/>
        <w:tc>
          <w:tcPr>
            <w:tcBorders/>
            <w:tcW w:w="3041" w:type="dxa"/>
          </w:tcPr>
          <w:p>
            <w:pPr>
              <w:pBdr/>
              <w:spacing/>
              <w:ind/>
              <w:rPr/>
            </w:pPr>
            <w:r>
              <w:rPr>
                <w:b/>
                <w:sz w:val="20"/>
              </w:rPr>
              <w:t xml:space="preserve">Contexto del ingreso</w:t>
            </w:r>
            <w:r/>
          </w:p>
        </w:tc>
        <w:tc>
          <w:tcPr>
            <w:tcBorders/>
            <w:tcW w:w="3041" w:type="dxa"/>
          </w:tcPr>
          <w:p>
            <w:pPr>
              <w:pBdr/>
              <w:spacing/>
              <w:ind/>
              <w:rPr/>
            </w:pPr>
            <w:r>
              <w:rPr>
                <w:sz w:val="20"/>
              </w:rPr>
              <w:t xml:space="preserve">6</w:t>
            </w:r>
            <w:r/>
          </w:p>
        </w:tc>
        <w:tc>
          <w:tcPr>
            <w:tcBorders/>
            <w:tcW w:w="3041" w:type="dxa"/>
          </w:tcPr>
          <w:p>
            <w:pPr>
              <w:pBdr/>
              <w:spacing/>
              <w:ind/>
              <w:rPr/>
            </w:pPr>
            <w:r>
              <w:rPr>
                <w:sz w:val="20"/>
              </w:rPr>
              <w:t xml:space="preserve">Fecha de ingreso, tipo de ingreso, procedencia, especialidad médica, servicio de ingreso, hospital de procedencia</w:t>
            </w:r>
            <w:r/>
          </w:p>
        </w:tc>
      </w:tr>
      <w:tr>
        <w:trPr/>
        <w:tc>
          <w:tcPr>
            <w:shd w:val="clear" w:color="auto" w:fill="f1f8e9"/>
            <w:tcBorders/>
            <w:tcW w:w="3041" w:type="dxa"/>
          </w:tcPr>
          <w:p>
            <w:pPr>
              <w:pBdr/>
              <w:spacing/>
              <w:ind/>
              <w:rPr/>
            </w:pPr>
            <w:r>
              <w:rPr>
                <w:b/>
                <w:sz w:val="20"/>
              </w:rPr>
              <w:t xml:space="preserve">Diagnósticos</w:t>
            </w:r>
            <w:r/>
          </w:p>
        </w:tc>
        <w:tc>
          <w:tcPr>
            <w:shd w:val="clear" w:color="auto" w:fill="f1f8e9"/>
            <w:tcBorders/>
            <w:tcW w:w="3041" w:type="dxa"/>
          </w:tcPr>
          <w:p>
            <w:pPr>
              <w:pBdr/>
              <w:spacing/>
              <w:ind/>
              <w:rPr/>
            </w:pPr>
            <w:r>
              <w:rPr>
                <w:sz w:val="20"/>
              </w:rPr>
              <w:t xml:space="preserve">35</w:t>
            </w:r>
            <w:r/>
          </w:p>
        </w:tc>
        <w:tc>
          <w:tcPr>
            <w:shd w:val="clear" w:color="auto" w:fill="f1f8e9"/>
            <w:tcBorders/>
            <w:tcW w:w="3041" w:type="dxa"/>
          </w:tcPr>
          <w:p>
            <w:pPr>
              <w:pBdr/>
              <w:spacing/>
              <w:ind/>
              <w:rPr/>
            </w:pPr>
            <w:r>
              <w:rPr>
                <w:sz w:val="20"/>
              </w:rPr>
              <w:t xml:space="preserve">Un diagnóstico principal (DIAGNOSTICO1) y hasta 34 diagnósticos secundarios (DIAGNOSTICO2 a DIAGNOSTICO35)</w:t>
            </w:r>
            <w:r/>
          </w:p>
        </w:tc>
      </w:tr>
      <w:tr>
        <w:trPr/>
        <w:tc>
          <w:tcPr>
            <w:tcBorders/>
            <w:tcW w:w="3041" w:type="dxa"/>
          </w:tcPr>
          <w:p>
            <w:pPr>
              <w:pBdr/>
              <w:spacing/>
              <w:ind/>
              <w:rPr/>
            </w:pPr>
            <w:r>
              <w:rPr>
                <w:b/>
                <w:sz w:val="20"/>
              </w:rPr>
              <w:t xml:space="preserve">Procedimientos y evolución</w:t>
            </w:r>
            <w:r/>
          </w:p>
        </w:tc>
        <w:tc>
          <w:tcPr>
            <w:tcBorders/>
            <w:tcW w:w="3041" w:type="dxa"/>
          </w:tcPr>
          <w:p>
            <w:pPr>
              <w:pBdr/>
              <w:spacing/>
              <w:ind/>
              <w:rPr/>
            </w:pPr>
            <w:r>
              <w:rPr>
                <w:sz w:val="20"/>
              </w:rPr>
              <w:t xml:space="preserve">39</w:t>
            </w:r>
            <w:r/>
          </w:p>
        </w:tc>
        <w:tc>
          <w:tcPr>
            <w:tcBorders/>
            <w:tcW w:w="3041" w:type="dxa"/>
          </w:tcPr>
          <w:p>
            <w:pPr>
              <w:pBdr/>
              <w:spacing/>
              <w:ind/>
              <w:rPr/>
            </w:pPr>
            <w:r>
              <w:rPr>
                <w:sz w:val="20"/>
              </w:rPr>
              <w:t xml:space="preserve">Hasta 30 procedimientos quirúrgicos, médico interventor, fechas de intervención, uso de pabellón</w:t>
            </w:r>
            <w:r/>
          </w:p>
        </w:tc>
      </w:tr>
      <w:tr>
        <w:trPr/>
        <w:tc>
          <w:tcPr>
            <w:shd w:val="clear" w:color="auto" w:fill="f1f8e9"/>
            <w:tcBorders/>
            <w:tcW w:w="3041" w:type="dxa"/>
          </w:tcPr>
          <w:p>
            <w:pPr>
              <w:pBdr/>
              <w:spacing/>
              <w:ind/>
              <w:rPr/>
            </w:pPr>
            <w:r>
              <w:rPr>
                <w:b/>
                <w:sz w:val="20"/>
              </w:rPr>
              <w:t xml:space="preserve">Egreso y resultado</w:t>
            </w:r>
            <w:r/>
          </w:p>
        </w:tc>
        <w:tc>
          <w:tcPr>
            <w:shd w:val="clear" w:color="auto" w:fill="f1f8e9"/>
            <w:tcBorders/>
            <w:tcW w:w="3041" w:type="dxa"/>
          </w:tcPr>
          <w:p>
            <w:pPr>
              <w:pBdr/>
              <w:spacing/>
              <w:ind/>
              <w:rPr/>
            </w:pPr>
            <w:r>
              <w:rPr>
                <w:sz w:val="20"/>
              </w:rPr>
              <w:t xml:space="preserve">8</w:t>
            </w:r>
            <w:r/>
          </w:p>
        </w:tc>
        <w:tc>
          <w:tcPr>
            <w:shd w:val="clear" w:color="auto" w:fill="f1f8e9"/>
            <w:tcBorders/>
            <w:tcW w:w="3041" w:type="dxa"/>
          </w:tcPr>
          <w:p>
            <w:pPr>
              <w:pBdr/>
              <w:spacing/>
              <w:ind/>
              <w:rPr/>
            </w:pPr>
            <w:r>
              <w:rPr>
                <w:sz w:val="20"/>
              </w:rPr>
              <w:t xml:space="preserve">Fecha de alta, tipo de alta, servicio de alta, datos de recién nacidos (4 familias de columnas)</w:t>
            </w:r>
            <w:r/>
          </w:p>
        </w:tc>
      </w:tr>
      <w:tr>
        <w:trPr/>
        <w:tc>
          <w:tcPr>
            <w:tcBorders/>
            <w:tcW w:w="3041" w:type="dxa"/>
          </w:tcPr>
          <w:p>
            <w:pPr>
              <w:pBdr/>
              <w:spacing/>
              <w:ind/>
              <w:rPr/>
            </w:pPr>
            <w:r>
              <w:rPr>
                <w:b/>
                <w:sz w:val="20"/>
              </w:rPr>
              <w:t xml:space="preserve">Clasificación GRD</w:t>
            </w:r>
            <w:r/>
          </w:p>
        </w:tc>
        <w:tc>
          <w:tcPr>
            <w:tcBorders/>
            <w:tcW w:w="3041" w:type="dxa"/>
          </w:tcPr>
          <w:p>
            <w:pPr>
              <w:pBdr/>
              <w:spacing/>
              <w:ind/>
              <w:rPr/>
            </w:pPr>
            <w:r>
              <w:rPr>
                <w:sz w:val="20"/>
              </w:rPr>
              <w:t xml:space="preserve">4</w:t>
            </w:r>
            <w:r/>
          </w:p>
        </w:tc>
        <w:tc>
          <w:tcPr>
            <w:tcBorders/>
            <w:tcW w:w="3041" w:type="dxa"/>
          </w:tcPr>
          <w:p>
            <w:pPr>
              <w:pBdr/>
              <w:spacing/>
              <w:ind/>
              <w:rPr/>
            </w:pPr>
            <w:r>
              <w:rPr>
                <w:sz w:val="20"/>
              </w:rPr>
              <w:t xml:space="preserve">Código GRD asignado, peso del GRD, severidad, riesgo de mortalidad del agrupador</w:t>
            </w:r>
            <w:r/>
          </w:p>
        </w:tc>
      </w:tr>
      <w:tr>
        <w:trPr/>
        <w:tc>
          <w:tcPr>
            <w:shd w:val="clear" w:color="auto" w:fill="f1f8e9"/>
            <w:tcBorders/>
            <w:tcW w:w="3041" w:type="dxa"/>
          </w:tcPr>
          <w:p>
            <w:pPr>
              <w:pBdr/>
              <w:spacing/>
              <w:ind/>
              <w:rPr/>
            </w:pPr>
            <w:r>
              <w:rPr>
                <w:b/>
                <w:sz w:val="20"/>
              </w:rPr>
              <w:t xml:space="preserve">Traslados internos</w:t>
            </w:r>
            <w:r/>
          </w:p>
        </w:tc>
        <w:tc>
          <w:tcPr>
            <w:shd w:val="clear" w:color="auto" w:fill="f1f8e9"/>
            <w:tcBorders/>
            <w:tcW w:w="3041" w:type="dxa"/>
          </w:tcPr>
          <w:p>
            <w:pPr>
              <w:pBdr/>
              <w:spacing/>
              <w:ind/>
              <w:rPr/>
            </w:pPr>
            <w:r>
              <w:rPr>
                <w:sz w:val="20"/>
              </w:rPr>
              <w:t xml:space="preserve">18</w:t>
            </w:r>
            <w:r/>
          </w:p>
        </w:tc>
        <w:tc>
          <w:tcPr>
            <w:shd w:val="clear" w:color="auto" w:fill="f1f8e9"/>
            <w:tcBorders/>
            <w:tcW w:w="3041" w:type="dxa"/>
          </w:tcPr>
          <w:p>
            <w:pPr>
              <w:pBdr/>
              <w:spacing/>
              <w:ind/>
              <w:rPr/>
            </w:pPr>
            <w:r>
              <w:rPr>
                <w:sz w:val="20"/>
              </w:rPr>
              <w:t xml:space="preserve">9 pares de columnas fecha + servicio de traslado interno durante la hospitalización</w:t>
            </w:r>
            <w:r/>
          </w:p>
        </w:tc>
      </w:tr>
    </w:tbl>
    <w:p>
      <w:pPr>
        <w:pBdr/>
        <w:spacing/>
        <w:ind/>
        <w:rPr/>
      </w:pPr>
      <w:r/>
      <w:r/>
    </w:p>
    <w:p>
      <w:pPr>
        <w:pStyle w:val="693"/>
        <w:pBdr/>
        <w:spacing/>
        <w:ind/>
        <w:jc w:val="left"/>
        <w:rPr/>
      </w:pPr>
      <w:r>
        <w:rPr>
          <w:color w:val="1b5e20"/>
        </w:rPr>
        <w:t xml:space="preserve">3. Clasificación de las 129 columnas según su uso</w:t>
      </w:r>
      <w:r/>
    </w:p>
    <w:p>
      <w:pPr>
        <w:pBdr/>
        <w:spacing/>
        <w:ind/>
        <w:rPr/>
      </w:pPr>
      <w:r>
        <w:rPr>
          <w:b w:val="0"/>
          <w:i w:val="0"/>
          <w:sz w:val="22"/>
        </w:rPr>
        <w:t xml:space="preserve">Antes de procesar cualquier dato, cada columna fue analizada y clasificada en una de las siguientes categorías. Esta clasificación determina exactamente qué hará el código con cada variable y garantiza que ningún dato prohibido llegue al modelo:</w:t>
      </w:r>
      <w:r/>
    </w:p>
    <w:tbl>
      <w:tblPr>
        <w:tblStyle w:val="753"/>
        <w:tblW w:w="0" w:type="auto"/>
        <w:tblBorders/>
        <w:tblLook w:val="04A0" w:firstRow="1" w:lastRow="0" w:firstColumn="1" w:lastColumn="0" w:noHBand="0" w:noVBand="1"/>
      </w:tblPr>
      <w:tblGrid>
        <w:gridCol w:w="3041"/>
        <w:gridCol w:w="3041"/>
        <w:gridCol w:w="3041"/>
      </w:tblGrid>
      <w:tr>
        <w:trPr/>
        <w:tc>
          <w:tcPr>
            <w:shd w:val="clear" w:color="auto" w:fill="1b5e20"/>
            <w:tcBorders/>
            <w:tcW w:w="3041" w:type="dxa"/>
          </w:tcPr>
          <w:p>
            <w:pPr>
              <w:pBdr/>
              <w:spacing/>
              <w:ind/>
              <w:jc w:val="center"/>
              <w:rPr/>
            </w:pPr>
            <w:r>
              <w:rPr>
                <w:b/>
                <w:color w:val="ffffff"/>
                <w:sz w:val="20"/>
              </w:rPr>
              <w:t xml:space="preserve">Categoría</w:t>
            </w:r>
            <w:r/>
          </w:p>
        </w:tc>
        <w:tc>
          <w:tcPr>
            <w:shd w:val="clear" w:color="auto" w:fill="1b5e20"/>
            <w:tcBorders/>
            <w:tcW w:w="3041" w:type="dxa"/>
          </w:tcPr>
          <w:p>
            <w:pPr>
              <w:pBdr/>
              <w:spacing/>
              <w:ind/>
              <w:jc w:val="center"/>
              <w:rPr/>
            </w:pPr>
            <w:r>
              <w:rPr>
                <w:b/>
                <w:color w:val="ffffff"/>
                <w:sz w:val="20"/>
              </w:rPr>
              <w:t xml:space="preserve">¿Entra al modelo?</w:t>
            </w:r>
            <w:r/>
          </w:p>
        </w:tc>
        <w:tc>
          <w:tcPr>
            <w:shd w:val="clear" w:color="auto" w:fill="1b5e20"/>
            <w:tcBorders/>
            <w:tcW w:w="3041" w:type="dxa"/>
          </w:tcPr>
          <w:p>
            <w:pPr>
              <w:pBdr/>
              <w:spacing/>
              <w:ind/>
              <w:jc w:val="center"/>
              <w:rPr/>
            </w:pPr>
            <w:r>
              <w:rPr>
                <w:b/>
                <w:color w:val="ffffff"/>
                <w:sz w:val="20"/>
              </w:rPr>
              <w:t xml:space="preserve">Descripción</w:t>
            </w:r>
            <w:r/>
          </w:p>
        </w:tc>
      </w:tr>
      <w:tr>
        <w:trPr/>
        <w:tc>
          <w:tcPr>
            <w:tcBorders/>
            <w:tcW w:w="3041" w:type="dxa"/>
          </w:tcPr>
          <w:p>
            <w:pPr>
              <w:pBdr/>
              <w:spacing/>
              <w:ind/>
              <w:rPr/>
            </w:pPr>
            <w:r>
              <w:rPr>
                <w:b/>
                <w:sz w:val="20"/>
              </w:rPr>
              <w:t xml:space="preserve">Entra al modelo</w:t>
              <w:br/>
              <w:t xml:space="preserve">(~12 columnas)</w:t>
            </w:r>
            <w:r/>
          </w:p>
        </w:tc>
        <w:tc>
          <w:tcPr>
            <w:tcBorders/>
            <w:tcW w:w="3041" w:type="dxa"/>
          </w:tcPr>
          <w:p>
            <w:pPr>
              <w:pBdr/>
              <w:spacing/>
              <w:ind/>
              <w:rPr/>
            </w:pPr>
            <w:r>
              <w:rPr>
                <w:sz w:val="20"/>
              </w:rPr>
              <w:t xml:space="preserve">SÍ</w:t>
            </w:r>
            <w:r/>
          </w:p>
        </w:tc>
        <w:tc>
          <w:tcPr>
            <w:tcBorders/>
            <w:tcW w:w="3041" w:type="dxa"/>
          </w:tcPr>
          <w:p>
            <w:pPr>
              <w:pBdr/>
              <w:spacing/>
              <w:ind/>
              <w:rPr/>
            </w:pPr>
            <w:r>
              <w:rPr>
                <w:sz w:val="20"/>
              </w:rPr>
              <w:t xml:space="preserve">Datos conocidos al ingreso: sexo, edad, tipo de ingreso, diagnóstico, comorbilidades previas.</w:t>
            </w:r>
            <w:r/>
          </w:p>
        </w:tc>
      </w:tr>
      <w:tr>
        <w:trPr/>
        <w:tc>
          <w:tcPr>
            <w:shd w:val="clear" w:color="auto" w:fill="f1f8e9"/>
            <w:tcBorders/>
            <w:tcW w:w="3041" w:type="dxa"/>
          </w:tcPr>
          <w:p>
            <w:pPr>
              <w:pBdr/>
              <w:spacing/>
              <w:ind/>
              <w:rPr/>
            </w:pPr>
            <w:r>
              <w:rPr>
                <w:b/>
                <w:sz w:val="20"/>
              </w:rPr>
              <w:t xml:space="preserve">Genera otras variables</w:t>
              <w:br/>
              <w:t xml:space="preserve">(~39 columnas)</w:t>
            </w:r>
            <w:r/>
          </w:p>
        </w:tc>
        <w:tc>
          <w:tcPr>
            <w:shd w:val="clear" w:color="auto" w:fill="f1f8e9"/>
            <w:tcBorders/>
            <w:tcW w:w="3041" w:type="dxa"/>
          </w:tcPr>
          <w:p>
            <w:pPr>
              <w:pBdr/>
              <w:spacing/>
              <w:ind/>
              <w:rPr/>
            </w:pPr>
            <w:r>
              <w:rPr>
                <w:sz w:val="20"/>
              </w:rPr>
              <w:t xml:space="preserve">NO — se transforma</w:t>
            </w:r>
            <w:r/>
          </w:p>
        </w:tc>
        <w:tc>
          <w:tcPr>
            <w:shd w:val="clear" w:color="auto" w:fill="f1f8e9"/>
            <w:tcBorders/>
            <w:tcW w:w="3041" w:type="dxa"/>
          </w:tcPr>
          <w:p>
            <w:pPr>
              <w:pBdr/>
              <w:spacing/>
              <w:ind/>
              <w:rPr/>
            </w:pPr>
            <w:r>
              <w:rPr>
                <w:sz w:val="20"/>
              </w:rPr>
              <w:t xml:space="preserve">Datos crudos que se convierten en algo más útil. La fecha de nacimiento genera la edad. Luego se descartan.</w:t>
            </w:r>
            <w:r/>
          </w:p>
        </w:tc>
      </w:tr>
      <w:tr>
        <w:trPr/>
        <w:tc>
          <w:tcPr>
            <w:tcBorders/>
            <w:tcW w:w="3041" w:type="dxa"/>
          </w:tcPr>
          <w:p>
            <w:pPr>
              <w:pBdr/>
              <w:spacing/>
              <w:ind/>
              <w:rPr/>
            </w:pPr>
            <w:r>
              <w:rPr>
                <w:b/>
                <w:sz w:val="20"/>
              </w:rPr>
              <w:t xml:space="preserve">Prohibida — post-ingreso</w:t>
              <w:br/>
              <w:t xml:space="preserve">(~54 columnas)</w:t>
            </w:r>
            <w:r/>
          </w:p>
        </w:tc>
        <w:tc>
          <w:tcPr>
            <w:tcBorders/>
            <w:tcW w:w="3041" w:type="dxa"/>
          </w:tcPr>
          <w:p>
            <w:pPr>
              <w:pBdr/>
              <w:spacing/>
              <w:ind/>
              <w:rPr/>
            </w:pPr>
            <w:r>
              <w:rPr>
                <w:sz w:val="20"/>
              </w:rPr>
              <w:t xml:space="preserve">NUNCA</w:t>
            </w:r>
            <w:r/>
          </w:p>
        </w:tc>
        <w:tc>
          <w:tcPr>
            <w:tcBorders/>
            <w:tcW w:w="3041" w:type="dxa"/>
          </w:tcPr>
          <w:p>
            <w:pPr>
              <w:pBdr/>
              <w:spacing/>
              <w:ind/>
              <w:rPr/>
            </w:pPr>
            <w:r>
              <w:rPr>
                <w:sz w:val="20"/>
              </w:rPr>
              <w:t xml:space="preserve">Datos que solo existen después del ingreso: procedimientos quirúrgicos, fechas de traslado, uso de pabellón. Si entraran, el modelo haría trampa.</w:t>
            </w:r>
            <w:r/>
          </w:p>
        </w:tc>
      </w:tr>
      <w:tr>
        <w:trPr/>
        <w:tc>
          <w:tcPr>
            <w:shd w:val="clear" w:color="auto" w:fill="f1f8e9"/>
            <w:tcBorders/>
            <w:tcW w:w="3041" w:type="dxa"/>
          </w:tcPr>
          <w:p>
            <w:pPr>
              <w:pBdr/>
              <w:spacing/>
              <w:ind/>
              <w:rPr/>
            </w:pPr>
            <w:r>
              <w:rPr>
                <w:b/>
                <w:sz w:val="20"/>
              </w:rPr>
              <w:t xml:space="preserve">Lo que predigo</w:t>
              <w:br/>
              <w:t xml:space="preserve">(2 columnas)</w:t>
            </w:r>
            <w:r/>
          </w:p>
        </w:tc>
        <w:tc>
          <w:tcPr>
            <w:shd w:val="clear" w:color="auto" w:fill="f1f8e9"/>
            <w:tcBorders/>
            <w:tcW w:w="3041" w:type="dxa"/>
          </w:tcPr>
          <w:p>
            <w:pPr>
              <w:pBdr/>
              <w:spacing/>
              <w:ind/>
              <w:rPr/>
            </w:pPr>
            <w:r>
              <w:rPr>
                <w:sz w:val="20"/>
              </w:rPr>
              <w:t xml:space="preserve">NO como predictor</w:t>
            </w:r>
            <w:r/>
          </w:p>
        </w:tc>
        <w:tc>
          <w:tcPr>
            <w:shd w:val="clear" w:color="auto" w:fill="f1f8e9"/>
            <w:tcBorders/>
            <w:tcW w:w="3041" w:type="dxa"/>
          </w:tcPr>
          <w:p>
            <w:pPr>
              <w:pBdr/>
              <w:spacing/>
              <w:ind/>
              <w:rPr/>
            </w:pPr>
            <w:r>
              <w:rPr>
                <w:sz w:val="20"/>
              </w:rPr>
              <w:t xml:space="preserve">Mortalidad binaria y días de estadía. Son los resultados que el modelo aprende a predecir.</w:t>
            </w:r>
            <w:r/>
          </w:p>
        </w:tc>
      </w:tr>
      <w:tr>
        <w:trPr/>
        <w:tc>
          <w:tcPr>
            <w:tcBorders/>
            <w:tcW w:w="3041" w:type="dxa"/>
          </w:tcPr>
          <w:p>
            <w:pPr>
              <w:pBdr/>
              <w:spacing/>
              <w:ind/>
              <w:rPr/>
            </w:pPr>
            <w:r>
              <w:rPr>
                <w:b/>
                <w:sz w:val="20"/>
              </w:rPr>
              <w:t xml:space="preserve">Para agrupar resultados</w:t>
              <w:br/>
              <w:t xml:space="preserve">(3 columnas)</w:t>
            </w:r>
            <w:r/>
          </w:p>
        </w:tc>
        <w:tc>
          <w:tcPr>
            <w:tcBorders/>
            <w:tcW w:w="3041" w:type="dxa"/>
          </w:tcPr>
          <w:p>
            <w:pPr>
              <w:pBdr/>
              <w:spacing/>
              <w:ind/>
              <w:rPr/>
            </w:pPr>
            <w:r>
              <w:rPr>
                <w:sz w:val="20"/>
              </w:rPr>
              <w:t xml:space="preserve">NO</w:t>
            </w:r>
            <w:r/>
          </w:p>
        </w:tc>
        <w:tc>
          <w:tcPr>
            <w:tcBorders/>
            <w:tcW w:w="3041" w:type="dxa"/>
          </w:tcPr>
          <w:p>
            <w:pPr>
              <w:pBdr/>
              <w:spacing/>
              <w:ind/>
              <w:rPr/>
            </w:pPr>
            <w:r>
              <w:rPr>
                <w:sz w:val="20"/>
              </w:rPr>
              <w:t xml:space="preserve">Código del hospital y servicio de salud. Solo se usan al final para calcular el indicador O/E por establecimiento.</w:t>
            </w:r>
            <w:r/>
          </w:p>
        </w:tc>
      </w:tr>
      <w:tr>
        <w:trPr/>
        <w:tc>
          <w:tcPr>
            <w:shd w:val="clear" w:color="auto" w:fill="f1f8e9"/>
            <w:tcBorders/>
            <w:tcW w:w="3041" w:type="dxa"/>
          </w:tcPr>
          <w:p>
            <w:pPr>
              <w:pBdr/>
              <w:spacing/>
              <w:ind/>
              <w:rPr/>
            </w:pPr>
            <w:r>
              <w:rPr>
                <w:b/>
                <w:sz w:val="20"/>
              </w:rPr>
              <w:t xml:space="preserve">Filtros de cohorte</w:t>
              <w:br/>
              <w:t xml:space="preserve">(5 columnas)</w:t>
            </w:r>
            <w:r/>
          </w:p>
        </w:tc>
        <w:tc>
          <w:tcPr>
            <w:shd w:val="clear" w:color="auto" w:fill="f1f8e9"/>
            <w:tcBorders/>
            <w:tcW w:w="3041" w:type="dxa"/>
          </w:tcPr>
          <w:p>
            <w:pPr>
              <w:pBdr/>
              <w:spacing/>
              <w:ind/>
              <w:rPr/>
            </w:pPr>
            <w:r>
              <w:rPr>
                <w:sz w:val="20"/>
              </w:rPr>
              <w:t xml:space="preserve">NO</w:t>
            </w:r>
            <w:r/>
          </w:p>
        </w:tc>
        <w:tc>
          <w:tcPr>
            <w:shd w:val="clear" w:color="auto" w:fill="f1f8e9"/>
            <w:tcBorders/>
            <w:tcW w:w="3041" w:type="dxa"/>
          </w:tcPr>
          <w:p>
            <w:pPr>
              <w:pBdr/>
              <w:spacing/>
              <w:ind/>
              <w:rPr/>
            </w:pPr>
            <w:r>
              <w:rPr>
                <w:sz w:val="20"/>
              </w:rPr>
              <w:t xml:space="preserve">Determinan qué pacientes se incluyen en el análisis. Una vez aplicado el filtro, se descartan.</w:t>
            </w:r>
            <w:r/>
          </w:p>
        </w:tc>
      </w:tr>
      <w:tr>
        <w:trPr/>
        <w:tc>
          <w:tcPr>
            <w:tcBorders/>
            <w:tcW w:w="3041" w:type="dxa"/>
          </w:tcPr>
          <w:p>
            <w:pPr>
              <w:pBdr/>
              <w:spacing/>
              <w:ind/>
              <w:rPr/>
            </w:pPr>
            <w:r>
              <w:rPr>
                <w:b/>
                <w:sz w:val="20"/>
              </w:rPr>
              <w:t xml:space="preserve">Para análisis de equidad</w:t>
              <w:br/>
              <w:t xml:space="preserve">(7 columnas)</w:t>
            </w:r>
            <w:r/>
          </w:p>
        </w:tc>
        <w:tc>
          <w:tcPr>
            <w:tcBorders/>
            <w:tcW w:w="3041" w:type="dxa"/>
          </w:tcPr>
          <w:p>
            <w:pPr>
              <w:pBdr/>
              <w:spacing/>
              <w:ind/>
              <w:rPr/>
            </w:pPr>
            <w:r>
              <w:rPr>
                <w:sz w:val="20"/>
              </w:rPr>
              <w:t xml:space="preserve">NO</w:t>
            </w:r>
            <w:r/>
          </w:p>
        </w:tc>
        <w:tc>
          <w:tcPr>
            <w:tcBorders/>
            <w:tcW w:w="3041" w:type="dxa"/>
          </w:tcPr>
          <w:p>
            <w:pPr>
              <w:pBdr/>
              <w:spacing/>
              <w:ind/>
              <w:rPr/>
            </w:pPr>
            <w:r>
              <w:rPr>
                <w:sz w:val="20"/>
              </w:rPr>
              <w:t xml:space="preserve">Variables sensibles: etnia, previsión, comuna. Reservadas para verificar si el sistema trata igual a todos los grupos de pacientes.</w:t>
            </w:r>
            <w:r/>
          </w:p>
        </w:tc>
      </w:tr>
      <w:tr>
        <w:trPr/>
        <w:tc>
          <w:tcPr>
            <w:shd w:val="clear" w:color="auto" w:fill="f1f8e9"/>
            <w:tcBorders/>
            <w:tcW w:w="3041" w:type="dxa"/>
          </w:tcPr>
          <w:p>
            <w:pPr>
              <w:pBdr/>
              <w:spacing/>
              <w:ind/>
              <w:rPr/>
            </w:pPr>
            <w:r>
              <w:rPr>
                <w:b/>
                <w:sz w:val="20"/>
              </w:rPr>
              <w:t xml:space="preserve">Sin propósito</w:t>
              <w:br/>
              <w:t xml:space="preserve">(~7 columnas)</w:t>
            </w:r>
            <w:r/>
          </w:p>
        </w:tc>
        <w:tc>
          <w:tcPr>
            <w:shd w:val="clear" w:color="auto" w:fill="f1f8e9"/>
            <w:tcBorders/>
            <w:tcW w:w="3041" w:type="dxa"/>
          </w:tcPr>
          <w:p>
            <w:pPr>
              <w:pBdr/>
              <w:spacing/>
              <w:ind/>
              <w:rPr/>
            </w:pPr>
            <w:r>
              <w:rPr>
                <w:sz w:val="20"/>
              </w:rPr>
              <w:t xml:space="preserve">NO — se ignoran</w:t>
            </w:r>
            <w:r/>
          </w:p>
        </w:tc>
        <w:tc>
          <w:tcPr>
            <w:shd w:val="clear" w:color="auto" w:fill="f1f8e9"/>
            <w:tcBorders/>
            <w:tcW w:w="3041" w:type="dxa"/>
          </w:tcPr>
          <w:p>
            <w:pPr>
              <w:pBdr/>
              <w:spacing/>
              <w:ind/>
              <w:rPr/>
            </w:pPr>
            <w:r>
              <w:rPr>
                <w:sz w:val="20"/>
              </w:rPr>
              <w:t xml:space="preserve">Columnas completamente vacías en todos los años o cuyos valores no corresponden a ningún código documentado.</w:t>
            </w:r>
            <w:r/>
          </w:p>
        </w:tc>
      </w:tr>
    </w:tbl>
    <w:p>
      <w:pPr>
        <w:pBdr/>
        <w:spacing/>
        <w:ind/>
        <w:rPr/>
      </w:pPr>
      <w:r/>
      <w:r/>
    </w:p>
    <w:tbl>
      <w:tblPr>
        <w:tblStyle w:val="753"/>
        <w:tblW w:w="0" w:type="auto"/>
        <w:tblBorders/>
        <w:tblLook w:val="04A0" w:firstRow="1" w:lastRow="0" w:firstColumn="1" w:lastColumn="0" w:noHBand="0" w:noVBand="1"/>
      </w:tblPr>
      <w:tblGrid>
        <w:gridCol w:w="9122"/>
      </w:tblGrid>
      <w:tr>
        <w:trPr/>
        <w:tc>
          <w:tcPr>
            <w:shd w:val="clear" w:color="auto" w:fill="fff9c4"/>
            <w:tcBorders/>
            <w:tcW w:w="9122" w:type="dxa"/>
          </w:tcPr>
          <w:p>
            <w:pPr>
              <w:pBdr/>
              <w:spacing/>
              <w:ind/>
              <w:rPr/>
            </w:pPr>
            <w:r>
              <w:rPr>
                <w:sz w:val="22"/>
              </w:rPr>
              <w:t xml:space="preserve">Si el modelo sabe que un paciente tuvo 15 procedimientos quirúrgicos distintos durante su hospitalización, ya sabe que estuvo mucho tiempo internado y que era un caso grave. No estaría prediciendo e</w:t>
            </w:r>
            <w:r>
              <w:rPr>
                <w:sz w:val="22"/>
              </w:rPr>
              <w:t xml:space="preserve">l riesgo; estaría describiendo el desenlace. Por eso las 30 columnas de procedimientos están prohibidas bajo cualquier circunstancia. Lo mismo aplica al índice de mortalidad calculado por el sistema GRD: usarlo equivale a copiar un resultado que ya existe.</w:t>
            </w:r>
            <w:r/>
          </w:p>
        </w:tc>
      </w:tr>
    </w:tbl>
    <w:p>
      <w:pPr>
        <w:pBdr/>
        <w:spacing/>
        <w:ind/>
        <w:rPr/>
      </w:pPr>
      <w:r/>
      <w:r/>
    </w:p>
    <w:p>
      <w:pPr>
        <w:pStyle w:val="693"/>
        <w:pBdr/>
        <w:spacing/>
        <w:ind/>
        <w:jc w:val="left"/>
        <w:rPr/>
      </w:pPr>
      <w:r>
        <w:rPr>
          <w:color w:val="1b5e20"/>
        </w:rPr>
        <w:t xml:space="preserve">4. El identificador único que se construye: ID_EPISODIO</w:t>
      </w:r>
      <w:r/>
    </w:p>
    <w:p>
      <w:pPr>
        <w:pBdr/>
        <w:spacing/>
        <w:ind/>
        <w:rPr/>
      </w:pPr>
      <w:r>
        <w:rPr>
          <w:b w:val="0"/>
          <w:i w:val="0"/>
          <w:sz w:val="22"/>
        </w:rPr>
        <w:t xml:space="preserve">Los datos de FONASA no traen ningún ID por registro. El sistema genera uno llamado ID_EPISODIO combinando cuatro elementos:</w:t>
      </w:r>
      <w:r/>
    </w:p>
    <w:tbl>
      <w:tblPr>
        <w:tblStyle w:val="753"/>
        <w:tblW w:w="0" w:type="auto"/>
        <w:tblBorders/>
        <w:tblLook w:val="04A0" w:firstRow="1" w:lastRow="0" w:firstColumn="1" w:lastColumn="0" w:noHBand="0" w:noVBand="1"/>
      </w:tblPr>
      <w:tblGrid>
        <w:gridCol w:w="4561"/>
        <w:gridCol w:w="4561"/>
      </w:tblGrid>
      <w:tr>
        <w:trPr/>
        <w:tc>
          <w:tcPr>
            <w:shd w:val="clear" w:color="auto" w:fill="1b5e20"/>
            <w:tcBorders/>
            <w:tcW w:w="4561" w:type="dxa"/>
          </w:tcPr>
          <w:p>
            <w:pPr>
              <w:pBdr/>
              <w:spacing/>
              <w:ind/>
              <w:jc w:val="center"/>
              <w:rPr/>
            </w:pPr>
            <w:r>
              <w:rPr>
                <w:b/>
                <w:color w:val="ffffff"/>
                <w:sz w:val="20"/>
              </w:rPr>
              <w:t xml:space="preserve">Componente</w:t>
            </w:r>
            <w:r/>
          </w:p>
        </w:tc>
        <w:tc>
          <w:tcPr>
            <w:shd w:val="clear" w:color="auto" w:fill="1b5e20"/>
            <w:tcBorders/>
            <w:tcW w:w="4561" w:type="dxa"/>
          </w:tcPr>
          <w:p>
            <w:pPr>
              <w:pBdr/>
              <w:spacing/>
              <w:ind/>
              <w:jc w:val="center"/>
              <w:rPr/>
            </w:pPr>
            <w:r>
              <w:rPr>
                <w:b/>
                <w:color w:val="ffffff"/>
                <w:sz w:val="20"/>
              </w:rPr>
              <w:t xml:space="preserve">Qué es</w:t>
            </w:r>
            <w:r/>
          </w:p>
        </w:tc>
      </w:tr>
      <w:tr>
        <w:trPr/>
        <w:tc>
          <w:tcPr>
            <w:tcBorders/>
            <w:tcW w:w="4561" w:type="dxa"/>
          </w:tcPr>
          <w:p>
            <w:pPr>
              <w:pBdr/>
              <w:spacing/>
              <w:ind/>
              <w:rPr/>
            </w:pPr>
            <w:r>
              <w:rPr>
                <w:b/>
                <w:sz w:val="20"/>
              </w:rPr>
              <w:t xml:space="preserve">Prefijo fijo del proyecto</w:t>
            </w:r>
            <w:r/>
          </w:p>
        </w:tc>
        <w:tc>
          <w:tcPr>
            <w:tcBorders/>
            <w:tcW w:w="4561" w:type="dxa"/>
          </w:tcPr>
          <w:p>
            <w:pPr>
              <w:pBdr/>
              <w:spacing/>
              <w:ind/>
              <w:rPr/>
            </w:pPr>
            <w:r>
              <w:rPr>
                <w:sz w:val="20"/>
              </w:rPr>
              <w:t xml:space="preserve">Evita colisiones si el sistema se integra con otras fuentes de datos.</w:t>
            </w:r>
            <w:r/>
          </w:p>
        </w:tc>
      </w:tr>
      <w:tr>
        <w:trPr/>
        <w:tc>
          <w:tcPr>
            <w:shd w:val="clear" w:color="auto" w:fill="f1f8e9"/>
            <w:tcBorders/>
            <w:tcW w:w="4561" w:type="dxa"/>
          </w:tcPr>
          <w:p>
            <w:pPr>
              <w:pBdr/>
              <w:spacing/>
              <w:ind/>
              <w:rPr/>
            </w:pPr>
            <w:r>
              <w:rPr>
                <w:b/>
                <w:sz w:val="20"/>
              </w:rPr>
              <w:t xml:space="preserve">Año del archivo</w:t>
            </w:r>
            <w:r/>
          </w:p>
        </w:tc>
        <w:tc>
          <w:tcPr>
            <w:shd w:val="clear" w:color="auto" w:fill="f1f8e9"/>
            <w:tcBorders/>
            <w:tcW w:w="4561" w:type="dxa"/>
          </w:tcPr>
          <w:p>
            <w:pPr>
              <w:pBdr/>
              <w:spacing/>
              <w:ind/>
              <w:rPr/>
            </w:pPr>
            <w:r>
              <w:rPr>
                <w:sz w:val="20"/>
              </w:rPr>
              <w:t xml:space="preserve">El año del archivo de origen (2019, 2020, …, 2024).</w:t>
            </w:r>
            <w:r/>
          </w:p>
        </w:tc>
      </w:tr>
      <w:tr>
        <w:trPr/>
        <w:tc>
          <w:tcPr>
            <w:tcBorders/>
            <w:tcW w:w="4561" w:type="dxa"/>
          </w:tcPr>
          <w:p>
            <w:pPr>
              <w:pBdr/>
              <w:spacing/>
              <w:ind/>
              <w:rPr/>
            </w:pPr>
            <w:r>
              <w:rPr>
                <w:b/>
                <w:sz w:val="20"/>
              </w:rPr>
              <w:t xml:space="preserve">Número de línea</w:t>
            </w:r>
            <w:r/>
          </w:p>
        </w:tc>
        <w:tc>
          <w:tcPr>
            <w:tcBorders/>
            <w:tcW w:w="4561" w:type="dxa"/>
          </w:tcPr>
          <w:p>
            <w:pPr>
              <w:pBdr/>
              <w:spacing/>
              <w:ind/>
              <w:rPr/>
            </w:pPr>
            <w:r>
              <w:rPr>
                <w:sz w:val="20"/>
              </w:rPr>
              <w:t xml:space="preserve">La posición exacta de la fila en el archivo de texto original.</w:t>
            </w:r>
            <w:r/>
          </w:p>
        </w:tc>
      </w:tr>
      <w:tr>
        <w:trPr/>
        <w:tc>
          <w:tcPr>
            <w:shd w:val="clear" w:color="auto" w:fill="f1f8e9"/>
            <w:tcBorders/>
            <w:tcW w:w="4561" w:type="dxa"/>
          </w:tcPr>
          <w:p>
            <w:pPr>
              <w:pBdr/>
              <w:spacing/>
              <w:ind/>
              <w:rPr/>
            </w:pPr>
            <w:r>
              <w:rPr>
                <w:b/>
                <w:sz w:val="20"/>
              </w:rPr>
              <w:t xml:space="preserve">Huella digital del contenido</w:t>
            </w:r>
            <w:r/>
          </w:p>
        </w:tc>
        <w:tc>
          <w:tcPr>
            <w:shd w:val="clear" w:color="auto" w:fill="f1f8e9"/>
            <w:tcBorders/>
            <w:tcW w:w="4561" w:type="dxa"/>
          </w:tcPr>
          <w:p>
            <w:pPr>
              <w:pBdr/>
              <w:spacing/>
              <w:ind/>
              <w:rPr/>
            </w:pPr>
            <w:r>
              <w:rPr>
                <w:sz w:val="20"/>
              </w:rPr>
              <w:t xml:space="preserve">Un resumen matemático del contenido completo de esa fila (algoritmo blake2b). Garantiza que si dos filas tienen el mismo número de línea en archivos distintos, sus IDs serán diferentes.</w:t>
            </w:r>
            <w:r/>
          </w:p>
        </w:tc>
      </w:tr>
    </w:tbl>
    <w:p>
      <w:pPr>
        <w:pBdr/>
        <w:spacing/>
        <w:ind/>
        <w:rPr/>
      </w:pPr>
      <w:r/>
      <w:r/>
    </w:p>
    <w:p>
      <w:pPr>
        <w:pBdr/>
        <w:spacing/>
        <w:ind/>
        <w:rPr/>
      </w:pPr>
      <w:r>
        <w:rPr>
          <w:b w:val="0"/>
          <w:i w:val="0"/>
          <w:sz w:val="22"/>
        </w:rPr>
        <w:t xml:space="preserve">Esta combinación garantiza tres propiedades:</w:t>
      </w:r>
      <w:r/>
    </w:p>
    <w:p>
      <w:pPr>
        <w:pStyle w:val="723"/>
        <w:pBdr/>
        <w:spacing/>
        <w:ind w:left="283"/>
        <w:rPr/>
      </w:pPr>
      <w:r>
        <w:rPr>
          <w:sz w:val="22"/>
        </w:rPr>
        <w:t xml:space="preserve">Único: no pueden existir dos registros con el mismo ID aunque tengan contenido similar.</w:t>
      </w:r>
      <w:r/>
    </w:p>
    <w:p>
      <w:pPr>
        <w:pStyle w:val="723"/>
        <w:pBdr/>
        <w:spacing/>
        <w:ind w:left="283"/>
        <w:rPr/>
      </w:pPr>
      <w:r>
        <w:rPr>
          <w:sz w:val="22"/>
        </w:rPr>
        <w:t xml:space="preserve">Reproducible: si se procesan los mismos archivos dos veces, cada fila obtiene exactamente el mismo ID.</w:t>
      </w:r>
      <w:r/>
    </w:p>
    <w:p>
      <w:pPr>
        <w:pStyle w:val="723"/>
        <w:pBdr/>
        <w:spacing/>
        <w:ind w:left="283"/>
        <w:rPr/>
      </w:pPr>
      <w:r>
        <w:rPr>
          <w:sz w:val="22"/>
        </w:rPr>
        <w:t xml:space="preserve">Resistente al orden: no depende de ninguna función interna que pueda variar entre ejecuciones.</w:t>
      </w:r>
      <w:r/>
    </w:p>
    <w:p>
      <w:pPr>
        <w:pBdr/>
        <w:spacing/>
        <w:ind/>
        <w:rPr/>
      </w:pPr>
      <w:r>
        <w:rPr>
          <w:b w:val="0"/>
          <w:i/>
          <w:color w:val="37474f"/>
          <w:sz w:val="22"/>
        </w:rPr>
        <w:t xml:space="preserve">El ID_EPISODIO solo se usa para cruzar tablas internamente. El modelo de aprendizaje automático nunca lo ve: si lo viera, memorizaría registros en lugar de aprender patrones clínicos.</w:t>
      </w:r>
      <w:r/>
    </w:p>
    <w:p>
      <w:pPr>
        <w:pStyle w:val="693"/>
        <w:pBdr/>
        <w:spacing/>
        <w:ind/>
        <w:jc w:val="left"/>
        <w:rPr/>
      </w:pPr>
      <w:r>
        <w:rPr>
          <w:color w:val="1b5e20"/>
        </w:rPr>
        <w:t xml:space="preserve">5. Problemas de calidad encontrados en los datos</w:t>
      </w:r>
      <w:r/>
    </w:p>
    <w:p>
      <w:pPr>
        <w:pBdr/>
        <w:spacing/>
        <w:ind/>
        <w:rPr/>
      </w:pPr>
      <w:r>
        <w:rPr>
          <w:b w:val="0"/>
          <w:i w:val="0"/>
          <w:sz w:val="22"/>
        </w:rPr>
        <w:t xml:space="preserve">Los datos administrativos hospitalarios presentan sistemáticamente va</w:t>
      </w:r>
      <w:r>
        <w:rPr>
          <w:b w:val="0"/>
          <w:i w:val="0"/>
          <w:sz w:val="22"/>
        </w:rPr>
        <w:t xml:space="preserve">lores faltantes, errores de digitación e inconsistencias de formato. El principio central del tratamiento es: cuando se detecta un dato incorrecto, el sistema anula solo ese valor específico y conserva el resto del episodio. Nunca imputa ni estima valores.</w:t>
      </w:r>
      <w:r/>
    </w:p>
    <w:p>
      <w:pPr>
        <w:pStyle w:val="694"/>
        <w:pBdr/>
        <w:spacing/>
        <w:ind/>
        <w:jc w:val="left"/>
        <w:rPr/>
      </w:pPr>
      <w:r>
        <w:rPr>
          <w:color w:val="2e7d32"/>
        </w:rPr>
        <w:t xml:space="preserve">5.1 Formatos de fecha distintos entre columnas</w:t>
      </w:r>
      <w:r/>
    </w:p>
    <w:p>
      <w:pPr>
        <w:pBdr/>
        <w:spacing/>
        <w:ind/>
        <w:rPr/>
      </w:pPr>
      <w:r>
        <w:rPr>
          <w:b w:val="0"/>
          <w:i w:val="0"/>
          <w:sz w:val="22"/>
        </w:rPr>
        <w:t xml:space="preserve">FECHA_INGR</w:t>
      </w:r>
      <w:r>
        <w:rPr>
          <w:b w:val="0"/>
          <w:i w:val="0"/>
          <w:sz w:val="22"/>
        </w:rPr>
        <w:t xml:space="preserve">ESO y FECHAALTA usan el formato día-mes-año. FECHA_NACIMIENTO usa año-mes-día. Si no se unifican antes de cualquier operación, los cálculos de días producen resultados incorrectos. El código convierte ambas al formato estándar durante la etapa de limpieza.</w:t>
      </w:r>
      <w:r/>
    </w:p>
    <w:p>
      <w:pPr>
        <w:pStyle w:val="694"/>
        <w:pBdr/>
        <w:spacing/>
        <w:ind/>
        <w:jc w:val="left"/>
        <w:rPr/>
      </w:pPr>
      <w:r>
        <w:rPr>
          <w:color w:val="2e7d32"/>
        </w:rPr>
        <w:t xml:space="preserve">5.2 Fechas con valores imposibles</w:t>
      </w:r>
      <w:r/>
    </w:p>
    <w:tbl>
      <w:tblPr>
        <w:tblStyle w:val="753"/>
        <w:tblW w:w="0" w:type="auto"/>
        <w:tblBorders/>
        <w:tblLook w:val="04A0" w:firstRow="1" w:lastRow="0" w:firstColumn="1" w:lastColumn="0" w:noHBand="0" w:noVBand="1"/>
      </w:tblPr>
      <w:tblGrid>
        <w:gridCol w:w="2280"/>
        <w:gridCol w:w="2280"/>
        <w:gridCol w:w="2280"/>
        <w:gridCol w:w="2280"/>
      </w:tblGrid>
      <w:tr>
        <w:trPr/>
        <w:tc>
          <w:tcPr>
            <w:shd w:val="clear" w:color="auto" w:fill="1b5e20"/>
            <w:tcBorders/>
            <w:tcW w:w="2280" w:type="dxa"/>
          </w:tcPr>
          <w:p>
            <w:pPr>
              <w:pBdr/>
              <w:spacing/>
              <w:ind/>
              <w:jc w:val="center"/>
              <w:rPr/>
            </w:pPr>
            <w:r>
              <w:rPr>
                <w:b/>
                <w:color w:val="ffffff"/>
                <w:sz w:val="20"/>
              </w:rPr>
              <w:t xml:space="preserve">Problema</w:t>
            </w:r>
            <w:r/>
          </w:p>
        </w:tc>
        <w:tc>
          <w:tcPr>
            <w:shd w:val="clear" w:color="auto" w:fill="1b5e20"/>
            <w:tcBorders/>
            <w:tcW w:w="2280" w:type="dxa"/>
          </w:tcPr>
          <w:p>
            <w:pPr>
              <w:pBdr/>
              <w:spacing/>
              <w:ind/>
              <w:jc w:val="center"/>
              <w:rPr/>
            </w:pPr>
            <w:r>
              <w:rPr>
                <w:b/>
                <w:color w:val="ffffff"/>
                <w:sz w:val="20"/>
              </w:rPr>
              <w:t xml:space="preserve">Registros afectados</w:t>
            </w:r>
            <w:r/>
          </w:p>
        </w:tc>
        <w:tc>
          <w:tcPr>
            <w:shd w:val="clear" w:color="auto" w:fill="1b5e20"/>
            <w:tcBorders/>
            <w:tcW w:w="2280" w:type="dxa"/>
          </w:tcPr>
          <w:p>
            <w:pPr>
              <w:pBdr/>
              <w:spacing/>
              <w:ind/>
              <w:jc w:val="center"/>
              <w:rPr/>
            </w:pPr>
            <w:r>
              <w:rPr>
                <w:b/>
                <w:color w:val="ffffff"/>
                <w:sz w:val="20"/>
              </w:rPr>
              <w:t xml:space="preserve">Acción en el código</w:t>
            </w:r>
            <w:r/>
          </w:p>
        </w:tc>
        <w:tc>
          <w:tcPr>
            <w:shd w:val="clear" w:color="auto" w:fill="1b5e20"/>
            <w:tcBorders/>
            <w:tcW w:w="2280" w:type="dxa"/>
          </w:tcPr>
          <w:p>
            <w:pPr>
              <w:pBdr/>
              <w:spacing/>
              <w:ind/>
              <w:jc w:val="center"/>
              <w:rPr/>
            </w:pPr>
            <w:r>
              <w:rPr>
                <w:b/>
                <w:color w:val="ffffff"/>
                <w:sz w:val="20"/>
              </w:rPr>
              <w:t xml:space="preserve">Impacto si no se corrige</w:t>
            </w:r>
            <w:r/>
          </w:p>
        </w:tc>
      </w:tr>
      <w:tr>
        <w:trPr/>
        <w:tc>
          <w:tcPr>
            <w:tcBorders/>
            <w:tcW w:w="2280" w:type="dxa"/>
          </w:tcPr>
          <w:p>
            <w:pPr>
              <w:pBdr/>
              <w:spacing/>
              <w:ind/>
              <w:rPr/>
            </w:pPr>
            <w:r>
              <w:rPr>
                <w:b/>
                <w:sz w:val="20"/>
              </w:rPr>
              <w:t xml:space="preserve">Fecha de alta anterior al ingreso</w:t>
            </w:r>
            <w:r/>
          </w:p>
        </w:tc>
        <w:tc>
          <w:tcPr>
            <w:tcBorders/>
            <w:tcW w:w="2280" w:type="dxa"/>
          </w:tcPr>
          <w:p>
            <w:pPr>
              <w:pBdr/>
              <w:spacing/>
              <w:ind/>
              <w:rPr/>
            </w:pPr>
            <w:r>
              <w:rPr>
                <w:sz w:val="20"/>
              </w:rPr>
              <w:t xml:space="preserve">18 en 5.808.536</w:t>
            </w:r>
            <w:r/>
          </w:p>
        </w:tc>
        <w:tc>
          <w:tcPr>
            <w:tcBorders/>
            <w:tcW w:w="2280" w:type="dxa"/>
          </w:tcPr>
          <w:p>
            <w:pPr>
              <w:pBdr/>
              <w:spacing/>
              <w:ind/>
              <w:rPr/>
            </w:pPr>
            <w:r>
              <w:rPr>
                <w:sz w:val="20"/>
              </w:rPr>
              <w:t xml:space="preserve">Se anula solo el cálculo de días de estadía. El episodio se conserva.</w:t>
            </w:r>
            <w:r/>
          </w:p>
        </w:tc>
        <w:tc>
          <w:tcPr>
            <w:tcBorders/>
            <w:tcW w:w="2280" w:type="dxa"/>
          </w:tcPr>
          <w:p>
            <w:pPr>
              <w:pBdr/>
              <w:spacing/>
              <w:ind/>
              <w:rPr/>
            </w:pPr>
            <w:r>
              <w:rPr>
                <w:sz w:val="20"/>
              </w:rPr>
              <w:t xml:space="preserve">El modelo de estadía recibiría días negativos, distorsionando completamente sus predicciones.</w:t>
            </w:r>
            <w:r/>
          </w:p>
        </w:tc>
      </w:tr>
      <w:tr>
        <w:trPr/>
        <w:tc>
          <w:tcPr>
            <w:shd w:val="clear" w:color="auto" w:fill="f1f8e9"/>
            <w:tcBorders/>
            <w:tcW w:w="2280" w:type="dxa"/>
          </w:tcPr>
          <w:p>
            <w:pPr>
              <w:pBdr/>
              <w:spacing/>
              <w:ind/>
              <w:rPr/>
            </w:pPr>
            <w:r>
              <w:rPr>
                <w:b/>
                <w:sz w:val="20"/>
              </w:rPr>
              <w:t xml:space="preserve">Fecha de nacimiento posterior al ingreso (edad negativa)</w:t>
            </w:r>
            <w:r/>
          </w:p>
        </w:tc>
        <w:tc>
          <w:tcPr>
            <w:shd w:val="clear" w:color="auto" w:fill="f1f8e9"/>
            <w:tcBorders/>
            <w:tcW w:w="2280" w:type="dxa"/>
          </w:tcPr>
          <w:p>
            <w:pPr>
              <w:pBdr/>
              <w:spacing/>
              <w:ind/>
              <w:rPr/>
            </w:pPr>
            <w:r>
              <w:rPr>
                <w:sz w:val="20"/>
              </w:rPr>
              <w:t xml:space="preserve">Menos del 0,01%</w:t>
            </w:r>
            <w:r/>
          </w:p>
        </w:tc>
        <w:tc>
          <w:tcPr>
            <w:shd w:val="clear" w:color="auto" w:fill="f1f8e9"/>
            <w:tcBorders/>
            <w:tcW w:w="2280" w:type="dxa"/>
          </w:tcPr>
          <w:p>
            <w:pPr>
              <w:pBdr/>
              <w:spacing/>
              <w:ind/>
              <w:rPr/>
            </w:pPr>
            <w:r>
              <w:rPr>
                <w:sz w:val="20"/>
              </w:rPr>
              <w:t xml:space="preserve">Se anula solo el valor de edad. El episodio con todos sus diagnósticos se conserva.</w:t>
            </w:r>
            <w:r/>
          </w:p>
        </w:tc>
        <w:tc>
          <w:tcPr>
            <w:shd w:val="clear" w:color="auto" w:fill="f1f8e9"/>
            <w:tcBorders/>
            <w:tcW w:w="2280" w:type="dxa"/>
          </w:tcPr>
          <w:p>
            <w:pPr>
              <w:pBdr/>
              <w:spacing/>
              <w:ind/>
              <w:rPr/>
            </w:pPr>
            <w:r>
              <w:rPr>
                <w:sz w:val="20"/>
              </w:rPr>
              <w:t xml:space="preserve">Una edad negativa como predictor hace que el modelo intente interpretar un valor imposible.</w:t>
            </w:r>
            <w:r/>
          </w:p>
        </w:tc>
      </w:tr>
      <w:tr>
        <w:trPr/>
        <w:tc>
          <w:tcPr>
            <w:tcBorders/>
            <w:tcW w:w="2280" w:type="dxa"/>
          </w:tcPr>
          <w:p>
            <w:pPr>
              <w:pBdr/>
              <w:spacing/>
              <w:ind/>
              <w:rPr/>
            </w:pPr>
            <w:r>
              <w:rPr>
                <w:b/>
                <w:sz w:val="20"/>
              </w:rPr>
              <w:t xml:space="preserve">Edad calculada mayor a 110 años</w:t>
            </w:r>
            <w:r/>
          </w:p>
        </w:tc>
        <w:tc>
          <w:tcPr>
            <w:tcBorders/>
            <w:tcW w:w="2280" w:type="dxa"/>
          </w:tcPr>
          <w:p>
            <w:pPr>
              <w:pBdr/>
              <w:spacing/>
              <w:ind/>
              <w:rPr/>
            </w:pPr>
            <w:r>
              <w:rPr>
                <w:sz w:val="20"/>
              </w:rPr>
              <w:t xml:space="preserve">Menos del 0,01%</w:t>
            </w:r>
            <w:r/>
          </w:p>
        </w:tc>
        <w:tc>
          <w:tcPr>
            <w:tcBorders/>
            <w:tcW w:w="2280" w:type="dxa"/>
          </w:tcPr>
          <w:p>
            <w:pPr>
              <w:pBdr/>
              <w:spacing/>
              <w:ind/>
              <w:rPr/>
            </w:pPr>
            <w:r>
              <w:rPr>
                <w:sz w:val="20"/>
              </w:rPr>
              <w:t xml:space="preserve">Se anula solo la edad. El episodio se conserva.</w:t>
            </w:r>
            <w:r/>
          </w:p>
        </w:tc>
        <w:tc>
          <w:tcPr>
            <w:tcBorders/>
            <w:tcW w:w="2280" w:type="dxa"/>
          </w:tcPr>
          <w:p>
            <w:pPr>
              <w:pBdr/>
              <w:spacing/>
              <w:ind/>
              <w:rPr/>
            </w:pPr>
            <w:r>
              <w:rPr>
                <w:sz w:val="20"/>
              </w:rPr>
              <w:t xml:space="preserve">Distorsiona las predicciones de riesgo asociadas a la edad del paciente.</w:t>
            </w:r>
            <w:r/>
          </w:p>
        </w:tc>
      </w:tr>
    </w:tbl>
    <w:p>
      <w:pPr>
        <w:pBdr/>
        <w:spacing/>
        <w:ind/>
        <w:rPr/>
      </w:pPr>
      <w:r/>
      <w:r/>
    </w:p>
    <w:p>
      <w:pPr>
        <w:pStyle w:val="694"/>
        <w:pBdr/>
        <w:spacing/>
        <w:ind/>
        <w:jc w:val="left"/>
        <w:rPr/>
      </w:pPr>
      <w:r>
        <w:rPr>
          <w:color w:val="2e7d32"/>
        </w:rPr>
        <w:t xml:space="preserve">5.3 Separador decimal incorrecto</w:t>
      </w:r>
      <w:r/>
    </w:p>
    <w:p>
      <w:pPr>
        <w:pBdr/>
        <w:spacing/>
        <w:ind/>
        <w:rPr/>
      </w:pPr>
      <w:r>
        <w:rPr>
          <w:b w:val="0"/>
          <w:i w:val="0"/>
          <w:sz w:val="22"/>
        </w:rPr>
        <w:t xml:space="preserve">La columna IR_29301_P</w:t>
      </w:r>
      <w:r>
        <w:rPr>
          <w:b w:val="0"/>
          <w:i w:val="0"/>
          <w:sz w:val="22"/>
        </w:rPr>
        <w:t xml:space="preserve">ESO registra los valores con coma como separador decimal (ej. '0,7094') en lugar de punto. El sistema los lee como texto y no como número, haciendo imposible cualquier operación aritmética. El código reemplaza la coma por punto antes de convertir el valor.</w:t>
      </w:r>
      <w:r/>
    </w:p>
    <w:p>
      <w:pPr>
        <w:pStyle w:val="694"/>
        <w:pBdr/>
        <w:spacing/>
        <w:ind/>
        <w:jc w:val="left"/>
        <w:rPr/>
      </w:pPr>
      <w:r>
        <w:rPr>
          <w:color w:val="2e7d32"/>
        </w:rPr>
        <w:t xml:space="preserve">5.4 Procedimientos leídos como números (pérdida de ceros iniciales)</w:t>
      </w:r>
      <w:r/>
    </w:p>
    <w:p>
      <w:pPr>
        <w:pBdr/>
        <w:spacing/>
        <w:ind/>
        <w:rPr/>
      </w:pPr>
      <w:r>
        <w:rPr>
          <w:b w:val="0"/>
          <w:i w:val="0"/>
          <w:sz w:val="22"/>
        </w:rPr>
        <w:t xml:space="preserve">Los códigos de procedimientos CIE-9-MC comienzan con cero (ej. '00.17'). Al leerlos </w:t>
      </w:r>
      <w:r>
        <w:rPr>
          <w:b w:val="0"/>
          <w:i w:val="0"/>
          <w:sz w:val="22"/>
        </w:rPr>
        <w:t xml:space="preserve">como número, el cero inicial desaparece y el código queda como '0.17', que es irreconocible en los catálogos. Además, la columna PROCEDIMIENTO2 cambia de tipo de dato entre años. El código lee todos los procedimientos siempre como texto, en todos los años.</w:t>
      </w:r>
      <w:r/>
    </w:p>
    <w:p>
      <w:pPr>
        <w:pStyle w:val="694"/>
        <w:pBdr/>
        <w:spacing/>
        <w:ind/>
        <w:jc w:val="left"/>
        <w:rPr/>
      </w:pPr>
      <w:r>
        <w:rPr>
          <w:color w:val="2e7d32"/>
        </w:rPr>
        <w:t xml:space="preserve">5.5 Inconsistencias en el formato de textos y diagnósticos</w:t>
      </w:r>
      <w:r/>
    </w:p>
    <w:p>
      <w:pPr>
        <w:pBdr/>
        <w:spacing/>
        <w:ind/>
        <w:rPr/>
      </w:pPr>
      <w:r>
        <w:rPr>
          <w:b w:val="0"/>
          <w:i w:val="0"/>
          <w:sz w:val="22"/>
        </w:rPr>
        <w:t xml:space="preserve">Los códigos CIE-10 y las categorías de texto presentan múltiples inconsistencias que generan duplicados artificiales. Si no se corrigen, el mismo diagnóstico sería tratado como categorías distintas, dividiendo la información y debilitando el modelo.</w:t>
      </w:r>
      <w:r/>
    </w:p>
    <w:tbl>
      <w:tblPr>
        <w:tblStyle w:val="753"/>
        <w:tblW w:w="0" w:type="auto"/>
        <w:tblBorders/>
        <w:tblLook w:val="04A0" w:firstRow="1" w:lastRow="0" w:firstColumn="1" w:lastColumn="0" w:noHBand="0" w:noVBand="1"/>
      </w:tblPr>
      <w:tblGrid>
        <w:gridCol w:w="2280"/>
        <w:gridCol w:w="2280"/>
        <w:gridCol w:w="2280"/>
        <w:gridCol w:w="2280"/>
      </w:tblGrid>
      <w:tr>
        <w:trPr/>
        <w:tc>
          <w:tcPr>
            <w:shd w:val="clear" w:color="auto" w:fill="1b5e20"/>
            <w:tcBorders/>
            <w:tcW w:w="2280" w:type="dxa"/>
          </w:tcPr>
          <w:p>
            <w:pPr>
              <w:pBdr/>
              <w:spacing/>
              <w:ind/>
              <w:jc w:val="center"/>
              <w:rPr/>
            </w:pPr>
            <w:r>
              <w:rPr>
                <w:b/>
                <w:color w:val="ffffff"/>
                <w:sz w:val="20"/>
              </w:rPr>
              <w:t xml:space="preserve">Inconsistencia</w:t>
            </w:r>
            <w:r/>
          </w:p>
        </w:tc>
        <w:tc>
          <w:tcPr>
            <w:shd w:val="clear" w:color="auto" w:fill="1b5e20"/>
            <w:tcBorders/>
            <w:tcW w:w="2280" w:type="dxa"/>
          </w:tcPr>
          <w:p>
            <w:pPr>
              <w:pBdr/>
              <w:spacing/>
              <w:ind/>
              <w:jc w:val="center"/>
              <w:rPr/>
            </w:pPr>
            <w:r>
              <w:rPr>
                <w:b/>
                <w:color w:val="ffffff"/>
                <w:sz w:val="20"/>
              </w:rPr>
              <w:t xml:space="preserve">Valor incorrecto</w:t>
            </w:r>
            <w:r/>
          </w:p>
        </w:tc>
        <w:tc>
          <w:tcPr>
            <w:shd w:val="clear" w:color="auto" w:fill="1b5e20"/>
            <w:tcBorders/>
            <w:tcW w:w="2280" w:type="dxa"/>
          </w:tcPr>
          <w:p>
            <w:pPr>
              <w:pBdr/>
              <w:spacing/>
              <w:ind/>
              <w:jc w:val="center"/>
              <w:rPr/>
            </w:pPr>
            <w:r>
              <w:rPr>
                <w:b/>
                <w:color w:val="ffffff"/>
                <w:sz w:val="20"/>
              </w:rPr>
              <w:t xml:space="preserve">Valor correcto</w:t>
            </w:r>
            <w:r/>
          </w:p>
        </w:tc>
        <w:tc>
          <w:tcPr>
            <w:shd w:val="clear" w:color="auto" w:fill="1b5e20"/>
            <w:tcBorders/>
            <w:tcW w:w="2280" w:type="dxa"/>
          </w:tcPr>
          <w:p>
            <w:pPr>
              <w:pBdr/>
              <w:spacing/>
              <w:ind/>
              <w:jc w:val="center"/>
              <w:rPr/>
            </w:pPr>
            <w:r>
              <w:rPr>
                <w:b/>
                <w:color w:val="ffffff"/>
                <w:sz w:val="20"/>
              </w:rPr>
              <w:t xml:space="preserve">Impacto si no se corrige</w:t>
            </w:r>
            <w:r/>
          </w:p>
        </w:tc>
      </w:tr>
      <w:tr>
        <w:trPr/>
        <w:tc>
          <w:tcPr>
            <w:tcBorders/>
            <w:tcW w:w="2280" w:type="dxa"/>
          </w:tcPr>
          <w:p>
            <w:pPr>
              <w:pBdr/>
              <w:spacing/>
              <w:ind/>
              <w:rPr/>
            </w:pPr>
            <w:r>
              <w:rPr>
                <w:b/>
                <w:sz w:val="20"/>
              </w:rPr>
              <w:t xml:space="preserve">Diagnóstico en minúsculas</w:t>
            </w:r>
            <w:r/>
          </w:p>
        </w:tc>
        <w:tc>
          <w:tcPr>
            <w:tcBorders/>
            <w:tcW w:w="2280" w:type="dxa"/>
          </w:tcPr>
          <w:p>
            <w:pPr>
              <w:pBdr/>
              <w:spacing/>
              <w:ind/>
              <w:rPr/>
            </w:pPr>
            <w:r>
              <w:rPr>
                <w:sz w:val="20"/>
              </w:rPr>
              <w:t xml:space="preserve">'j18.0'</w:t>
            </w:r>
            <w:r/>
          </w:p>
        </w:tc>
        <w:tc>
          <w:tcPr>
            <w:tcBorders/>
            <w:tcW w:w="2280" w:type="dxa"/>
          </w:tcPr>
          <w:p>
            <w:pPr>
              <w:pBdr/>
              <w:spacing/>
              <w:ind/>
              <w:rPr/>
            </w:pPr>
            <w:r>
              <w:rPr>
                <w:sz w:val="20"/>
              </w:rPr>
              <w:t xml:space="preserve">'J180'</w:t>
            </w:r>
            <w:r/>
          </w:p>
        </w:tc>
        <w:tc>
          <w:tcPr>
            <w:tcBorders/>
            <w:tcW w:w="2280" w:type="dxa"/>
          </w:tcPr>
          <w:p>
            <w:pPr>
              <w:pBdr/>
              <w:spacing/>
              <w:ind/>
              <w:rPr/>
            </w:pPr>
            <w:r>
              <w:rPr>
                <w:sz w:val="20"/>
              </w:rPr>
              <w:t xml:space="preserve">El modelo no reconocería el diagnóstico y no asignaría la comorbilidad correspondiente.</w:t>
            </w:r>
            <w:r/>
          </w:p>
        </w:tc>
      </w:tr>
      <w:tr>
        <w:trPr/>
        <w:tc>
          <w:tcPr>
            <w:shd w:val="clear" w:color="auto" w:fill="f1f8e9"/>
            <w:tcBorders/>
            <w:tcW w:w="2280" w:type="dxa"/>
          </w:tcPr>
          <w:p>
            <w:pPr>
              <w:pBdr/>
              <w:spacing/>
              <w:ind/>
              <w:rPr/>
            </w:pPr>
            <w:r>
              <w:rPr>
                <w:b/>
                <w:sz w:val="20"/>
              </w:rPr>
              <w:t xml:space="preserve">Punto dentro del código CIE-10</w:t>
            </w:r>
            <w:r/>
          </w:p>
        </w:tc>
        <w:tc>
          <w:tcPr>
            <w:shd w:val="clear" w:color="auto" w:fill="f1f8e9"/>
            <w:tcBorders/>
            <w:tcW w:w="2280" w:type="dxa"/>
          </w:tcPr>
          <w:p>
            <w:pPr>
              <w:pBdr/>
              <w:spacing/>
              <w:ind/>
              <w:rPr/>
            </w:pPr>
            <w:r>
              <w:rPr>
                <w:sz w:val="20"/>
              </w:rPr>
              <w:t xml:space="preserve">'J18.0'</w:t>
            </w:r>
            <w:r/>
          </w:p>
        </w:tc>
        <w:tc>
          <w:tcPr>
            <w:shd w:val="clear" w:color="auto" w:fill="f1f8e9"/>
            <w:tcBorders/>
            <w:tcW w:w="2280" w:type="dxa"/>
          </w:tcPr>
          <w:p>
            <w:pPr>
              <w:pBdr/>
              <w:spacing/>
              <w:ind/>
              <w:rPr/>
            </w:pPr>
            <w:r>
              <w:rPr>
                <w:sz w:val="20"/>
              </w:rPr>
              <w:t xml:space="preserve">'J180'</w:t>
            </w:r>
            <w:r/>
          </w:p>
        </w:tc>
        <w:tc>
          <w:tcPr>
            <w:shd w:val="clear" w:color="auto" w:fill="f1f8e9"/>
            <w:tcBorders/>
            <w:tcW w:w="2280" w:type="dxa"/>
          </w:tcPr>
          <w:p>
            <w:pPr>
              <w:pBdr/>
              <w:spacing/>
              <w:ind/>
              <w:rPr/>
            </w:pPr>
            <w:r>
              <w:rPr>
                <w:sz w:val="20"/>
              </w:rPr>
              <w:t xml:space="preserve">'J18.0' y 'J180' serían categorías distintas.</w:t>
            </w:r>
            <w:r/>
          </w:p>
        </w:tc>
      </w:tr>
      <w:tr>
        <w:trPr/>
        <w:tc>
          <w:tcPr>
            <w:tcBorders/>
            <w:tcW w:w="2280" w:type="dxa"/>
          </w:tcPr>
          <w:p>
            <w:pPr>
              <w:pBdr/>
              <w:spacing/>
              <w:ind/>
              <w:rPr/>
            </w:pPr>
            <w:r>
              <w:rPr>
                <w:b/>
                <w:sz w:val="20"/>
              </w:rPr>
              <w:t xml:space="preserve">Espacios extras al inicio o final</w:t>
            </w:r>
            <w:r/>
          </w:p>
        </w:tc>
        <w:tc>
          <w:tcPr>
            <w:tcBorders/>
            <w:tcW w:w="2280" w:type="dxa"/>
          </w:tcPr>
          <w:p>
            <w:pPr>
              <w:pBdr/>
              <w:spacing/>
              <w:ind/>
              <w:rPr/>
            </w:pPr>
            <w:r>
              <w:rPr>
                <w:sz w:val="20"/>
              </w:rPr>
              <w:t xml:space="preserve">'I48 ' (con espacio)</w:t>
            </w:r>
            <w:r/>
          </w:p>
        </w:tc>
        <w:tc>
          <w:tcPr>
            <w:tcBorders/>
            <w:tcW w:w="2280" w:type="dxa"/>
          </w:tcPr>
          <w:p>
            <w:pPr>
              <w:pBdr/>
              <w:spacing/>
              <w:ind/>
              <w:rPr/>
            </w:pPr>
            <w:r>
              <w:rPr>
                <w:sz w:val="20"/>
              </w:rPr>
              <w:t xml:space="preserve">'I48'</w:t>
            </w:r>
            <w:r/>
          </w:p>
        </w:tc>
        <w:tc>
          <w:tcPr>
            <w:tcBorders/>
            <w:tcW w:w="2280" w:type="dxa"/>
          </w:tcPr>
          <w:p>
            <w:pPr>
              <w:pBdr/>
              <w:spacing/>
              <w:ind/>
              <w:rPr/>
            </w:pPr>
            <w:r>
              <w:rPr>
                <w:sz w:val="20"/>
              </w:rPr>
              <w:t xml:space="preserve">'I48' e 'I48 ' serían dos diagnósticos distintos.</w:t>
            </w:r>
            <w:r/>
          </w:p>
        </w:tc>
      </w:tr>
      <w:tr>
        <w:trPr/>
        <w:tc>
          <w:tcPr>
            <w:shd w:val="clear" w:color="auto" w:fill="f1f8e9"/>
            <w:tcBorders/>
            <w:tcW w:w="2280" w:type="dxa"/>
          </w:tcPr>
          <w:p>
            <w:pPr>
              <w:pBdr/>
              <w:spacing/>
              <w:ind/>
              <w:rPr/>
            </w:pPr>
            <w:r>
              <w:rPr>
                <w:b/>
                <w:sz w:val="20"/>
              </w:rPr>
              <w:t xml:space="preserve">Tilde en código</w:t>
            </w:r>
            <w:r/>
          </w:p>
        </w:tc>
        <w:tc>
          <w:tcPr>
            <w:shd w:val="clear" w:color="auto" w:fill="f1f8e9"/>
            <w:tcBorders/>
            <w:tcW w:w="2280" w:type="dxa"/>
          </w:tcPr>
          <w:p>
            <w:pPr>
              <w:pBdr/>
              <w:spacing/>
              <w:ind/>
              <w:rPr/>
            </w:pPr>
            <w:r>
              <w:rPr>
                <w:sz w:val="20"/>
              </w:rPr>
              <w:t xml:space="preserve">'Ó30'</w:t>
            </w:r>
            <w:r/>
          </w:p>
        </w:tc>
        <w:tc>
          <w:tcPr>
            <w:shd w:val="clear" w:color="auto" w:fill="f1f8e9"/>
            <w:tcBorders/>
            <w:tcW w:w="2280" w:type="dxa"/>
          </w:tcPr>
          <w:p>
            <w:pPr>
              <w:pBdr/>
              <w:spacing/>
              <w:ind/>
              <w:rPr/>
            </w:pPr>
            <w:r>
              <w:rPr>
                <w:sz w:val="20"/>
              </w:rPr>
              <w:t xml:space="preserve">'O30'</w:t>
            </w:r>
            <w:r/>
          </w:p>
        </w:tc>
        <w:tc>
          <w:tcPr>
            <w:shd w:val="clear" w:color="auto" w:fill="f1f8e9"/>
            <w:tcBorders/>
            <w:tcW w:w="2280" w:type="dxa"/>
          </w:tcPr>
          <w:p>
            <w:pPr>
              <w:pBdr/>
              <w:spacing/>
              <w:ind/>
              <w:rPr/>
            </w:pPr>
            <w:r>
              <w:rPr>
                <w:sz w:val="20"/>
              </w:rPr>
              <w:t xml:space="preserve">El sistema no lo encontraría en las tablas de referencia.</w:t>
            </w:r>
            <w:r/>
          </w:p>
        </w:tc>
      </w:tr>
      <w:tr>
        <w:trPr/>
        <w:tc>
          <w:tcPr>
            <w:tcBorders/>
            <w:tcW w:w="2280" w:type="dxa"/>
          </w:tcPr>
          <w:p>
            <w:pPr>
              <w:pBdr/>
              <w:spacing/>
              <w:ind/>
              <w:rPr/>
            </w:pPr>
            <w:r>
              <w:rPr>
                <w:b/>
                <w:sz w:val="20"/>
              </w:rPr>
              <w:t xml:space="preserve">Categoría duplicada en ETNIA</w:t>
            </w:r>
            <w:r/>
          </w:p>
        </w:tc>
        <w:tc>
          <w:tcPr>
            <w:tcBorders/>
            <w:tcW w:w="2280" w:type="dxa"/>
          </w:tcPr>
          <w:p>
            <w:pPr>
              <w:pBdr/>
              <w:spacing/>
              <w:ind/>
              <w:rPr/>
            </w:pPr>
            <w:r>
              <w:rPr>
                <w:sz w:val="20"/>
              </w:rPr>
              <w:t xml:space="preserve">'OTRO' y 'Otro' como dos categorías</w:t>
            </w:r>
            <w:r/>
          </w:p>
        </w:tc>
        <w:tc>
          <w:tcPr>
            <w:tcBorders/>
            <w:tcW w:w="2280" w:type="dxa"/>
          </w:tcPr>
          <w:p>
            <w:pPr>
              <w:pBdr/>
              <w:spacing/>
              <w:ind/>
              <w:rPr/>
            </w:pPr>
            <w:r>
              <w:rPr>
                <w:sz w:val="20"/>
              </w:rPr>
              <w:t xml:space="preserve">'OTRO' (único)</w:t>
            </w:r>
            <w:r/>
          </w:p>
        </w:tc>
        <w:tc>
          <w:tcPr>
            <w:tcBorders/>
            <w:tcW w:w="2280" w:type="dxa"/>
          </w:tcPr>
          <w:p>
            <w:pPr>
              <w:pBdr/>
              <w:spacing/>
              <w:ind/>
              <w:rPr/>
            </w:pPr>
            <w:r>
              <w:rPr>
                <w:sz w:val="20"/>
              </w:rPr>
              <w:t xml:space="preserve">Genera dos conteos separados: 1.929.129 y 409.537 registros que deberían ser uno solo.</w:t>
            </w:r>
            <w:r/>
          </w:p>
        </w:tc>
      </w:tr>
    </w:tbl>
    <w:p>
      <w:pPr>
        <w:pBdr/>
        <w:spacing/>
        <w:ind/>
        <w:rPr/>
      </w:pPr>
      <w:r/>
      <w:r/>
    </w:p>
    <w:p>
      <w:pPr>
        <w:pBdr/>
        <w:spacing/>
        <w:ind/>
        <w:rPr/>
      </w:pPr>
      <w:r>
        <w:rPr>
          <w:b w:val="0"/>
          <w:i w:val="0"/>
          <w:sz w:val="22"/>
        </w:rPr>
        <w:t xml:space="preserve">La solución es una normalización estándar aplicada a todos los textos: convertir a mayúsculas, eliminar tildes, eliminar puntos y eliminar espacios al inicio y al final.</w:t>
      </w:r>
      <w:r/>
    </w:p>
    <w:p>
      <w:pPr>
        <w:pStyle w:val="694"/>
        <w:pBdr/>
        <w:spacing/>
        <w:ind/>
        <w:jc w:val="left"/>
        <w:rPr/>
      </w:pPr>
      <w:r>
        <w:rPr>
          <w:color w:val="2e7d32"/>
        </w:rPr>
        <w:t xml:space="preserve">5.6 Columnas completamente vacías o con datos sin significado documentado</w:t>
      </w:r>
      <w:r/>
    </w:p>
    <w:p>
      <w:pPr>
        <w:pBdr/>
        <w:spacing/>
        <w:ind/>
        <w:rPr/>
      </w:pPr>
      <w:r>
        <w:rPr>
          <w:b w:val="0"/>
          <w:i w:val="0"/>
          <w:sz w:val="22"/>
        </w:rPr>
        <w:t xml:space="preserve">Las columnas CONDICIONDEALTANEONATO3 y CONDICIONDEALTANEONATO4 no tienen ningún valor registrado en ninguno de los seis años de datos. Además, la columna RN1ESTADO tiene casi 2 millones de valores con números como '10' que no corresponden a n</w:t>
      </w:r>
      <w:r>
        <w:rPr>
          <w:b w:val="0"/>
          <w:i w:val="0"/>
          <w:sz w:val="22"/>
        </w:rPr>
        <w:t xml:space="preserve">ingún código documentado en manuales clínicos. Las columnas RN2ESTADO, RN3ESTADO y RN4ESTADO tienen conteos que no son coherentes con sus columnas par (señal de desalineación entre años). Todas estas columnas se descartan desde el inicio del procesamiento.</w:t>
      </w:r>
      <w:r/>
    </w:p>
    <w:p>
      <w:pPr>
        <w:pStyle w:val="694"/>
        <w:pBdr/>
        <w:spacing/>
        <w:ind/>
        <w:jc w:val="left"/>
        <w:rPr/>
      </w:pPr>
      <w:r>
        <w:rPr>
          <w:color w:val="2e7d32"/>
        </w:rPr>
        <w:t xml:space="preserve">5.7 Dato de identificación personal en columna de fecha</w:t>
      </w:r>
      <w:r/>
    </w:p>
    <w:p>
      <w:pPr>
        <w:pBdr/>
        <w:spacing/>
        <w:ind/>
        <w:rPr/>
      </w:pPr>
      <w:r>
        <w:rPr>
          <w:b w:val="0"/>
          <w:i w:val="0"/>
          <w:sz w:val="22"/>
        </w:rPr>
        <w:t xml:space="preserve">La columna FECHAPROCEDIMIENTO1 debería tener fechas, pero tiene solo 9 valores en toda la base, y esos 9 valores tienen estructura de RUT chileno. Es un error de carga del sistema hospitalario de origen.</w:t>
      </w:r>
      <w:r/>
    </w:p>
    <w:p>
      <w:pPr>
        <w:pBdr/>
        <w:spacing/>
        <w:ind/>
        <w:rPr/>
      </w:pPr>
      <w:r>
        <w:rPr>
          <w:b w:val="0"/>
          <w:i w:val="0"/>
          <w:sz w:val="22"/>
        </w:rPr>
        <w:t xml:space="preserve">Tratamiento: el </w:t>
      </w:r>
      <w:r>
        <w:rPr>
          <w:b w:val="0"/>
          <w:i w:val="0"/>
          <w:sz w:val="22"/>
        </w:rPr>
        <w:t xml:space="preserve">código detecta estos valores automáticamente, los aísla en cuarentena sin escribirlos en ningún archivo de log, y documenta únicamente que encontró 9 valores sospechosos en esa columna. El valor real nunca queda registrado. La columna completa se descarta.</w:t>
      </w:r>
      <w:r/>
    </w:p>
    <w:p>
      <w:pPr>
        <w:pStyle w:val="694"/>
        <w:pBdr/>
        <w:spacing/>
        <w:ind/>
        <w:jc w:val="left"/>
        <w:rPr/>
      </w:pPr>
      <w:r>
        <w:rPr>
          <w:color w:val="2e7d32"/>
        </w:rPr>
        <w:t xml:space="preserve">5.8 Nombre de columna diferente en el año 2019</w:t>
      </w:r>
      <w:r/>
    </w:p>
    <w:p>
      <w:pPr>
        <w:pBdr/>
        <w:spacing/>
        <w:ind/>
        <w:rPr/>
      </w:pPr>
      <w:r>
        <w:rPr>
          <w:b w:val="0"/>
          <w:i w:val="0"/>
          <w:sz w:val="22"/>
        </w:rPr>
        <w:t xml:space="preserve">El identificador del paciente se llamaba ID_BENEFICIARIO </w:t>
      </w:r>
      <w:r>
        <w:rPr>
          <w:b w:val="0"/>
          <w:i w:val="0"/>
          <w:sz w:val="22"/>
        </w:rPr>
        <w:t xml:space="preserve">en 2019 y fue renombrado a CIP_ENCRIPTADO desde 2020. Sin corregirlo, no es posible rastrear al mismo paciente entre el año 2019 y los años siguientes. El código detecta el nombre antiguo automáticamente y lo unifica durante la ingesta del archivo de 2019.</w:t>
      </w:r>
      <w:r/>
    </w:p>
    <w:p>
      <w:pPr>
        <w:pStyle w:val="694"/>
        <w:pBdr/>
        <w:spacing/>
        <w:ind/>
        <w:jc w:val="left"/>
        <w:rPr/>
      </w:pPr>
      <w:r>
        <w:rPr>
          <w:color w:val="2e7d32"/>
        </w:rPr>
        <w:t xml:space="preserve">5.9 Desajuste de pares en columnas de traslados</w:t>
      </w:r>
      <w:r/>
    </w:p>
    <w:p>
      <w:pPr>
        <w:pBdr/>
        <w:spacing/>
        <w:ind/>
        <w:rPr/>
      </w:pPr>
      <w:r>
        <w:rPr>
          <w:b w:val="0"/>
          <w:i w:val="0"/>
          <w:sz w:val="22"/>
        </w:rPr>
        <w:t xml:space="preserve">Varios pares de columnas fecha-servicio de traslados internos tienen conteos distintos. Por ejemplo, FECHATRASLADO2 tiene 333.365 valores mientras </w:t>
      </w:r>
      <w:r>
        <w:rPr>
          <w:b w:val="0"/>
          <w:i w:val="0"/>
          <w:sz w:val="22"/>
        </w:rPr>
        <w:t xml:space="preserve">SERVICIOTRASLADO2 tiene 333.372: 7 registros más en la columna de servicio que en la de fecha. Esto indica errores de carga en el sistema hospitalario. Estas columnas no se usan como predictores; solo se analizan para detectar si el episodio fue censurado.</w:t>
      </w:r>
      <w:r/>
    </w:p>
    <w:p>
      <w:pPr>
        <w:pStyle w:val="694"/>
        <w:pBdr/>
        <w:spacing/>
        <w:ind/>
        <w:jc w:val="left"/>
        <w:rPr/>
      </w:pPr>
      <w:r>
        <w:rPr>
          <w:color w:val="2e7d32"/>
        </w:rPr>
        <w:t xml:space="preserve">5.10 Principio general: nunca se imputa, solo se anula y documenta</w:t>
      </w:r>
      <w:r/>
    </w:p>
    <w:tbl>
      <w:tblPr>
        <w:tblStyle w:val="753"/>
        <w:tblW w:w="0" w:type="auto"/>
        <w:tblBorders/>
        <w:tblLook w:val="04A0" w:firstRow="1" w:lastRow="0" w:firstColumn="1" w:lastColumn="0" w:noHBand="0" w:noVBand="1"/>
      </w:tblPr>
      <w:tblGrid>
        <w:gridCol w:w="9122"/>
      </w:tblGrid>
      <w:tr>
        <w:trPr/>
        <w:tc>
          <w:tcPr>
            <w:shd w:val="clear" w:color="auto" w:fill="e8f5e9"/>
            <w:tcBorders/>
            <w:tcW w:w="9122" w:type="dxa"/>
          </w:tcPr>
          <w:p>
            <w:pPr>
              <w:pBdr/>
              <w:spacing/>
              <w:ind/>
              <w:rPr/>
            </w:pPr>
            <w:r>
              <w:rPr>
                <w:sz w:val="22"/>
              </w:rPr>
              <w:t xml:space="preserve">Cuando se detecta un valor imposible o incorrecto</w:t>
            </w:r>
            <w:r>
              <w:rPr>
                <w:sz w:val="22"/>
              </w:rPr>
              <w:t xml:space="preserve">, el sistema anula ese valor específico y lo documenta, pero no lo reemplaza por ningún estimado. Esta decisión garantiza que el modelo aprenda únicamente de datos reales. Un promedio calculado introduce suposiciones que pueden distorsionar los resultados.</w:t>
            </w:r>
            <w:r/>
          </w:p>
        </w:tc>
      </w:tr>
    </w:tbl>
    <w:p>
      <w:pPr>
        <w:pBdr/>
        <w:spacing/>
        <w:ind/>
        <w:rPr/>
      </w:pPr>
      <w:r/>
      <w:r/>
    </w:p>
    <w:p>
      <w:pPr>
        <w:pStyle w:val="693"/>
        <w:pBdr/>
        <w:spacing/>
        <w:ind/>
        <w:jc w:val="left"/>
        <w:rPr/>
      </w:pPr>
      <w:r>
        <w:rPr>
          <w:color w:val="1b5e20"/>
        </w:rPr>
        <w:t xml:space="preserve">6. El problema de los traslados entre hospitales</w:t>
      </w:r>
      <w:r/>
    </w:p>
    <w:p>
      <w:pPr>
        <w:pBdr/>
        <w:spacing/>
        <w:ind/>
        <w:rPr/>
      </w:pPr>
      <w:r>
        <w:rPr>
          <w:b w:val="0"/>
          <w:i w:val="0"/>
          <w:sz w:val="22"/>
        </w:rPr>
        <w:t xml:space="preserve">Este es uno de los hallazgos más importantes del análisis de datos. Cuando un paciente es trasladado de un hospital a otro, aparece en los datos como dos registros separados: uno en el hospital de origen y otro en el de destino.</w:t>
      </w:r>
      <w:r/>
    </w:p>
    <w:p>
      <w:pPr>
        <w:pStyle w:val="694"/>
        <w:pBdr/>
        <w:spacing/>
        <w:ind/>
        <w:jc w:val="left"/>
        <w:rPr/>
      </w:pPr>
      <w:r>
        <w:rPr>
          <w:color w:val="2e7d32"/>
        </w:rPr>
        <w:t xml:space="preserve">6.1 Impacto en el modelo de mortalidad</w:t>
      </w:r>
      <w:r/>
    </w:p>
    <w:p>
      <w:pPr>
        <w:pBdr/>
        <w:spacing/>
        <w:ind/>
        <w:rPr/>
      </w:pPr>
      <w:r>
        <w:rPr>
          <w:b w:val="0"/>
          <w:i w:val="0"/>
          <w:sz w:val="22"/>
        </w:rPr>
        <w:t xml:space="preserve">El registro del hospital emisor solo indica que el paciente fue trasladado, pero no dice si finalmente f</w:t>
      </w:r>
      <w:r>
        <w:rPr>
          <w:b w:val="0"/>
          <w:i w:val="0"/>
          <w:sz w:val="22"/>
        </w:rPr>
        <w:t xml:space="preserve">alleció o sobrevivió en el hospital receptor. Si estos casos se clasificaran como 'sobreviviente' porque no aparecen como fallecidos en el registro emisor, se subestimaría sistemáticamente la mortalidad de los hospitales que trasladan más pacientes graves.</w:t>
      </w:r>
      <w:r/>
    </w:p>
    <w:p>
      <w:pPr>
        <w:pBdr/>
        <w:spacing/>
        <w:ind/>
        <w:rPr/>
      </w:pPr>
      <w:r>
        <w:rPr>
          <w:b w:val="0"/>
          <w:i w:val="0"/>
          <w:sz w:val="22"/>
        </w:rPr>
        <w:t xml:space="preserve">La solución es marcarlos como desenlace desconocido y excluirlos del entrenamiento del modelo de mortalidad. En los datos hay 89.438 episodios con esta condición, aproximadamente el 1.5% de todos los registros.</w:t>
      </w:r>
      <w:r/>
    </w:p>
    <w:p>
      <w:pPr>
        <w:pStyle w:val="694"/>
        <w:pBdr/>
        <w:spacing/>
        <w:ind/>
        <w:jc w:val="left"/>
        <w:rPr/>
      </w:pPr>
      <w:r>
        <w:rPr>
          <w:color w:val="2e7d32"/>
        </w:rPr>
        <w:t xml:space="preserve">6.2 Impacto en el modelo de estadía</w:t>
      </w:r>
      <w:r/>
    </w:p>
    <w:p>
      <w:pPr>
        <w:pBdr/>
        <w:spacing/>
        <w:ind/>
        <w:rPr/>
      </w:pPr>
      <w:r>
        <w:rPr>
          <w:b w:val="0"/>
          <w:i w:val="0"/>
          <w:sz w:val="22"/>
        </w:rPr>
        <w:t xml:space="preserve">Si un paciente pasa 2 días </w:t>
      </w:r>
      <w:r>
        <w:rPr>
          <w:b w:val="0"/>
          <w:i w:val="0"/>
          <w:sz w:val="22"/>
        </w:rPr>
        <w:t xml:space="preserve">en el hospital emisor y 8 días en el receptor, los días reales del episodio son 10, no 2 ni 8 por separado. Para calcular correctamente la estadía total el sistema encadena los episodios del mismo paciente usando el identificador encriptado CIP_ENCRIPTADO.</w:t>
      </w:r>
      <w:r/>
    </w:p>
    <w:p>
      <w:pPr>
        <w:pStyle w:val="694"/>
        <w:pBdr/>
        <w:spacing/>
        <w:ind/>
        <w:jc w:val="left"/>
        <w:rPr/>
      </w:pPr>
      <w:r>
        <w:rPr>
          <w:color w:val="2e7d32"/>
        </w:rPr>
        <w:t xml:space="preserve">6.3 El sesgo de alta anticipada: una limitación reconocida</w:t>
      </w:r>
      <w:r/>
    </w:p>
    <w:tbl>
      <w:tblPr>
        <w:tblStyle w:val="753"/>
        <w:tblW w:w="0" w:type="auto"/>
        <w:tblBorders/>
        <w:tblLook w:val="04A0" w:firstRow="1" w:lastRow="0" w:firstColumn="1" w:lastColumn="0" w:noHBand="0" w:noVBand="1"/>
      </w:tblPr>
      <w:tblGrid>
        <w:gridCol w:w="9122"/>
      </w:tblGrid>
      <w:tr>
        <w:trPr/>
        <w:tc>
          <w:tcPr>
            <w:shd w:val="clear" w:color="auto" w:fill="fff9c4"/>
            <w:tcBorders/>
            <w:tcW w:w="9122" w:type="dxa"/>
          </w:tcPr>
          <w:p>
            <w:pPr>
              <w:pBdr/>
              <w:spacing/>
              <w:ind/>
              <w:rPr/>
            </w:pPr>
            <w:r>
              <w:rPr>
                <w:b/>
                <w:sz w:val="22"/>
              </w:rPr>
              <w:t xml:space="preserve">Limitación declarada — sesgo de alta anticipada</w:t>
              <w:br/>
            </w:r>
            <w:r>
              <w:rPr>
                <w:sz w:val="22"/>
              </w:rPr>
              <w:t xml:space="preserve">Se ha documentado en sistemas de salud que algunos hospitales trasladan pacientes en estado terminal a otros centros justo antes de que fallezcan, para que</w:t>
            </w:r>
            <w:r>
              <w:rPr>
                <w:sz w:val="22"/>
              </w:rPr>
              <w:t xml:space="preserve"> la muerte no quede registrada en sus estadísticas. Esta práctica distorsiona cualquier indicador de mortalidad y no puede corregirse computacionalmente con los datos disponibles. El sistema la reconoce explícitamente como una limitación del indicador O/E.</w:t>
            </w:r>
            <w:r/>
          </w:p>
        </w:tc>
      </w:tr>
    </w:tbl>
    <w:p>
      <w:pPr>
        <w:pBdr/>
        <w:spacing/>
        <w:ind/>
        <w:rPr/>
      </w:pPr>
      <w:r/>
      <w:r/>
    </w:p>
    <w:p>
      <w:pPr>
        <w:pStyle w:val="693"/>
        <w:pBdr/>
        <w:spacing/>
        <w:ind/>
        <w:jc w:val="left"/>
        <w:rPr/>
      </w:pPr>
      <w:r>
        <w:rPr>
          <w:color w:val="1b5e20"/>
        </w:rPr>
        <w:t xml:space="preserve">7. Representación del diagnóstico principal en dos niveles</w:t>
      </w:r>
      <w:r/>
    </w:p>
    <w:p>
      <w:pPr>
        <w:pBdr/>
        <w:spacing/>
        <w:ind/>
        <w:rPr/>
      </w:pPr>
      <w:r>
        <w:rPr>
          <w:b w:val="0"/>
          <w:i w:val="0"/>
          <w:sz w:val="22"/>
        </w:rPr>
        <w:t xml:space="preserve">El diagnóstico principal (DIAGNOSTICO1) tiene 9.575 códigos CIE-10 distintos en l</w:t>
      </w:r>
      <w:r>
        <w:rPr>
          <w:b w:val="0"/>
          <w:i w:val="0"/>
          <w:sz w:val="22"/>
        </w:rPr>
        <w:t xml:space="preserve">os datos. Usar ese código directamente en el modelo causaría sobreajuste: muchos diagnósticos tendrían tan pocos pacientes que el modelo no aprendería nada confiable de ellos. Para resolver esto, el diagnóstico se representa en dos niveles simultáneamente:</w:t>
      </w:r>
      <w:r/>
    </w:p>
    <w:tbl>
      <w:tblPr>
        <w:tblStyle w:val="753"/>
        <w:tblW w:w="0" w:type="auto"/>
        <w:tblBorders/>
        <w:tblLook w:val="04A0" w:firstRow="1" w:lastRow="0" w:firstColumn="1" w:lastColumn="0" w:noHBand="0" w:noVBand="1"/>
      </w:tblPr>
      <w:tblGrid>
        <w:gridCol w:w="2280"/>
        <w:gridCol w:w="2280"/>
        <w:gridCol w:w="2280"/>
        <w:gridCol w:w="2280"/>
      </w:tblGrid>
      <w:tr>
        <w:trPr/>
        <w:tc>
          <w:tcPr>
            <w:shd w:val="clear" w:color="auto" w:fill="1b5e20"/>
            <w:tcBorders/>
            <w:tcW w:w="2280" w:type="dxa"/>
          </w:tcPr>
          <w:p>
            <w:pPr>
              <w:pBdr/>
              <w:spacing/>
              <w:ind/>
              <w:jc w:val="center"/>
              <w:rPr/>
            </w:pPr>
            <w:r>
              <w:rPr>
                <w:b/>
                <w:color w:val="ffffff"/>
                <w:sz w:val="20"/>
              </w:rPr>
              <w:t xml:space="preserve">Variable</w:t>
            </w:r>
            <w:r/>
          </w:p>
        </w:tc>
        <w:tc>
          <w:tcPr>
            <w:shd w:val="clear" w:color="auto" w:fill="1b5e20"/>
            <w:tcBorders/>
            <w:tcW w:w="2280" w:type="dxa"/>
          </w:tcPr>
          <w:p>
            <w:pPr>
              <w:pBdr/>
              <w:spacing/>
              <w:ind/>
              <w:jc w:val="center"/>
              <w:rPr/>
            </w:pPr>
            <w:r>
              <w:rPr>
                <w:b/>
                <w:color w:val="ffffff"/>
                <w:sz w:val="20"/>
              </w:rPr>
              <w:t xml:space="preserve">Cómo se construye</w:t>
            </w:r>
            <w:r/>
          </w:p>
        </w:tc>
        <w:tc>
          <w:tcPr>
            <w:shd w:val="clear" w:color="auto" w:fill="1b5e20"/>
            <w:tcBorders/>
            <w:tcW w:w="2280" w:type="dxa"/>
          </w:tcPr>
          <w:p>
            <w:pPr>
              <w:pBdr/>
              <w:spacing/>
              <w:ind/>
              <w:jc w:val="center"/>
              <w:rPr/>
            </w:pPr>
            <w:r>
              <w:rPr>
                <w:b/>
                <w:color w:val="ffffff"/>
                <w:sz w:val="20"/>
              </w:rPr>
              <w:t xml:space="preserve">Cantidad de categorías</w:t>
            </w:r>
            <w:r/>
          </w:p>
        </w:tc>
        <w:tc>
          <w:tcPr>
            <w:shd w:val="clear" w:color="auto" w:fill="1b5e20"/>
            <w:tcBorders/>
            <w:tcW w:w="2280" w:type="dxa"/>
          </w:tcPr>
          <w:p>
            <w:pPr>
              <w:pBdr/>
              <w:spacing/>
              <w:ind/>
              <w:jc w:val="center"/>
              <w:rPr/>
            </w:pPr>
            <w:r>
              <w:rPr>
                <w:b/>
                <w:color w:val="ffffff"/>
                <w:sz w:val="20"/>
              </w:rPr>
              <w:t xml:space="preserve">Para qué sirve</w:t>
            </w:r>
            <w:r/>
          </w:p>
        </w:tc>
      </w:tr>
      <w:tr>
        <w:trPr/>
        <w:tc>
          <w:tcPr>
            <w:tcBorders/>
            <w:tcW w:w="2280" w:type="dxa"/>
          </w:tcPr>
          <w:p>
            <w:pPr>
              <w:pBdr/>
              <w:spacing/>
              <w:ind/>
              <w:rPr/>
            </w:pPr>
            <w:r>
              <w:rPr>
                <w:b/>
                <w:sz w:val="20"/>
              </w:rPr>
              <w:t xml:space="preserve">GRUPO_CLINICO</w:t>
            </w:r>
            <w:r/>
          </w:p>
        </w:tc>
        <w:tc>
          <w:tcPr>
            <w:tcBorders/>
            <w:tcW w:w="2280" w:type="dxa"/>
          </w:tcPr>
          <w:p>
            <w:pPr>
              <w:pBdr/>
              <w:spacing/>
              <w:ind/>
              <w:rPr/>
            </w:pPr>
            <w:r>
              <w:rPr>
                <w:sz w:val="20"/>
              </w:rPr>
              <w:t xml:space="preserve">Primera letra del código CIE-10</w:t>
            </w:r>
            <w:r/>
          </w:p>
        </w:tc>
        <w:tc>
          <w:tcPr>
            <w:tcBorders/>
            <w:tcW w:w="2280" w:type="dxa"/>
          </w:tcPr>
          <w:p>
            <w:pPr>
              <w:pBdr/>
              <w:spacing/>
              <w:ind/>
              <w:rPr/>
            </w:pPr>
            <w:r>
              <w:rPr>
                <w:sz w:val="20"/>
              </w:rPr>
              <w:t xml:space="preserve">~22 categorías</w:t>
            </w:r>
            <w:r/>
          </w:p>
        </w:tc>
        <w:tc>
          <w:tcPr>
            <w:tcBorders/>
            <w:tcW w:w="2280" w:type="dxa"/>
          </w:tcPr>
          <w:p>
            <w:pPr>
              <w:pBdr/>
              <w:spacing/>
              <w:ind/>
              <w:rPr/>
            </w:pPr>
            <w:r>
              <w:rPr>
                <w:sz w:val="20"/>
              </w:rPr>
              <w:t xml:space="preserve">Eje de ajuste estable. Comparable con estándares internacionales de evaluación hospitalaria.</w:t>
            </w:r>
            <w:r/>
          </w:p>
        </w:tc>
      </w:tr>
      <w:tr>
        <w:trPr/>
        <w:tc>
          <w:tcPr>
            <w:shd w:val="clear" w:color="auto" w:fill="f1f8e9"/>
            <w:tcBorders/>
            <w:tcW w:w="2280" w:type="dxa"/>
          </w:tcPr>
          <w:p>
            <w:pPr>
              <w:pBdr/>
              <w:spacing/>
              <w:ind/>
              <w:rPr/>
            </w:pPr>
            <w:r>
              <w:rPr>
                <w:b/>
                <w:sz w:val="20"/>
              </w:rPr>
              <w:t xml:space="preserve">CIE10_3C</w:t>
            </w:r>
            <w:r/>
          </w:p>
        </w:tc>
        <w:tc>
          <w:tcPr>
            <w:shd w:val="clear" w:color="auto" w:fill="f1f8e9"/>
            <w:tcBorders/>
            <w:tcW w:w="2280" w:type="dxa"/>
          </w:tcPr>
          <w:p>
            <w:pPr>
              <w:pBdr/>
              <w:spacing/>
              <w:ind/>
              <w:rPr/>
            </w:pPr>
            <w:r>
              <w:rPr>
                <w:sz w:val="20"/>
              </w:rPr>
              <w:t xml:space="preserve">Primeros 3 caracteres del código CIE-10</w:t>
            </w:r>
            <w:r/>
          </w:p>
        </w:tc>
        <w:tc>
          <w:tcPr>
            <w:shd w:val="clear" w:color="auto" w:fill="f1f8e9"/>
            <w:tcBorders/>
            <w:tcW w:w="2280" w:type="dxa"/>
          </w:tcPr>
          <w:p>
            <w:pPr>
              <w:pBdr/>
              <w:spacing/>
              <w:ind/>
              <w:rPr/>
            </w:pPr>
            <w:r>
              <w:rPr>
                <w:sz w:val="20"/>
              </w:rPr>
              <w:t xml:space="preserve">~1.400 categorías</w:t>
            </w:r>
            <w:r/>
          </w:p>
        </w:tc>
        <w:tc>
          <w:tcPr>
            <w:shd w:val="clear" w:color="auto" w:fill="f1f8e9"/>
            <w:tcBorders/>
            <w:tcW w:w="2280" w:type="dxa"/>
          </w:tcPr>
          <w:p>
            <w:pPr>
              <w:pBdr/>
              <w:spacing/>
              <w:ind/>
              <w:rPr/>
            </w:pPr>
            <w:r>
              <w:rPr>
                <w:sz w:val="20"/>
              </w:rPr>
              <w:t xml:space="preserve">Captura señal clínica específica sin causar sobreajuste.</w:t>
            </w:r>
            <w:r/>
          </w:p>
        </w:tc>
      </w:tr>
    </w:tbl>
    <w:p>
      <w:pPr>
        <w:pBdr/>
        <w:spacing/>
        <w:ind/>
        <w:rPr/>
      </w:pPr>
      <w:r/>
      <w:r/>
    </w:p>
    <w:p>
      <w:pPr>
        <w:pBdr/>
        <w:spacing/>
        <w:ind/>
        <w:rPr/>
      </w:pPr>
      <w:r>
        <w:rPr>
          <w:b w:val="0"/>
          <w:i w:val="0"/>
          <w:sz w:val="22"/>
        </w:rPr>
        <w:t xml:space="preserve">Ejemplo: un paciente con diagnóstico J189 (neumonía no especificada):</w:t>
      </w:r>
      <w:r/>
    </w:p>
    <w:p>
      <w:pPr>
        <w:pStyle w:val="723"/>
        <w:pBdr/>
        <w:spacing/>
        <w:ind w:left="283"/>
        <w:rPr/>
      </w:pPr>
      <w:r>
        <w:rPr>
          <w:sz w:val="22"/>
        </w:rPr>
        <w:t xml:space="preserve">GRUPO_CLINICO → 'J' (enfermedades del sistema respiratorio)</w:t>
      </w:r>
      <w:r/>
    </w:p>
    <w:p>
      <w:pPr>
        <w:pStyle w:val="723"/>
        <w:pBdr/>
        <w:spacing/>
        <w:ind w:left="283"/>
        <w:rPr/>
      </w:pPr>
      <w:r>
        <w:rPr>
          <w:sz w:val="22"/>
        </w:rPr>
        <w:t xml:space="preserve">CIE10_3C → 'J18' (neumonía)</w:t>
      </w:r>
      <w:r/>
    </w:p>
    <w:p>
      <w:pPr>
        <w:pBdr/>
        <w:spacing/>
        <w:ind/>
        <w:rPr/>
      </w:pPr>
      <w:r>
        <w:rPr>
          <w:b w:val="0"/>
          <w:i/>
          <w:color w:val="37474f"/>
          <w:sz w:val="22"/>
        </w:rPr>
        <w:t xml:space="preserve">Esto permite al modelo aprender tanto que los pacientes respiratorios tienen mayor riesgo en general (GRUPO_CLINICO), como que los pacientes con neumonía específicamente tienen un riesgo diferente al de otras enfermedades respiratorias (CIE10_3C).</w:t>
      </w:r>
      <w:r/>
    </w:p>
    <w:p>
      <w:pPr>
        <w:pStyle w:val="693"/>
        <w:pBdr/>
        <w:spacing/>
        <w:ind/>
        <w:jc w:val="left"/>
        <w:rPr/>
      </w:pPr>
      <w:r>
        <w:rPr>
          <w:color w:val="1b5e20"/>
        </w:rPr>
        <w:t xml:space="preserve">8. Variables de historial del paciente</w:t>
      </w:r>
      <w:r/>
    </w:p>
    <w:p>
      <w:pPr>
        <w:pBdr/>
        <w:spacing/>
        <w:ind/>
        <w:rPr/>
      </w:pPr>
      <w:r>
        <w:rPr>
          <w:b w:val="0"/>
          <w:i w:val="0"/>
          <w:sz w:val="22"/>
        </w:rPr>
        <w:t xml:space="preserve">Un paciente hospitalizado 5 veces en el último año tiene una carga de enfermedad crónica</w:t>
      </w:r>
      <w:r>
        <w:rPr>
          <w:b w:val="0"/>
          <w:i w:val="0"/>
          <w:sz w:val="22"/>
        </w:rPr>
        <w:t xml:space="preserve"> mayor que uno sin hospitalizaciones previas, incluso si sus diagnósticos actuales son similares. Para capturar esto, el sistema usa el identificador encriptado CIP_ENCRIPTADO para conectar todos los episodios del mismo paciente y construye tres variables:</w:t>
      </w:r>
      <w:r/>
    </w:p>
    <w:tbl>
      <w:tblPr>
        <w:tblStyle w:val="753"/>
        <w:tblW w:w="0" w:type="auto"/>
        <w:tblBorders/>
        <w:tblLook w:val="04A0" w:firstRow="1" w:lastRow="0" w:firstColumn="1" w:lastColumn="0" w:noHBand="0" w:noVBand="1"/>
      </w:tblPr>
      <w:tblGrid>
        <w:gridCol w:w="3041"/>
        <w:gridCol w:w="3041"/>
        <w:gridCol w:w="3041"/>
      </w:tblGrid>
      <w:tr>
        <w:trPr/>
        <w:tc>
          <w:tcPr>
            <w:shd w:val="clear" w:color="auto" w:fill="1b5e20"/>
            <w:tcBorders/>
            <w:tcW w:w="3041" w:type="dxa"/>
          </w:tcPr>
          <w:p>
            <w:pPr>
              <w:pBdr/>
              <w:spacing/>
              <w:ind/>
              <w:jc w:val="center"/>
              <w:rPr/>
            </w:pPr>
            <w:r>
              <w:rPr>
                <w:b/>
                <w:color w:val="ffffff"/>
                <w:sz w:val="20"/>
              </w:rPr>
              <w:t xml:space="preserve">Variable</w:t>
            </w:r>
            <w:r/>
          </w:p>
        </w:tc>
        <w:tc>
          <w:tcPr>
            <w:shd w:val="clear" w:color="auto" w:fill="1b5e20"/>
            <w:tcBorders/>
            <w:tcW w:w="3041" w:type="dxa"/>
          </w:tcPr>
          <w:p>
            <w:pPr>
              <w:pBdr/>
              <w:spacing/>
              <w:ind/>
              <w:jc w:val="center"/>
              <w:rPr/>
            </w:pPr>
            <w:r>
              <w:rPr>
                <w:b/>
                <w:color w:val="ffffff"/>
                <w:sz w:val="20"/>
              </w:rPr>
              <w:t xml:space="preserve">Qué mide</w:t>
            </w:r>
            <w:r/>
          </w:p>
        </w:tc>
        <w:tc>
          <w:tcPr>
            <w:shd w:val="clear" w:color="auto" w:fill="1b5e20"/>
            <w:tcBorders/>
            <w:tcW w:w="3041" w:type="dxa"/>
          </w:tcPr>
          <w:p>
            <w:pPr>
              <w:pBdr/>
              <w:spacing/>
              <w:ind/>
              <w:jc w:val="center"/>
              <w:rPr/>
            </w:pPr>
            <w:r>
              <w:rPr>
                <w:b/>
                <w:color w:val="ffffff"/>
                <w:sz w:val="20"/>
              </w:rPr>
              <w:t xml:space="preserve">Por qué es necesaria</w:t>
            </w:r>
            <w:r/>
          </w:p>
        </w:tc>
      </w:tr>
      <w:tr>
        <w:trPr/>
        <w:tc>
          <w:tcPr>
            <w:tcBorders/>
            <w:tcW w:w="3041" w:type="dxa"/>
          </w:tcPr>
          <w:p>
            <w:pPr>
              <w:pBdr/>
              <w:spacing/>
              <w:ind/>
              <w:rPr/>
            </w:pPr>
            <w:r>
              <w:rPr>
                <w:b/>
                <w:sz w:val="20"/>
              </w:rPr>
              <w:t xml:space="preserve">N_EGRESOS_12M</w:t>
            </w:r>
            <w:r/>
          </w:p>
        </w:tc>
        <w:tc>
          <w:tcPr>
            <w:tcBorders/>
            <w:tcW w:w="3041" w:type="dxa"/>
          </w:tcPr>
          <w:p>
            <w:pPr>
              <w:pBdr/>
              <w:spacing/>
              <w:ind/>
              <w:rPr/>
            </w:pPr>
            <w:r>
              <w:rPr>
                <w:sz w:val="20"/>
              </w:rPr>
              <w:t xml:space="preserve">Número de hospitalizaciones del paciente en los 12 meses anteriores al ingreso actual</w:t>
            </w:r>
            <w:r/>
          </w:p>
        </w:tc>
        <w:tc>
          <w:tcPr>
            <w:tcBorders/>
            <w:tcW w:w="3041" w:type="dxa"/>
          </w:tcPr>
          <w:p>
            <w:pPr>
              <w:pBdr/>
              <w:spacing/>
              <w:ind/>
              <w:rPr/>
            </w:pPr>
            <w:r>
              <w:rPr>
                <w:sz w:val="20"/>
              </w:rPr>
              <w:t xml:space="preserve">Mide la carga de enfermedad crónica real del paciente a través del tiempo.</w:t>
            </w:r>
            <w:r/>
          </w:p>
        </w:tc>
      </w:tr>
      <w:tr>
        <w:trPr/>
        <w:tc>
          <w:tcPr>
            <w:shd w:val="clear" w:color="auto" w:fill="f1f8e9"/>
            <w:tcBorders/>
            <w:tcW w:w="3041" w:type="dxa"/>
          </w:tcPr>
          <w:p>
            <w:pPr>
              <w:pBdr/>
              <w:spacing/>
              <w:ind/>
              <w:rPr/>
            </w:pPr>
            <w:r>
              <w:rPr>
                <w:b/>
                <w:sz w:val="20"/>
              </w:rPr>
              <w:t xml:space="preserve">DIAS_DESDE_EGRESO_PREVIO</w:t>
            </w:r>
            <w:r/>
          </w:p>
        </w:tc>
        <w:tc>
          <w:tcPr>
            <w:shd w:val="clear" w:color="auto" w:fill="f1f8e9"/>
            <w:tcBorders/>
            <w:tcW w:w="3041" w:type="dxa"/>
          </w:tcPr>
          <w:p>
            <w:pPr>
              <w:pBdr/>
              <w:spacing/>
              <w:ind/>
              <w:rPr/>
            </w:pPr>
            <w:r>
              <w:rPr>
                <w:sz w:val="20"/>
              </w:rPr>
              <w:t xml:space="preserve">Días desde la última hospitalización del paciente</w:t>
            </w:r>
            <w:r/>
          </w:p>
        </w:tc>
        <w:tc>
          <w:tcPr>
            <w:shd w:val="clear" w:color="auto" w:fill="f1f8e9"/>
            <w:tcBorders/>
            <w:tcW w:w="3041" w:type="dxa"/>
          </w:tcPr>
          <w:p>
            <w:pPr>
              <w:pBdr/>
              <w:spacing/>
              <w:ind/>
              <w:rPr/>
            </w:pPr>
            <w:r>
              <w:rPr>
                <w:sz w:val="20"/>
              </w:rPr>
              <w:t xml:space="preserve">Un reingreso en menos de 30 días indica inestabilidad clínica significativa.</w:t>
            </w:r>
            <w:r/>
          </w:p>
        </w:tc>
      </w:tr>
      <w:tr>
        <w:trPr/>
        <w:tc>
          <w:tcPr>
            <w:tcBorders/>
            <w:tcW w:w="3041" w:type="dxa"/>
          </w:tcPr>
          <w:p>
            <w:pPr>
              <w:pBdr/>
              <w:spacing/>
              <w:ind/>
              <w:rPr/>
            </w:pPr>
            <w:r>
              <w:rPr>
                <w:b/>
                <w:sz w:val="20"/>
              </w:rPr>
              <w:t xml:space="preserve">HISTORIA_DISPONIBLE</w:t>
            </w:r>
            <w:r/>
          </w:p>
        </w:tc>
        <w:tc>
          <w:tcPr>
            <w:tcBorders/>
            <w:tcW w:w="3041" w:type="dxa"/>
          </w:tcPr>
          <w:p>
            <w:pPr>
              <w:pBdr/>
              <w:spacing/>
              <w:ind/>
              <w:rPr/>
            </w:pPr>
            <w:r>
              <w:rPr>
                <w:sz w:val="20"/>
              </w:rPr>
              <w:t xml:space="preserve">Indica si hay 12 meses completos de historia (1=sí, 0=no)</w:t>
            </w:r>
            <w:r/>
          </w:p>
        </w:tc>
        <w:tc>
          <w:tcPr>
            <w:tcBorders/>
            <w:tcW w:w="3041" w:type="dxa"/>
          </w:tcPr>
          <w:p>
            <w:pPr>
              <w:pBdr/>
              <w:spacing/>
              <w:ind/>
              <w:rPr/>
            </w:pPr>
            <w:r>
              <w:rPr>
                <w:sz w:val="20"/>
              </w:rPr>
              <w:t xml:space="preserve">Los datos comienzan en enero de 2019. Un paciente que ingresa ese mes aparecería con cero hospitalizaciones previas porque no hay datos de 2018, no porque sea sano. Esta variable avisa al modelo cuándo la historia está incompleta.</w:t>
            </w:r>
            <w:r/>
          </w:p>
        </w:tc>
      </w:tr>
    </w:tbl>
    <w:p>
      <w:pPr>
        <w:pBdr/>
        <w:spacing/>
        <w:ind/>
        <w:rPr/>
      </w:pPr>
      <w:r/>
      <w:r/>
    </w:p>
    <w:p>
      <w:pPr>
        <w:pStyle w:val="693"/>
        <w:pBdr/>
        <w:spacing/>
        <w:ind/>
        <w:jc w:val="left"/>
        <w:rPr/>
      </w:pPr>
      <w:r>
        <w:rPr>
          <w:color w:val="1b5e20"/>
        </w:rPr>
        <w:t xml:space="preserve">9. Variables que requieren verificación antes de incluirse</w:t>
      </w:r>
      <w:r/>
    </w:p>
    <w:p>
      <w:pPr>
        <w:pBdr/>
        <w:spacing/>
        <w:ind/>
        <w:rPr/>
      </w:pPr>
      <w:r>
        <w:rPr>
          <w:b w:val="0"/>
          <w:i w:val="0"/>
          <w:sz w:val="22"/>
        </w:rPr>
        <w:t xml:space="preserve">Tres variables podrían ser predictores útiles del modelo, pero su inclusión depende de una verificación estadística previa. El riesgo es que midan la organización del hospital más que la gravedad del paciente:</w:t>
      </w:r>
      <w:r/>
    </w:p>
    <w:tbl>
      <w:tblPr>
        <w:tblStyle w:val="753"/>
        <w:tblW w:w="0" w:type="auto"/>
        <w:tblBorders/>
        <w:tblLook w:val="04A0" w:firstRow="1" w:lastRow="0" w:firstColumn="1" w:lastColumn="0" w:noHBand="0" w:noVBand="1"/>
      </w:tblPr>
      <w:tblGrid>
        <w:gridCol w:w="3041"/>
        <w:gridCol w:w="3041"/>
        <w:gridCol w:w="3041"/>
      </w:tblGrid>
      <w:tr>
        <w:trPr/>
        <w:tc>
          <w:tcPr>
            <w:shd w:val="clear" w:color="auto" w:fill="1b5e20"/>
            <w:tcBorders/>
            <w:tcW w:w="3041" w:type="dxa"/>
          </w:tcPr>
          <w:p>
            <w:pPr>
              <w:pBdr/>
              <w:spacing/>
              <w:ind/>
              <w:jc w:val="center"/>
              <w:rPr/>
            </w:pPr>
            <w:r>
              <w:rPr>
                <w:b/>
                <w:color w:val="ffffff"/>
                <w:sz w:val="20"/>
              </w:rPr>
              <w:t xml:space="preserve">Variable</w:t>
            </w:r>
            <w:r/>
          </w:p>
        </w:tc>
        <w:tc>
          <w:tcPr>
            <w:shd w:val="clear" w:color="auto" w:fill="1b5e20"/>
            <w:tcBorders/>
            <w:tcW w:w="3041" w:type="dxa"/>
          </w:tcPr>
          <w:p>
            <w:pPr>
              <w:pBdr/>
              <w:spacing/>
              <w:ind/>
              <w:jc w:val="center"/>
              <w:rPr/>
            </w:pPr>
            <w:r>
              <w:rPr>
                <w:b/>
                <w:color w:val="ffffff"/>
                <w:sz w:val="20"/>
              </w:rPr>
              <w:t xml:space="preserve">El riesgo</w:t>
            </w:r>
            <w:r/>
          </w:p>
        </w:tc>
        <w:tc>
          <w:tcPr>
            <w:shd w:val="clear" w:color="auto" w:fill="1b5e20"/>
            <w:tcBorders/>
            <w:tcW w:w="3041" w:type="dxa"/>
          </w:tcPr>
          <w:p>
            <w:pPr>
              <w:pBdr/>
              <w:spacing/>
              <w:ind/>
              <w:jc w:val="center"/>
              <w:rPr/>
            </w:pPr>
            <w:r>
              <w:rPr>
                <w:b/>
                <w:color w:val="ffffff"/>
                <w:sz w:val="20"/>
              </w:rPr>
              <w:t xml:space="preserve">Criterio de decisión</w:t>
            </w:r>
            <w:r/>
          </w:p>
        </w:tc>
      </w:tr>
      <w:tr>
        <w:trPr/>
        <w:tc>
          <w:tcPr>
            <w:tcBorders/>
            <w:tcW w:w="3041" w:type="dxa"/>
          </w:tcPr>
          <w:p>
            <w:pPr>
              <w:pBdr/>
              <w:spacing/>
              <w:ind/>
              <w:rPr/>
            </w:pPr>
            <w:r>
              <w:rPr>
                <w:b/>
                <w:sz w:val="20"/>
              </w:rPr>
              <w:t xml:space="preserve">SERVICIOINGRESO → NIVEL_CUIDADO_INGRESO</w:t>
              <w:br/>
              <w:t xml:space="preserve">(si ingresó a UCI/UTI)</w:t>
            </w:r>
            <w:r/>
          </w:p>
        </w:tc>
        <w:tc>
          <w:tcPr>
            <w:tcBorders/>
            <w:tcW w:w="3041" w:type="dxa"/>
          </w:tcPr>
          <w:p>
            <w:pPr>
              <w:pBdr/>
              <w:spacing/>
              <w:ind/>
              <w:rPr/>
            </w:pPr>
            <w:r>
              <w:rPr>
                <w:sz w:val="20"/>
              </w:rPr>
              <w:t xml:space="preserve">Ingresar directo a UCI puede reflejar la gravedad del paciente, pero también que ese hospital simplemente tiene más camas de UCI. Si lo segundo domina, la variable mide capacidad instalada, no riesgo clínico.</w:t>
            </w:r>
            <w:r/>
          </w:p>
        </w:tc>
        <w:tc>
          <w:tcPr>
            <w:tcBorders/>
            <w:tcW w:w="3041" w:type="dxa"/>
          </w:tcPr>
          <w:p>
            <w:pPr>
              <w:pBdr/>
              <w:spacing/>
              <w:ind/>
              <w:rPr/>
            </w:pPr>
            <w:r>
              <w:rPr>
                <w:sz w:val="20"/>
              </w:rPr>
              <w:t xml:space="preserve">Se incluirá solo si el análisis estadístico muestra que refleja principalmente el estado del paciente y no la estructura del hospital.</w:t>
            </w:r>
            <w:r/>
          </w:p>
        </w:tc>
      </w:tr>
      <w:tr>
        <w:trPr/>
        <w:tc>
          <w:tcPr>
            <w:shd w:val="clear" w:color="auto" w:fill="f1f8e9"/>
            <w:tcBorders/>
            <w:tcW w:w="3041" w:type="dxa"/>
          </w:tcPr>
          <w:p>
            <w:pPr>
              <w:pBdr/>
              <w:spacing/>
              <w:ind/>
              <w:rPr/>
            </w:pPr>
            <w:r>
              <w:rPr>
                <w:b/>
                <w:sz w:val="20"/>
              </w:rPr>
              <w:t xml:space="preserve">ESPECIALIDAD_MEDICA → ESPECIALIDAD_MACRO</w:t>
              <w:br/>
              <w:t xml:space="preserve">(agrupada en ~15 grupos)</w:t>
            </w:r>
            <w:r/>
          </w:p>
        </w:tc>
        <w:tc>
          <w:tcPr>
            <w:shd w:val="clear" w:color="auto" w:fill="f1f8e9"/>
            <w:tcBorders/>
            <w:tcW w:w="3041" w:type="dxa"/>
          </w:tcPr>
          <w:p>
            <w:pPr>
              <w:pBdr/>
              <w:spacing/>
              <w:ind/>
              <w:rPr/>
            </w:pPr>
            <w:r>
              <w:rPr>
                <w:sz w:val="20"/>
              </w:rPr>
              <w:t xml:space="preserve">Con 158 especialidades distintas y asignaciones que dependen de cómo cada hospital organiza sus departamentos, el modelo podría aprender a identificar hospitales por su estructura administrativa.</w:t>
            </w:r>
            <w:r/>
          </w:p>
        </w:tc>
        <w:tc>
          <w:tcPr>
            <w:shd w:val="clear" w:color="auto" w:fill="f1f8e9"/>
            <w:tcBorders/>
            <w:tcW w:w="3041" w:type="dxa"/>
          </w:tcPr>
          <w:p>
            <w:pPr>
              <w:pBdr/>
              <w:spacing/>
              <w:ind/>
              <w:rPr/>
            </w:pPr>
            <w:r>
              <w:rPr>
                <w:sz w:val="20"/>
              </w:rPr>
              <w:t xml:space="preserve">Se incluirá solo si la variable no predice en qué hospital está el paciente mejor de lo esperado por azar.</w:t>
            </w:r>
            <w:r/>
          </w:p>
        </w:tc>
      </w:tr>
      <w:tr>
        <w:trPr/>
        <w:tc>
          <w:tcPr>
            <w:tcBorders/>
            <w:tcW w:w="3041" w:type="dxa"/>
          </w:tcPr>
          <w:p>
            <w:pPr>
              <w:pBdr/>
              <w:spacing/>
              <w:ind/>
              <w:rPr/>
            </w:pPr>
            <w:r>
              <w:rPr>
                <w:b/>
                <w:sz w:val="20"/>
              </w:rPr>
              <w:t xml:space="preserve">HOSPPROCEDENCIA → DERIVADO_OTRO_HOSPITAL</w:t>
              <w:br/>
              <w:t xml:space="preserve">(si llegó derivado de otro centro)</w:t>
            </w:r>
            <w:r/>
          </w:p>
        </w:tc>
        <w:tc>
          <w:tcPr>
            <w:tcBorders/>
            <w:tcW w:w="3041" w:type="dxa"/>
          </w:tcPr>
          <w:p>
            <w:pPr>
              <w:pBdr/>
              <w:spacing/>
              <w:ind/>
              <w:rPr/>
            </w:pPr>
            <w:r>
              <w:rPr>
                <w:sz w:val="20"/>
              </w:rPr>
              <w:t xml:space="preserve">Un paciente derivado suele ser más complejo, pero la derivación también depende de acuerdos entre establecimientos y no solo de la gravedad clínica.</w:t>
            </w:r>
            <w:r/>
          </w:p>
        </w:tc>
        <w:tc>
          <w:tcPr>
            <w:tcBorders/>
            <w:tcW w:w="3041" w:type="dxa"/>
          </w:tcPr>
          <w:p>
            <w:pPr>
              <w:pBdr/>
              <w:spacing/>
              <w:ind/>
              <w:rPr/>
            </w:pPr>
            <w:r>
              <w:rPr>
                <w:sz w:val="20"/>
              </w:rPr>
              <w:t xml:space="preserve">Se incluirá si el análisis confirma que está más asociada al perfil del paciente que a la red de derivación geográfica del hospital.</w:t>
            </w:r>
            <w:r/>
          </w:p>
        </w:tc>
      </w:tr>
    </w:tbl>
    <w:p>
      <w:pPr>
        <w:pBdr/>
        <w:spacing/>
        <w:ind/>
        <w:rPr/>
      </w:pPr>
      <w:r/>
      <w:r/>
    </w:p>
    <w:p>
      <w:pPr>
        <w:pStyle w:val="693"/>
        <w:pBdr/>
        <w:spacing/>
        <w:ind/>
        <w:jc w:val="left"/>
        <w:rPr/>
      </w:pPr>
      <w:r>
        <w:rPr>
          <w:color w:val="1b5e20"/>
        </w:rPr>
        <w:t xml:space="preserve">10. Variables excluidas del modelo principal y su destino</w:t>
      </w:r>
      <w:r/>
    </w:p>
    <w:tbl>
      <w:tblPr>
        <w:tblStyle w:val="753"/>
        <w:tblW w:w="0" w:type="auto"/>
        <w:tblBorders/>
        <w:tblLook w:val="04A0" w:firstRow="1" w:lastRow="0" w:firstColumn="1" w:lastColumn="0" w:noHBand="0" w:noVBand="1"/>
      </w:tblPr>
      <w:tblGrid>
        <w:gridCol w:w="3041"/>
        <w:gridCol w:w="3041"/>
        <w:gridCol w:w="3041"/>
      </w:tblGrid>
      <w:tr>
        <w:trPr/>
        <w:tc>
          <w:tcPr>
            <w:shd w:val="clear" w:color="auto" w:fill="1b5e20"/>
            <w:tcBorders/>
            <w:tcW w:w="3041" w:type="dxa"/>
          </w:tcPr>
          <w:p>
            <w:pPr>
              <w:pBdr/>
              <w:spacing/>
              <w:ind/>
              <w:jc w:val="center"/>
              <w:rPr/>
            </w:pPr>
            <w:r>
              <w:rPr>
                <w:b/>
                <w:color w:val="ffffff"/>
                <w:sz w:val="20"/>
              </w:rPr>
              <w:t xml:space="preserve">Variable(s)</w:t>
            </w:r>
            <w:r/>
          </w:p>
        </w:tc>
        <w:tc>
          <w:tcPr>
            <w:shd w:val="clear" w:color="auto" w:fill="1b5e20"/>
            <w:tcBorders/>
            <w:tcW w:w="3041" w:type="dxa"/>
          </w:tcPr>
          <w:p>
            <w:pPr>
              <w:pBdr/>
              <w:spacing/>
              <w:ind/>
              <w:jc w:val="center"/>
              <w:rPr/>
            </w:pPr>
            <w:r>
              <w:rPr>
                <w:b/>
                <w:color w:val="ffffff"/>
                <w:sz w:val="20"/>
              </w:rPr>
              <w:t xml:space="preserve">Motivo de exclusión del modelo</w:t>
            </w:r>
            <w:r/>
          </w:p>
        </w:tc>
        <w:tc>
          <w:tcPr>
            <w:shd w:val="clear" w:color="auto" w:fill="1b5e20"/>
            <w:tcBorders/>
            <w:tcW w:w="3041" w:type="dxa"/>
          </w:tcPr>
          <w:p>
            <w:pPr>
              <w:pBdr/>
              <w:spacing/>
              <w:ind/>
              <w:jc w:val="center"/>
              <w:rPr/>
            </w:pPr>
            <w:r>
              <w:rPr>
                <w:b/>
                <w:color w:val="ffffff"/>
                <w:sz w:val="20"/>
              </w:rPr>
              <w:t xml:space="preserve">Qué se hace con ellas</w:t>
            </w:r>
            <w:r/>
          </w:p>
        </w:tc>
      </w:tr>
      <w:tr>
        <w:trPr/>
        <w:tc>
          <w:tcPr>
            <w:tcBorders/>
            <w:tcW w:w="3041" w:type="dxa"/>
          </w:tcPr>
          <w:p>
            <w:pPr>
              <w:pBdr/>
              <w:spacing/>
              <w:ind/>
              <w:rPr/>
            </w:pPr>
            <w:r>
              <w:rPr>
                <w:b/>
                <w:sz w:val="20"/>
              </w:rPr>
              <w:t xml:space="preserve">ETNIA</w:t>
            </w:r>
            <w:r/>
          </w:p>
        </w:tc>
        <w:tc>
          <w:tcPr>
            <w:tcBorders/>
            <w:tcW w:w="3041" w:type="dxa"/>
          </w:tcPr>
          <w:p>
            <w:pPr>
              <w:pBdr/>
              <w:spacing/>
              <w:ind/>
              <w:rPr/>
            </w:pPr>
            <w:r>
              <w:rPr>
                <w:sz w:val="20"/>
              </w:rPr>
              <w:t xml:space="preserve">No entra al modelo ni al análisis de equidad de esta tesis. La complejidad metodológica de su interpretación correcta va más allá del alcance del proyecto.</w:t>
            </w:r>
            <w:r/>
          </w:p>
        </w:tc>
        <w:tc>
          <w:tcPr>
            <w:tcBorders/>
            <w:tcW w:w="3041" w:type="dxa"/>
          </w:tcPr>
          <w:p>
            <w:pPr>
              <w:pBdr/>
              <w:spacing/>
              <w:ind/>
              <w:rPr/>
            </w:pPr>
            <w:r>
              <w:rPr>
                <w:sz w:val="20"/>
              </w:rPr>
              <w:t xml:space="preserve">Solo se documenta su existencia en los datos.</w:t>
            </w:r>
            <w:r/>
          </w:p>
        </w:tc>
      </w:tr>
      <w:tr>
        <w:trPr/>
        <w:tc>
          <w:tcPr>
            <w:shd w:val="clear" w:color="auto" w:fill="f1f8e9"/>
            <w:tcBorders/>
            <w:tcW w:w="3041" w:type="dxa"/>
          </w:tcPr>
          <w:p>
            <w:pPr>
              <w:pBdr/>
              <w:spacing/>
              <w:ind/>
              <w:rPr/>
            </w:pPr>
            <w:r>
              <w:rPr>
                <w:b/>
                <w:sz w:val="20"/>
              </w:rPr>
              <w:t xml:space="preserve">PREVISION, NACIONALIDAD</w:t>
            </w:r>
            <w:r/>
          </w:p>
        </w:tc>
        <w:tc>
          <w:tcPr>
            <w:shd w:val="clear" w:color="auto" w:fill="f1f8e9"/>
            <w:tcBorders/>
            <w:tcW w:w="3041" w:type="dxa"/>
          </w:tcPr>
          <w:p>
            <w:pPr>
              <w:pBdr/>
              <w:spacing/>
              <w:ind/>
              <w:rPr/>
            </w:pPr>
            <w:r>
              <w:rPr>
                <w:sz w:val="20"/>
              </w:rPr>
              <w:t xml:space="preserve">Variables socioeconómicas que están relacionadas con la localización del hospital. Incluirlas en el modelo reintroduciría indirectamente el efecto del establecimiento.</w:t>
            </w:r>
            <w:r/>
          </w:p>
        </w:tc>
        <w:tc>
          <w:tcPr>
            <w:shd w:val="clear" w:color="auto" w:fill="f1f8e9"/>
            <w:tcBorders/>
            <w:tcW w:w="3041" w:type="dxa"/>
          </w:tcPr>
          <w:p>
            <w:pPr>
              <w:pBdr/>
              <w:spacing/>
              <w:ind/>
              <w:rPr/>
            </w:pPr>
            <w:r>
              <w:rPr>
                <w:sz w:val="20"/>
              </w:rPr>
              <w:t xml:space="preserve">Reservadas para análisis de equidad posterior: verificar si el indicador O/E varía según nivel de ingresos.</w:t>
            </w:r>
            <w:r/>
          </w:p>
        </w:tc>
      </w:tr>
      <w:tr>
        <w:trPr/>
        <w:tc>
          <w:tcPr>
            <w:tcBorders/>
            <w:tcW w:w="3041" w:type="dxa"/>
          </w:tcPr>
          <w:p>
            <w:pPr>
              <w:pBdr/>
              <w:spacing/>
              <w:ind/>
              <w:rPr/>
            </w:pPr>
            <w:r>
              <w:rPr>
                <w:b/>
                <w:sz w:val="20"/>
              </w:rPr>
              <w:t xml:space="preserve">PROVINCIA, COMUNA</w:t>
            </w:r>
            <w:r/>
          </w:p>
        </w:tc>
        <w:tc>
          <w:tcPr>
            <w:tcBorders/>
            <w:tcW w:w="3041" w:type="dxa"/>
          </w:tcPr>
          <w:p>
            <w:pPr>
              <w:pBdr/>
              <w:spacing/>
              <w:ind/>
              <w:rPr/>
            </w:pPr>
            <w:r>
              <w:rPr>
                <w:sz w:val="20"/>
              </w:rPr>
              <w:t xml:space="preserve">En Chile la geografía y el hospital están tan vinculados que la provincia identifica casi directamente al establecimiento. Incluirlas anularía el objetivo del indicador O/E.</w:t>
            </w:r>
            <w:r/>
          </w:p>
        </w:tc>
        <w:tc>
          <w:tcPr>
            <w:tcBorders/>
            <w:tcW w:w="3041" w:type="dxa"/>
          </w:tcPr>
          <w:p>
            <w:pPr>
              <w:pBdr/>
              <w:spacing/>
              <w:ind/>
              <w:rPr/>
            </w:pPr>
            <w:r>
              <w:rPr>
                <w:sz w:val="20"/>
              </w:rPr>
              <w:t xml:space="preserve">COMUNA se cruza con tabla oficial de vulnerabilidad para construir INDICE_PRIVACION, usado solo en análisis de equidad.</w:t>
            </w:r>
            <w:r/>
          </w:p>
        </w:tc>
      </w:tr>
      <w:tr>
        <w:trPr/>
        <w:tc>
          <w:tcPr>
            <w:shd w:val="clear" w:color="auto" w:fill="f1f8e9"/>
            <w:tcBorders/>
            <w:tcW w:w="3041" w:type="dxa"/>
          </w:tcPr>
          <w:p>
            <w:pPr>
              <w:pBdr/>
              <w:spacing/>
              <w:ind/>
              <w:rPr/>
            </w:pPr>
            <w:r>
              <w:rPr>
                <w:b/>
                <w:sz w:val="20"/>
              </w:rPr>
              <w:t xml:space="preserve">IR_29301_SEVERIDAD, IR_29301_PESO</w:t>
            </w:r>
            <w:r/>
          </w:p>
        </w:tc>
        <w:tc>
          <w:tcPr>
            <w:shd w:val="clear" w:color="auto" w:fill="f1f8e9"/>
            <w:tcBorders/>
            <w:tcW w:w="3041" w:type="dxa"/>
          </w:tcPr>
          <w:p>
            <w:pPr>
              <w:pBdr/>
              <w:spacing/>
              <w:ind/>
              <w:rPr/>
            </w:pPr>
            <w:r>
              <w:rPr>
                <w:sz w:val="20"/>
              </w:rPr>
              <w:t xml:space="preserve">Calculados por el agrupador GRD usando diagnósticos y procedimientos al alta. Son resultados del sistema administrativo, no información disponible al ingreso.</w:t>
            </w:r>
            <w:r/>
          </w:p>
        </w:tc>
        <w:tc>
          <w:tcPr>
            <w:shd w:val="clear" w:color="auto" w:fill="f1f8e9"/>
            <w:tcBorders/>
            <w:tcW w:w="3041" w:type="dxa"/>
          </w:tcPr>
          <w:p>
            <w:pPr>
              <w:pBdr/>
              <w:spacing/>
              <w:ind/>
              <w:rPr/>
            </w:pPr>
            <w:r>
              <w:rPr>
                <w:sz w:val="20"/>
              </w:rPr>
              <w:t xml:space="preserve">Se guardan en tabla auxiliar para análisis comparativo complementario, no para el modelo.</w:t>
            </w:r>
            <w:r/>
          </w:p>
        </w:tc>
      </w:tr>
      <w:tr>
        <w:trPr/>
        <w:tc>
          <w:tcPr>
            <w:tcBorders/>
            <w:tcW w:w="3041" w:type="dxa"/>
          </w:tcPr>
          <w:p>
            <w:pPr>
              <w:pBdr/>
              <w:spacing/>
              <w:ind/>
              <w:rPr/>
            </w:pPr>
            <w:r>
              <w:rPr>
                <w:b/>
                <w:sz w:val="20"/>
              </w:rPr>
              <w:t xml:space="preserve">IR_29301_MORTALIDAD</w:t>
            </w:r>
            <w:r/>
          </w:p>
        </w:tc>
        <w:tc>
          <w:tcPr>
            <w:tcBorders/>
            <w:tcW w:w="3041" w:type="dxa"/>
          </w:tcPr>
          <w:p>
            <w:pPr>
              <w:pBdr/>
              <w:spacing/>
              <w:ind/>
              <w:rPr/>
            </w:pPr>
            <w:r>
              <w:rPr>
                <w:sz w:val="20"/>
              </w:rPr>
              <w:t xml:space="preserve">PROHIBIDO. Es el riesgo de mortalidad ya calculado por el sistema GRD. Usarlo equivaldría a copiar un resultado existente en lugar de predecir.</w:t>
            </w:r>
            <w:r/>
          </w:p>
        </w:tc>
        <w:tc>
          <w:tcPr>
            <w:tcBorders/>
            <w:tcW w:w="3041" w:type="dxa"/>
          </w:tcPr>
          <w:p>
            <w:pPr>
              <w:pBdr/>
              <w:spacing/>
              <w:ind/>
              <w:rPr/>
            </w:pPr>
            <w:r>
              <w:rPr>
                <w:sz w:val="20"/>
              </w:rPr>
              <w:t xml:space="preserve">No se usa en ningún contexto. Completamente descartado.</w:t>
            </w:r>
            <w:r/>
          </w:p>
        </w:tc>
      </w:tr>
    </w:tbl>
    <w:p>
      <w:pPr>
        <w:pBdr/>
        <w:spacing/>
        <w:ind/>
        <w:rPr/>
      </w:pPr>
      <w:r/>
      <w:r/>
    </w:p>
    <w:p>
      <w:pPr>
        <w:pStyle w:val="693"/>
        <w:pBdr/>
        <w:spacing/>
        <w:ind/>
        <w:jc w:val="left"/>
        <w:rPr/>
      </w:pPr>
      <w:r>
        <w:rPr>
          <w:color w:val="1b5e20"/>
        </w:rPr>
        <w:t xml:space="preserve">11. Pacientes excluidos del análisis y justificación</w:t>
      </w:r>
      <w:r/>
    </w:p>
    <w:p>
      <w:pPr>
        <w:pBdr/>
        <w:spacing/>
        <w:ind/>
        <w:rPr/>
      </w:pPr>
      <w:r>
        <w:rPr>
          <w:b w:val="0"/>
          <w:i w:val="0"/>
          <w:sz w:val="22"/>
        </w:rPr>
        <w:t xml:space="preserve">Para que el indicador O/E sea válido, todos los episodios analizados deben ser co</w:t>
      </w:r>
      <w:r>
        <w:rPr>
          <w:b w:val="0"/>
          <w:i w:val="0"/>
          <w:sz w:val="22"/>
        </w:rPr>
        <w:t xml:space="preserve">mparables entre sí. Un modelo que mezcla hospitalizaciones de naturaleza completamente distinta generaría predicciones incorrectas para todos. Se aplica una cascada ordenada de exclusiones, registrando cuántos episodios entran y cuántos salen en cada paso:</w:t>
      </w:r>
      <w:r/>
    </w:p>
    <w:tbl>
      <w:tblPr>
        <w:tblStyle w:val="753"/>
        <w:tblW w:w="0" w:type="auto"/>
        <w:tblBorders/>
        <w:tblLook w:val="04A0" w:firstRow="1" w:lastRow="0" w:firstColumn="1" w:lastColumn="0" w:noHBand="0" w:noVBand="1"/>
      </w:tblPr>
      <w:tblGrid>
        <w:gridCol w:w="3041"/>
        <w:gridCol w:w="3041"/>
        <w:gridCol w:w="3041"/>
      </w:tblGrid>
      <w:tr>
        <w:trPr/>
        <w:tc>
          <w:tcPr>
            <w:shd w:val="clear" w:color="auto" w:fill="1b5e20"/>
            <w:tcBorders/>
            <w:tcW w:w="3041" w:type="dxa"/>
          </w:tcPr>
          <w:p>
            <w:pPr>
              <w:pBdr/>
              <w:spacing/>
              <w:ind/>
              <w:jc w:val="center"/>
              <w:rPr/>
            </w:pPr>
            <w:r>
              <w:rPr>
                <w:b/>
                <w:color w:val="ffffff"/>
                <w:sz w:val="20"/>
              </w:rPr>
              <w:t xml:space="preserve">Exclusión</w:t>
            </w:r>
            <w:r/>
          </w:p>
        </w:tc>
        <w:tc>
          <w:tcPr>
            <w:shd w:val="clear" w:color="auto" w:fill="1b5e20"/>
            <w:tcBorders/>
            <w:tcW w:w="3041" w:type="dxa"/>
          </w:tcPr>
          <w:p>
            <w:pPr>
              <w:pBdr/>
              <w:spacing/>
              <w:ind/>
              <w:jc w:val="center"/>
              <w:rPr/>
            </w:pPr>
            <w:r>
              <w:rPr>
                <w:b/>
                <w:color w:val="ffffff"/>
                <w:sz w:val="20"/>
              </w:rPr>
              <w:t xml:space="preserve">Volumen estimado</w:t>
            </w:r>
            <w:r/>
          </w:p>
        </w:tc>
        <w:tc>
          <w:tcPr>
            <w:shd w:val="clear" w:color="auto" w:fill="1b5e20"/>
            <w:tcBorders/>
            <w:tcW w:w="3041" w:type="dxa"/>
          </w:tcPr>
          <w:p>
            <w:pPr>
              <w:pBdr/>
              <w:spacing/>
              <w:ind/>
              <w:jc w:val="center"/>
              <w:rPr/>
            </w:pPr>
            <w:r>
              <w:rPr>
                <w:b/>
                <w:color w:val="ffffff"/>
                <w:sz w:val="20"/>
              </w:rPr>
              <w:t xml:space="preserve">Justificación clínica y metodológica</w:t>
            </w:r>
            <w:r/>
          </w:p>
        </w:tc>
      </w:tr>
      <w:tr>
        <w:trPr/>
        <w:tc>
          <w:tcPr>
            <w:tcBorders/>
            <w:tcW w:w="3041" w:type="dxa"/>
          </w:tcPr>
          <w:p>
            <w:pPr>
              <w:pBdr/>
              <w:spacing/>
              <w:ind/>
              <w:rPr/>
            </w:pPr>
            <w:r>
              <w:rPr>
                <w:b/>
                <w:sz w:val="20"/>
              </w:rPr>
              <w:t xml:space="preserve">GRD no asignable</w:t>
            </w:r>
            <w:r/>
          </w:p>
        </w:tc>
        <w:tc>
          <w:tcPr>
            <w:tcBorders/>
            <w:tcW w:w="3041" w:type="dxa"/>
          </w:tcPr>
          <w:p>
            <w:pPr>
              <w:pBdr/>
              <w:spacing/>
              <w:ind/>
              <w:rPr/>
            </w:pPr>
            <w:r>
              <w:rPr>
                <w:sz w:val="20"/>
              </w:rPr>
              <w:t xml:space="preserve">~75 casos</w:t>
            </w:r>
            <w:r/>
          </w:p>
        </w:tc>
        <w:tc>
          <w:tcPr>
            <w:tcBorders/>
            <w:tcW w:w="3041" w:type="dxa"/>
          </w:tcPr>
          <w:p>
            <w:pPr>
              <w:pBdr/>
              <w:spacing/>
              <w:ind/>
              <w:rPr/>
            </w:pPr>
            <w:r>
              <w:rPr>
                <w:sz w:val="20"/>
              </w:rPr>
              <w:t xml:space="preserve">Sin clasificación GRD no es posible verificar si el episodio corresponde a recién nacido o parto normal. Sin este filtro, algunos episodios de naturaleza incomparable podrían colarse en el análisis.</w:t>
            </w:r>
            <w:r/>
          </w:p>
        </w:tc>
      </w:tr>
      <w:tr>
        <w:trPr/>
        <w:tc>
          <w:tcPr>
            <w:shd w:val="clear" w:color="auto" w:fill="f1f8e9"/>
            <w:tcBorders/>
            <w:tcW w:w="3041" w:type="dxa"/>
          </w:tcPr>
          <w:p>
            <w:pPr>
              <w:pBdr/>
              <w:spacing/>
              <w:ind/>
              <w:rPr/>
            </w:pPr>
            <w:r>
              <w:rPr>
                <w:b/>
                <w:sz w:val="20"/>
              </w:rPr>
              <w:t xml:space="preserve">Recién nacidos sanos (MDC 15)</w:t>
            </w:r>
            <w:r/>
          </w:p>
        </w:tc>
        <w:tc>
          <w:tcPr>
            <w:shd w:val="clear" w:color="auto" w:fill="f1f8e9"/>
            <w:tcBorders/>
            <w:tcW w:w="3041" w:type="dxa"/>
          </w:tcPr>
          <w:p>
            <w:pPr>
              <w:pBdr/>
              <w:spacing/>
              <w:ind/>
              <w:rPr/>
            </w:pPr>
            <w:r>
              <w:rPr>
                <w:sz w:val="20"/>
              </w:rPr>
              <w:t xml:space="preserve">~7.760 casos</w:t>
            </w:r>
            <w:r/>
          </w:p>
        </w:tc>
        <w:tc>
          <w:tcPr>
            <w:shd w:val="clear" w:color="auto" w:fill="f1f8e9"/>
            <w:tcBorders/>
            <w:tcW w:w="3041" w:type="dxa"/>
          </w:tcPr>
          <w:p>
            <w:pPr>
              <w:pBdr/>
              <w:spacing/>
              <w:ind/>
              <w:rPr/>
            </w:pPr>
            <w:r>
              <w:rPr>
                <w:sz w:val="20"/>
              </w:rPr>
              <w:t xml:space="preserve">Un recién nacido sano no tiene una enfermedad que tratar: está hospitalizado porque su madre acaba de dar a luz. Sus días de estadía corresponden al período de </w:t>
            </w:r>
            <w:r>
              <w:rPr>
                <w:sz w:val="20"/>
              </w:rPr>
              <w:t xml:space="preserve">observación post-parto y su riesgo de mortalidad no tiene relación con ninguna enfermedad previa. Incluirlos haría que el modelo aprendiera patrones sin aplicación clínica real y beneficiaría artificialmente a los hospitales con mayor actividad obstétrica.</w:t>
            </w:r>
            <w:r/>
          </w:p>
        </w:tc>
      </w:tr>
      <w:tr>
        <w:trPr/>
        <w:tc>
          <w:tcPr>
            <w:tcBorders/>
            <w:tcW w:w="3041" w:type="dxa"/>
          </w:tcPr>
          <w:p>
            <w:pPr>
              <w:pBdr/>
              <w:spacing/>
              <w:ind/>
              <w:rPr/>
            </w:pPr>
            <w:r>
              <w:rPr>
                <w:b/>
                <w:sz w:val="20"/>
              </w:rPr>
              <w:t xml:space="preserve">Partos normales sin complicación (MDC 14)</w:t>
            </w:r>
            <w:r/>
          </w:p>
        </w:tc>
        <w:tc>
          <w:tcPr>
            <w:tcBorders/>
            <w:tcW w:w="3041" w:type="dxa"/>
          </w:tcPr>
          <w:p>
            <w:pPr>
              <w:pBdr/>
              <w:spacing/>
              <w:ind/>
              <w:rPr/>
            </w:pPr>
            <w:r>
              <w:rPr>
                <w:sz w:val="20"/>
              </w:rPr>
              <w:t xml:space="preserve">~22.303 casos</w:t>
            </w:r>
            <w:r/>
          </w:p>
        </w:tc>
        <w:tc>
          <w:tcPr>
            <w:tcBorders/>
            <w:tcW w:w="3041" w:type="dxa"/>
          </w:tcPr>
          <w:p>
            <w:pPr>
              <w:pBdr/>
              <w:spacing/>
              <w:ind/>
              <w:rPr/>
            </w:pPr>
            <w:r>
              <w:rPr>
                <w:sz w:val="20"/>
              </w:rPr>
              <w:t xml:space="preserve">La paciente llega sana y sale sana. El riesgo de mortalidad es prác</w:t>
            </w:r>
            <w:r>
              <w:rPr>
                <w:sz w:val="20"/>
              </w:rPr>
              <w:t xml:space="preserve">ticamente nulo y la estadía obedece a protocolos de maternidad, no a complejidad clínica. Si se incluyeran, el modelo aprendería que los perfiles de bajo riesgo tienen estadías de 2 o 3 días, sesgando la predicción a la baja para todos los demás pacientes.</w:t>
            </w:r>
            <w:r/>
          </w:p>
        </w:tc>
      </w:tr>
      <w:tr>
        <w:trPr/>
        <w:tc>
          <w:tcPr>
            <w:shd w:val="clear" w:color="auto" w:fill="f1f8e9"/>
            <w:tcBorders/>
            <w:tcW w:w="3041" w:type="dxa"/>
          </w:tcPr>
          <w:p>
            <w:pPr>
              <w:pBdr/>
              <w:spacing/>
              <w:ind/>
              <w:rPr/>
            </w:pPr>
            <w:r>
              <w:rPr>
                <w:b/>
                <w:sz w:val="20"/>
              </w:rPr>
              <w:t xml:space="preserve">Estadías de 0 días</w:t>
              <w:br/>
              <w:t xml:space="preserve">(solo del modelo de estadía)</w:t>
            </w:r>
            <w:r/>
          </w:p>
        </w:tc>
        <w:tc>
          <w:tcPr>
            <w:shd w:val="clear" w:color="auto" w:fill="f1f8e9"/>
            <w:tcBorders/>
            <w:tcW w:w="3041" w:type="dxa"/>
          </w:tcPr>
          <w:p>
            <w:pPr>
              <w:pBdr/>
              <w:spacing/>
              <w:ind/>
              <w:rPr/>
            </w:pPr>
            <w:r>
              <w:rPr>
                <w:sz w:val="20"/>
              </w:rPr>
              <w:t xml:space="preserve">Variable por año</w:t>
            </w:r>
            <w:r/>
          </w:p>
        </w:tc>
        <w:tc>
          <w:tcPr>
            <w:shd w:val="clear" w:color="auto" w:fill="f1f8e9"/>
            <w:tcBorders/>
            <w:tcW w:w="3041" w:type="dxa"/>
          </w:tcPr>
          <w:p>
            <w:pPr>
              <w:pBdr/>
              <w:spacing/>
              <w:ind/>
              <w:rPr/>
            </w:pPr>
            <w:r>
              <w:rPr>
                <w:sz w:val="20"/>
              </w:rPr>
              <w:t xml:space="preserve">Son cirugías ambulatorias: el paciente llega, es operado y se va el mismo día. El objetivo del mode</w:t>
            </w:r>
            <w:r>
              <w:rPr>
                <w:sz w:val="20"/>
              </w:rPr>
              <w:t xml:space="preserve">lo de estadía es predecir días de hospitalización, que por definición es mayor a cero. Incluirlos inflaría artificialmente el denominador del indicador O/E de estadía en hospitales con mayor actividad ambulatoria. Se conservan para el modelo de mortalidad.</w:t>
            </w:r>
            <w:r/>
          </w:p>
        </w:tc>
      </w:tr>
      <w:tr>
        <w:trPr/>
        <w:tc>
          <w:tcPr>
            <w:tcBorders/>
            <w:tcW w:w="3041" w:type="dxa"/>
          </w:tcPr>
          <w:p>
            <w:pPr>
              <w:pBdr/>
              <w:spacing/>
              <w:ind/>
              <w:rPr/>
            </w:pPr>
            <w:r>
              <w:rPr>
                <w:b/>
                <w:sz w:val="20"/>
              </w:rPr>
              <w:t xml:space="preserve">Traslados externos</w:t>
              <w:br/>
              <w:t xml:space="preserve">(del modelo de mortalidad)</w:t>
            </w:r>
            <w:r/>
          </w:p>
        </w:tc>
        <w:tc>
          <w:tcPr>
            <w:tcBorders/>
            <w:tcW w:w="3041" w:type="dxa"/>
          </w:tcPr>
          <w:p>
            <w:pPr>
              <w:pBdr/>
              <w:spacing/>
              <w:ind/>
              <w:rPr/>
            </w:pPr>
            <w:r>
              <w:rPr>
                <w:sz w:val="20"/>
              </w:rPr>
              <w:t xml:space="preserve">~89.438 casos (1,5%)</w:t>
            </w:r>
            <w:r/>
          </w:p>
        </w:tc>
        <w:tc>
          <w:tcPr>
            <w:tcBorders/>
            <w:tcW w:w="3041" w:type="dxa"/>
          </w:tcPr>
          <w:p>
            <w:pPr>
              <w:pBdr/>
              <w:spacing/>
              <w:ind/>
              <w:rPr/>
            </w:pPr>
            <w:r>
              <w:rPr>
                <w:sz w:val="20"/>
              </w:rPr>
              <w:t xml:space="preserve">El desenlace es desconocido en el registro del hospital emisor. Cla</w:t>
            </w:r>
            <w:r>
              <w:rPr>
                <w:sz w:val="20"/>
              </w:rPr>
              <w:t xml:space="preserve">sificarlos como sobrevivientes cuando se desconoce el resultado subestimaría sistemáticamente la mortalidad de los hospitales que trasladan más pacientes graves, beneficiándolos artificialmente en el indicador O/E. Se conservan para el análisis de estadía.</w:t>
            </w:r>
            <w:r/>
          </w:p>
        </w:tc>
      </w:tr>
    </w:tbl>
    <w:p>
      <w:pPr>
        <w:pBdr/>
        <w:spacing/>
        <w:ind/>
        <w:rPr/>
      </w:pPr>
      <w:r/>
      <w:r/>
    </w:p>
    <w:p>
      <w:pPr>
        <w:pBdr/>
        <w:spacing/>
        <w:ind/>
        <w:rPr/>
      </w:pPr>
      <w:r>
        <w:rPr>
          <w:b w:val="0"/>
          <w:i w:val="0"/>
          <w:sz w:val="22"/>
        </w:rPr>
        <w:t xml:space="preserve">Al finalizar la cascada, el sistema genera un reporte que muestra cuántos episodios entraron y cuántos salieron en cada paso, verificando que ningún paciente desaparezca sin documentación explícita (estándar CONSORT exigido en publicaciones médicas).</w:t>
      </w:r>
      <w:r/>
    </w:p>
    <w:p>
      <w:pPr>
        <w:pStyle w:val="693"/>
        <w:pBdr/>
        <w:spacing/>
        <w:ind/>
        <w:jc w:val="left"/>
        <w:rPr/>
      </w:pPr>
      <w:r>
        <w:rPr>
          <w:color w:val="1b5e20"/>
        </w:rPr>
        <w:t xml:space="preserve">12. Decisión sobre el modelo de estadía</w:t>
      </w:r>
      <w:r/>
    </w:p>
    <w:tbl>
      <w:tblPr>
        <w:tblStyle w:val="753"/>
        <w:tblW w:w="0" w:type="auto"/>
        <w:tblBorders/>
        <w:tblLook w:val="04A0" w:firstRow="1" w:lastRow="0" w:firstColumn="1" w:lastColumn="0" w:noHBand="0" w:noVBand="1"/>
      </w:tblPr>
      <w:tblGrid>
        <w:gridCol w:w="9122"/>
      </w:tblGrid>
      <w:tr>
        <w:trPr/>
        <w:tc>
          <w:tcPr>
            <w:shd w:val="clear" w:color="auto" w:fill="e8f5e9"/>
            <w:tcBorders/>
            <w:tcW w:w="9122" w:type="dxa"/>
          </w:tcPr>
          <w:p>
            <w:pPr>
              <w:pBdr/>
              <w:spacing/>
              <w:ind/>
              <w:rPr/>
            </w:pPr>
            <w:r>
              <w:rPr>
                <w:sz w:val="22"/>
              </w:rPr>
              <w:t xml:space="preserve">El modelo de estadía se entrena exclusiva</w:t>
            </w:r>
            <w:r>
              <w:rPr>
                <w:sz w:val="22"/>
              </w:rPr>
              <w:t xml:space="preserve">mente con pacientes que sobrevivieron. Los pacientes fallecidos tienen estadías cortas porque murieron, no porque la atención fuera eficiente. Si se incluyeran en el entrenamiento, el modelo aprendería que los pacientes graves se van rápido, distorsionando</w:t>
            </w:r>
            <w:r>
              <w:rPr>
                <w:sz w:val="22"/>
              </w:rPr>
              <w:t xml:space="preserve"> completamente el indicador O/E de estadía de todos los hospitales.</w:t>
              <w:br/>
              <w:br/>
              <w:t xml:space="preserve">Los días de estadía de los pacientes fallecidos se reportan como estadística descriptiva independiente, ya que sigue siendo clínicamente relevante, pero no forman parte del indicador O/E.</w:t>
            </w:r>
            <w:r/>
          </w:p>
        </w:tc>
      </w:tr>
    </w:tbl>
    <w:p>
      <w:pPr>
        <w:pBdr/>
        <w:spacing/>
        <w:ind/>
        <w:rPr/>
      </w:pPr>
      <w:r/>
      <w:r/>
    </w:p>
    <w:p>
      <w:pPr>
        <w:pStyle w:val="693"/>
        <w:pBdr/>
        <w:spacing/>
        <w:ind/>
        <w:jc w:val="left"/>
        <w:rPr/>
      </w:pPr>
      <w:r>
        <w:rPr>
          <w:color w:val="1b5e20"/>
        </w:rPr>
        <w:t xml:space="preserve">13. Resumen: el mapa completo de las 129 columnas</w:t>
      </w:r>
      <w:r/>
    </w:p>
    <w:tbl>
      <w:tblPr>
        <w:tblStyle w:val="753"/>
        <w:tblW w:w="0" w:type="auto"/>
        <w:tblBorders/>
        <w:tblLook w:val="04A0" w:firstRow="1" w:lastRow="0" w:firstColumn="1" w:lastColumn="0" w:noHBand="0" w:noVBand="1"/>
      </w:tblPr>
      <w:tblGrid>
        <w:gridCol w:w="3041"/>
        <w:gridCol w:w="3041"/>
        <w:gridCol w:w="3041"/>
      </w:tblGrid>
      <w:tr>
        <w:trPr/>
        <w:tc>
          <w:tcPr>
            <w:shd w:val="clear" w:color="auto" w:fill="1b5e20"/>
            <w:tcBorders/>
            <w:tcW w:w="3041" w:type="dxa"/>
          </w:tcPr>
          <w:p>
            <w:pPr>
              <w:pBdr/>
              <w:spacing/>
              <w:ind/>
              <w:jc w:val="center"/>
              <w:rPr/>
            </w:pPr>
            <w:r>
              <w:rPr>
                <w:b/>
                <w:color w:val="ffffff"/>
                <w:sz w:val="20"/>
              </w:rPr>
              <w:t xml:space="preserve">Categoría</w:t>
            </w:r>
            <w:r/>
          </w:p>
        </w:tc>
        <w:tc>
          <w:tcPr>
            <w:shd w:val="clear" w:color="auto" w:fill="1b5e20"/>
            <w:tcBorders/>
            <w:tcW w:w="3041" w:type="dxa"/>
          </w:tcPr>
          <w:p>
            <w:pPr>
              <w:pBdr/>
              <w:spacing/>
              <w:ind/>
              <w:jc w:val="center"/>
              <w:rPr/>
            </w:pPr>
            <w:r>
              <w:rPr>
                <w:b/>
                <w:color w:val="ffffff"/>
                <w:sz w:val="20"/>
              </w:rPr>
              <w:t xml:space="preserve">Cantidad</w:t>
            </w:r>
            <w:r/>
          </w:p>
        </w:tc>
        <w:tc>
          <w:tcPr>
            <w:shd w:val="clear" w:color="auto" w:fill="1b5e20"/>
            <w:tcBorders/>
            <w:tcW w:w="3041" w:type="dxa"/>
          </w:tcPr>
          <w:p>
            <w:pPr>
              <w:pBdr/>
              <w:spacing/>
              <w:ind/>
              <w:jc w:val="center"/>
              <w:rPr/>
            </w:pPr>
            <w:r>
              <w:rPr>
                <w:b/>
                <w:color w:val="ffffff"/>
                <w:sz w:val="20"/>
              </w:rPr>
              <w:t xml:space="preserve">Qué pasa con ellas</w:t>
            </w:r>
            <w:r/>
          </w:p>
        </w:tc>
      </w:tr>
      <w:tr>
        <w:trPr/>
        <w:tc>
          <w:tcPr>
            <w:tcBorders/>
            <w:tcW w:w="3041" w:type="dxa"/>
          </w:tcPr>
          <w:p>
            <w:pPr>
              <w:pBdr/>
              <w:spacing/>
              <w:ind/>
              <w:rPr/>
            </w:pPr>
            <w:r>
              <w:rPr>
                <w:b/>
                <w:sz w:val="20"/>
              </w:rPr>
              <w:t xml:space="preserve">Entra al modelo</w:t>
            </w:r>
            <w:r/>
          </w:p>
        </w:tc>
        <w:tc>
          <w:tcPr>
            <w:tcBorders/>
            <w:tcW w:w="3041" w:type="dxa"/>
          </w:tcPr>
          <w:p>
            <w:pPr>
              <w:pBdr/>
              <w:spacing/>
              <w:ind/>
              <w:rPr/>
            </w:pPr>
            <w:r>
              <w:rPr>
                <w:sz w:val="20"/>
              </w:rPr>
              <w:t xml:space="preserve">~12</w:t>
            </w:r>
            <w:r/>
          </w:p>
        </w:tc>
        <w:tc>
          <w:tcPr>
            <w:tcBorders/>
            <w:tcW w:w="3041" w:type="dxa"/>
          </w:tcPr>
          <w:p>
            <w:pPr>
              <w:pBdr/>
              <w:spacing/>
              <w:ind/>
              <w:rPr/>
            </w:pPr>
            <w:r>
              <w:rPr>
                <w:sz w:val="20"/>
              </w:rPr>
              <w:t xml:space="preserve">Se transforman y pasan a la capa oro del pipeline.</w:t>
            </w:r>
            <w:r/>
          </w:p>
        </w:tc>
      </w:tr>
      <w:tr>
        <w:trPr/>
        <w:tc>
          <w:tcPr>
            <w:shd w:val="clear" w:color="auto" w:fill="f1f8e9"/>
            <w:tcBorders/>
            <w:tcW w:w="3041" w:type="dxa"/>
          </w:tcPr>
          <w:p>
            <w:pPr>
              <w:pBdr/>
              <w:spacing/>
              <w:ind/>
              <w:rPr/>
            </w:pPr>
            <w:r>
              <w:rPr>
                <w:b/>
                <w:sz w:val="20"/>
              </w:rPr>
              <w:t xml:space="preserve">Genera otras variables</w:t>
            </w:r>
            <w:r/>
          </w:p>
        </w:tc>
        <w:tc>
          <w:tcPr>
            <w:shd w:val="clear" w:color="auto" w:fill="f1f8e9"/>
            <w:tcBorders/>
            <w:tcW w:w="3041" w:type="dxa"/>
          </w:tcPr>
          <w:p>
            <w:pPr>
              <w:pBdr/>
              <w:spacing/>
              <w:ind/>
              <w:rPr/>
            </w:pPr>
            <w:r>
              <w:rPr>
                <w:sz w:val="20"/>
              </w:rPr>
              <w:t xml:space="preserve">~39</w:t>
            </w:r>
            <w:r/>
          </w:p>
        </w:tc>
        <w:tc>
          <w:tcPr>
            <w:shd w:val="clear" w:color="auto" w:fill="f1f8e9"/>
            <w:tcBorders/>
            <w:tcW w:w="3041" w:type="dxa"/>
          </w:tcPr>
          <w:p>
            <w:pPr>
              <w:pBdr/>
              <w:spacing/>
              <w:ind/>
              <w:rPr/>
            </w:pPr>
            <w:r>
              <w:rPr>
                <w:sz w:val="20"/>
              </w:rPr>
              <w:t xml:space="preserve">Se procesan para crear variables derivadas, luego se descartan.</w:t>
            </w:r>
            <w:r/>
          </w:p>
        </w:tc>
      </w:tr>
      <w:tr>
        <w:trPr/>
        <w:tc>
          <w:tcPr>
            <w:tcBorders/>
            <w:tcW w:w="3041" w:type="dxa"/>
          </w:tcPr>
          <w:p>
            <w:pPr>
              <w:pBdr/>
              <w:spacing/>
              <w:ind/>
              <w:rPr/>
            </w:pPr>
            <w:r>
              <w:rPr>
                <w:b/>
                <w:sz w:val="20"/>
              </w:rPr>
              <w:t xml:space="preserve">Prohibida — post-ingreso</w:t>
            </w:r>
            <w:r/>
          </w:p>
        </w:tc>
        <w:tc>
          <w:tcPr>
            <w:tcBorders/>
            <w:tcW w:w="3041" w:type="dxa"/>
          </w:tcPr>
          <w:p>
            <w:pPr>
              <w:pBdr/>
              <w:spacing/>
              <w:ind/>
              <w:rPr/>
            </w:pPr>
            <w:r>
              <w:rPr>
                <w:sz w:val="20"/>
              </w:rPr>
              <w:t xml:space="preserve">~54</w:t>
            </w:r>
            <w:r/>
          </w:p>
        </w:tc>
        <w:tc>
          <w:tcPr>
            <w:tcBorders/>
            <w:tcW w:w="3041" w:type="dxa"/>
          </w:tcPr>
          <w:p>
            <w:pPr>
              <w:pBdr/>
              <w:spacing/>
              <w:ind/>
              <w:rPr/>
            </w:pPr>
            <w:r>
              <w:rPr>
                <w:sz w:val="20"/>
              </w:rPr>
              <w:t xml:space="preserve">Bloqueadas del modelo. Las de traslados se usan solo para detectar censura.</w:t>
            </w:r>
            <w:r/>
          </w:p>
        </w:tc>
      </w:tr>
      <w:tr>
        <w:trPr/>
        <w:tc>
          <w:tcPr>
            <w:shd w:val="clear" w:color="auto" w:fill="f1f8e9"/>
            <w:tcBorders/>
            <w:tcW w:w="3041" w:type="dxa"/>
          </w:tcPr>
          <w:p>
            <w:pPr>
              <w:pBdr/>
              <w:spacing/>
              <w:ind/>
              <w:rPr/>
            </w:pPr>
            <w:r>
              <w:rPr>
                <w:b/>
                <w:sz w:val="20"/>
              </w:rPr>
              <w:t xml:space="preserve">Lo que predigo (targets)</w:t>
            </w:r>
            <w:r/>
          </w:p>
        </w:tc>
        <w:tc>
          <w:tcPr>
            <w:shd w:val="clear" w:color="auto" w:fill="f1f8e9"/>
            <w:tcBorders/>
            <w:tcW w:w="3041" w:type="dxa"/>
          </w:tcPr>
          <w:p>
            <w:pPr>
              <w:pBdr/>
              <w:spacing/>
              <w:ind/>
              <w:rPr/>
            </w:pPr>
            <w:r>
              <w:rPr>
                <w:sz w:val="20"/>
              </w:rPr>
              <w:t xml:space="preserve">2</w:t>
            </w:r>
            <w:r/>
          </w:p>
        </w:tc>
        <w:tc>
          <w:tcPr>
            <w:shd w:val="clear" w:color="auto" w:fill="f1f8e9"/>
            <w:tcBorders/>
            <w:tcW w:w="3041" w:type="dxa"/>
          </w:tcPr>
          <w:p>
            <w:pPr>
              <w:pBdr/>
              <w:spacing/>
              <w:ind/>
              <w:rPr/>
            </w:pPr>
            <w:r>
              <w:rPr>
                <w:sz w:val="20"/>
              </w:rPr>
              <w:t xml:space="preserve">Mortalidad binaria y días de estadía.</w:t>
            </w:r>
            <w:r/>
          </w:p>
        </w:tc>
      </w:tr>
      <w:tr>
        <w:trPr/>
        <w:tc>
          <w:tcPr>
            <w:tcBorders/>
            <w:tcW w:w="3041" w:type="dxa"/>
          </w:tcPr>
          <w:p>
            <w:pPr>
              <w:pBdr/>
              <w:spacing/>
              <w:ind/>
              <w:rPr/>
            </w:pPr>
            <w:r>
              <w:rPr>
                <w:b/>
                <w:sz w:val="20"/>
              </w:rPr>
              <w:t xml:space="preserve">Identificadores para agrupar</w:t>
            </w:r>
            <w:r/>
          </w:p>
        </w:tc>
        <w:tc>
          <w:tcPr>
            <w:tcBorders/>
            <w:tcW w:w="3041" w:type="dxa"/>
          </w:tcPr>
          <w:p>
            <w:pPr>
              <w:pBdr/>
              <w:spacing/>
              <w:ind/>
              <w:rPr/>
            </w:pPr>
            <w:r>
              <w:rPr>
                <w:sz w:val="20"/>
              </w:rPr>
              <w:t xml:space="preserve">3</w:t>
            </w:r>
            <w:r/>
          </w:p>
        </w:tc>
        <w:tc>
          <w:tcPr>
            <w:tcBorders/>
            <w:tcW w:w="3041" w:type="dxa"/>
          </w:tcPr>
          <w:p>
            <w:pPr>
              <w:pBdr/>
              <w:spacing/>
              <w:ind/>
              <w:rPr/>
            </w:pPr>
            <w:r>
              <w:rPr>
                <w:sz w:val="20"/>
              </w:rPr>
              <w:t xml:space="preserve">Solo para calcular el indicador O/E por hospital al final.</w:t>
            </w:r>
            <w:r/>
          </w:p>
        </w:tc>
      </w:tr>
      <w:tr>
        <w:trPr/>
        <w:tc>
          <w:tcPr>
            <w:shd w:val="clear" w:color="auto" w:fill="f1f8e9"/>
            <w:tcBorders/>
            <w:tcW w:w="3041" w:type="dxa"/>
          </w:tcPr>
          <w:p>
            <w:pPr>
              <w:pBdr/>
              <w:spacing/>
              <w:ind/>
              <w:rPr/>
            </w:pPr>
            <w:r>
              <w:rPr>
                <w:b/>
                <w:sz w:val="20"/>
              </w:rPr>
              <w:t xml:space="preserve">Filtros de cohorte</w:t>
            </w:r>
            <w:r/>
          </w:p>
        </w:tc>
        <w:tc>
          <w:tcPr>
            <w:shd w:val="clear" w:color="auto" w:fill="f1f8e9"/>
            <w:tcBorders/>
            <w:tcW w:w="3041" w:type="dxa"/>
          </w:tcPr>
          <w:p>
            <w:pPr>
              <w:pBdr/>
              <w:spacing/>
              <w:ind/>
              <w:rPr/>
            </w:pPr>
            <w:r>
              <w:rPr>
                <w:sz w:val="20"/>
              </w:rPr>
              <w:t xml:space="preserve">5</w:t>
            </w:r>
            <w:r/>
          </w:p>
        </w:tc>
        <w:tc>
          <w:tcPr>
            <w:shd w:val="clear" w:color="auto" w:fill="f1f8e9"/>
            <w:tcBorders/>
            <w:tcW w:w="3041" w:type="dxa"/>
          </w:tcPr>
          <w:p>
            <w:pPr>
              <w:pBdr/>
              <w:spacing/>
              <w:ind/>
              <w:rPr/>
            </w:pPr>
            <w:r>
              <w:rPr>
                <w:sz w:val="20"/>
              </w:rPr>
              <w:t xml:space="preserve">Definen qué pacientes se analizan. Se descartan una vez aplicados.</w:t>
            </w:r>
            <w:r/>
          </w:p>
        </w:tc>
      </w:tr>
      <w:tr>
        <w:trPr/>
        <w:tc>
          <w:tcPr>
            <w:tcBorders/>
            <w:tcW w:w="3041" w:type="dxa"/>
          </w:tcPr>
          <w:p>
            <w:pPr>
              <w:pBdr/>
              <w:spacing/>
              <w:ind/>
              <w:rPr/>
            </w:pPr>
            <w:r>
              <w:rPr>
                <w:b/>
                <w:sz w:val="20"/>
              </w:rPr>
              <w:t xml:space="preserve">Para análisis de equidad</w:t>
            </w:r>
            <w:r/>
          </w:p>
        </w:tc>
        <w:tc>
          <w:tcPr>
            <w:tcBorders/>
            <w:tcW w:w="3041" w:type="dxa"/>
          </w:tcPr>
          <w:p>
            <w:pPr>
              <w:pBdr/>
              <w:spacing/>
              <w:ind/>
              <w:rPr/>
            </w:pPr>
            <w:r>
              <w:rPr>
                <w:sz w:val="20"/>
              </w:rPr>
              <w:t xml:space="preserve">7</w:t>
            </w:r>
            <w:r/>
          </w:p>
        </w:tc>
        <w:tc>
          <w:tcPr>
            <w:tcBorders/>
            <w:tcW w:w="3041" w:type="dxa"/>
          </w:tcPr>
          <w:p>
            <w:pPr>
              <w:pBdr/>
              <w:spacing/>
              <w:ind/>
              <w:rPr/>
            </w:pPr>
            <w:r>
              <w:rPr>
                <w:sz w:val="20"/>
              </w:rPr>
              <w:t xml:space="preserve">Reservadas para verificar si el sistema trata igual a todos los grupos.</w:t>
            </w:r>
            <w:r/>
          </w:p>
        </w:tc>
      </w:tr>
      <w:tr>
        <w:trPr/>
        <w:tc>
          <w:tcPr>
            <w:shd w:val="clear" w:color="auto" w:fill="f1f8e9"/>
            <w:tcBorders/>
            <w:tcW w:w="3041" w:type="dxa"/>
          </w:tcPr>
          <w:p>
            <w:pPr>
              <w:pBdr/>
              <w:spacing/>
              <w:ind/>
              <w:rPr/>
            </w:pPr>
            <w:r>
              <w:rPr>
                <w:b/>
                <w:sz w:val="20"/>
              </w:rPr>
              <w:t xml:space="preserve">Sin propósito (descartar)</w:t>
            </w:r>
            <w:r/>
          </w:p>
        </w:tc>
        <w:tc>
          <w:tcPr>
            <w:shd w:val="clear" w:color="auto" w:fill="f1f8e9"/>
            <w:tcBorders/>
            <w:tcW w:w="3041" w:type="dxa"/>
          </w:tcPr>
          <w:p>
            <w:pPr>
              <w:pBdr/>
              <w:spacing/>
              <w:ind/>
              <w:rPr/>
            </w:pPr>
            <w:r>
              <w:rPr>
                <w:sz w:val="20"/>
              </w:rPr>
              <w:t xml:space="preserve">~7</w:t>
            </w:r>
            <w:r/>
          </w:p>
        </w:tc>
        <w:tc>
          <w:tcPr>
            <w:shd w:val="clear" w:color="auto" w:fill="f1f8e9"/>
            <w:tcBorders/>
            <w:tcW w:w="3041" w:type="dxa"/>
          </w:tcPr>
          <w:p>
            <w:pPr>
              <w:pBdr/>
              <w:spacing/>
              <w:ind/>
              <w:rPr/>
            </w:pPr>
            <w:r>
              <w:rPr>
                <w:sz w:val="20"/>
              </w:rPr>
              <w:t xml:space="preserve">Columnas vacías o con valores sin significado documentado.</w:t>
            </w:r>
            <w:r/>
          </w:p>
        </w:tc>
      </w:tr>
      <w:tr>
        <w:trPr/>
        <w:tc>
          <w:tcPr>
            <w:tcBorders/>
            <w:tcW w:w="3041" w:type="dxa"/>
          </w:tcPr>
          <w:p>
            <w:pPr>
              <w:pBdr/>
              <w:spacing/>
              <w:ind/>
              <w:rPr/>
            </w:pPr>
            <w:r>
              <w:rPr>
                <w:b/>
                <w:sz w:val="20"/>
              </w:rPr>
              <w:t xml:space="preserve">TOTAL</w:t>
            </w:r>
            <w:r/>
          </w:p>
        </w:tc>
        <w:tc>
          <w:tcPr>
            <w:tcBorders/>
            <w:tcW w:w="3041" w:type="dxa"/>
          </w:tcPr>
          <w:p>
            <w:pPr>
              <w:pBdr/>
              <w:spacing/>
              <w:ind/>
              <w:rPr/>
            </w:pPr>
            <w:r>
              <w:rPr>
                <w:sz w:val="20"/>
              </w:rPr>
              <w:t xml:space="preserve">~129</w:t>
            </w:r>
            <w:r/>
          </w:p>
        </w:tc>
        <w:tc>
          <w:tcPr>
            <w:tcBorders/>
            <w:tcW w:w="3041" w:type="dxa"/>
          </w:tcPr>
          <w:p>
            <w:pPr>
              <w:pBdr/>
              <w:spacing/>
              <w:ind/>
              <w:rPr/>
            </w:pPr>
            <w:r>
              <w:rPr>
                <w:sz w:val="20"/>
              </w:rPr>
            </w:r>
            <w:r/>
          </w:p>
        </w:tc>
      </w:tr>
    </w:tbl>
    <w:p>
      <w:pPr>
        <w:pBdr/>
        <w:spacing/>
        <w:ind/>
        <w:rPr/>
      </w:pPr>
      <w:r/>
      <w:r/>
    </w:p>
    <w:p>
      <w:pPr>
        <w:pBdr/>
        <w:spacing/>
        <w:ind/>
        <w:rPr/>
      </w:pPr>
      <w:r>
        <w:br w:type="page" w:clear="all"/>
      </w:r>
      <w:r/>
    </w:p>
    <w:p>
      <w:pPr>
        <w:pStyle w:val="693"/>
        <w:pBdr/>
        <w:spacing/>
        <w:ind/>
        <w:jc w:val="left"/>
        <w:rPr/>
      </w:pPr>
      <w:r>
        <w:rPr>
          <w:color w:val="c62828"/>
        </w:rPr>
        <w:t xml:space="preserve">14. Propuestas que requieren aprobación del profesor guía</w:t>
      </w:r>
      <w:r/>
    </w:p>
    <w:p>
      <w:pPr>
        <w:pBdr/>
        <w:spacing/>
        <w:ind/>
        <w:rPr/>
      </w:pPr>
      <w:r>
        <w:rPr>
          <w:b w:val="0"/>
          <w:i w:val="0"/>
          <w:sz w:val="22"/>
        </w:rPr>
        <w:t xml:space="preserve">Las siguientes decisiones metodológicas están pendientes de validación. Requieren aprobación explícita del profesor guía antes de proceder con su implementación.</w:t>
      </w:r>
      <w:r/>
    </w:p>
    <w:tbl>
      <w:tblPr>
        <w:tblStyle w:val="753"/>
        <w:tblW w:w="0" w:type="auto"/>
        <w:tblBorders/>
        <w:tblLook w:val="04A0" w:firstRow="1" w:lastRow="0" w:firstColumn="1" w:lastColumn="0" w:noHBand="0" w:noVBand="1"/>
      </w:tblPr>
      <w:tblGrid>
        <w:gridCol w:w="3041"/>
        <w:gridCol w:w="3041"/>
        <w:gridCol w:w="3041"/>
      </w:tblGrid>
      <w:tr>
        <w:trPr/>
        <w:tc>
          <w:tcPr>
            <w:shd w:val="clear" w:color="auto" w:fill="c62828"/>
            <w:tcBorders/>
            <w:tcW w:w="3041" w:type="dxa"/>
          </w:tcPr>
          <w:p>
            <w:pPr>
              <w:pBdr/>
              <w:spacing/>
              <w:ind/>
              <w:jc w:val="center"/>
              <w:rPr/>
            </w:pPr>
            <w:r>
              <w:rPr>
                <w:b/>
                <w:color w:val="ffffff"/>
                <w:sz w:val="20"/>
              </w:rPr>
              <w:t xml:space="preserve">Propuesta</w:t>
            </w:r>
            <w:r/>
          </w:p>
        </w:tc>
        <w:tc>
          <w:tcPr>
            <w:shd w:val="clear" w:color="auto" w:fill="c62828"/>
            <w:tcBorders/>
            <w:tcW w:w="3041" w:type="dxa"/>
          </w:tcPr>
          <w:p>
            <w:pPr>
              <w:pBdr/>
              <w:spacing/>
              <w:ind/>
              <w:jc w:val="center"/>
              <w:rPr/>
            </w:pPr>
            <w:r>
              <w:rPr>
                <w:b/>
                <w:color w:val="ffffff"/>
                <w:sz w:val="20"/>
              </w:rPr>
              <w:t xml:space="preserve">Descripción</w:t>
            </w:r>
            <w:r/>
          </w:p>
        </w:tc>
        <w:tc>
          <w:tcPr>
            <w:shd w:val="clear" w:color="auto" w:fill="c62828"/>
            <w:tcBorders/>
            <w:tcW w:w="3041" w:type="dxa"/>
          </w:tcPr>
          <w:p>
            <w:pPr>
              <w:pBdr/>
              <w:spacing/>
              <w:ind/>
              <w:jc w:val="center"/>
              <w:rPr/>
            </w:pPr>
            <w:r>
              <w:rPr>
                <w:b/>
                <w:color w:val="ffffff"/>
                <w:sz w:val="20"/>
              </w:rPr>
              <w:t xml:space="preserve">Resolución del profesor</w:t>
            </w:r>
            <w:r/>
          </w:p>
        </w:tc>
      </w:tr>
      <w:tr>
        <w:trPr/>
        <w:tc>
          <w:tcPr>
            <w:tcBorders/>
            <w:tcW w:w="3041" w:type="dxa"/>
          </w:tcPr>
          <w:p>
            <w:pPr>
              <w:pBdr/>
              <w:spacing/>
              <w:ind/>
              <w:rPr/>
            </w:pPr>
            <w:r>
              <w:rPr>
                <w:sz w:val="20"/>
              </w:rPr>
              <w:t xml:space="preserve">Análisis de equidad</w:t>
            </w:r>
            <w:r/>
          </w:p>
        </w:tc>
        <w:tc>
          <w:tcPr>
            <w:tcBorders/>
            <w:tcW w:w="3041" w:type="dxa"/>
          </w:tcPr>
          <w:p>
            <w:pPr>
              <w:pBdr/>
              <w:spacing/>
              <w:ind/>
              <w:rPr/>
            </w:pPr>
            <w:r>
              <w:rPr>
                <w:sz w:val="20"/>
              </w:rPr>
              <w:t xml:space="preserve">Reserv</w:t>
            </w:r>
            <w:r>
              <w:rPr>
                <w:sz w:val="20"/>
              </w:rPr>
              <w:t xml:space="preserve">ar previsión FONASA, nacionalidad y nivel de privación comunal para un análisis separado que verifique si el indicador O/E varía según características socioeconómicas de los pacientes. Sería un capítulo adicional del informe, no parte del modelo principal.</w:t>
            </w:r>
            <w:r/>
          </w:p>
        </w:tc>
        <w:tc>
          <w:tcPr>
            <w:tcBorders/>
            <w:tcW w:w="3041" w:type="dxa"/>
          </w:tcPr>
          <w:p>
            <w:pPr>
              <w:pBdr/>
              <w:spacing/>
              <w:ind/>
              <w:rPr/>
            </w:pPr>
            <w:r>
              <w:rPr>
                <w:sz w:val="20"/>
              </w:rPr>
              <w:t xml:space="preserve">Aprobado / Rechazado / Pendiente</w:t>
            </w:r>
            <w:r/>
          </w:p>
        </w:tc>
      </w:tr>
      <w:tr>
        <w:trPr/>
        <w:tc>
          <w:tcPr>
            <w:shd w:val="clear" w:color="auto" w:fill="f1f8e9"/>
            <w:tcBorders/>
            <w:tcW w:w="3041" w:type="dxa"/>
          </w:tcPr>
          <w:p>
            <w:pPr>
              <w:pBdr/>
              <w:spacing/>
              <w:ind/>
              <w:rPr/>
            </w:pPr>
            <w:r>
              <w:rPr>
                <w:sz w:val="20"/>
              </w:rPr>
              <w:t xml:space="preserve">Exclusión de ETNIA del análisis</w:t>
            </w:r>
            <w:r/>
          </w:p>
        </w:tc>
        <w:tc>
          <w:tcPr>
            <w:shd w:val="clear" w:color="auto" w:fill="f1f8e9"/>
            <w:tcBorders/>
            <w:tcW w:w="3041" w:type="dxa"/>
          </w:tcPr>
          <w:p>
            <w:pPr>
              <w:pBdr/>
              <w:spacing/>
              <w:ind/>
              <w:rPr/>
            </w:pPr>
            <w:r>
              <w:rPr>
                <w:sz w:val="20"/>
              </w:rPr>
              <w:t xml:space="preserve">La variable de etnia NO se incluirá en el modelo ni en el análisis de equidad de esta tesis. Solo se documenta su existencia. Exclusión motivada por la complejidad metodológica de su interpretación correcta en el contexto del sistema de salud chileno.</w:t>
            </w:r>
            <w:r/>
          </w:p>
        </w:tc>
        <w:tc>
          <w:tcPr>
            <w:shd w:val="clear" w:color="auto" w:fill="f1f8e9"/>
            <w:tcBorders/>
            <w:tcW w:w="3041" w:type="dxa"/>
          </w:tcPr>
          <w:p>
            <w:pPr>
              <w:pBdr/>
              <w:spacing/>
              <w:ind/>
              <w:rPr/>
            </w:pPr>
            <w:r>
              <w:rPr>
                <w:sz w:val="20"/>
              </w:rPr>
              <w:t xml:space="preserve">Aprobado / Rechazado / Pendiente</w:t>
            </w:r>
            <w:r/>
          </w:p>
        </w:tc>
      </w:tr>
      <w:tr>
        <w:trPr/>
        <w:tc>
          <w:tcPr>
            <w:tcBorders/>
            <w:tcW w:w="3041" w:type="dxa"/>
          </w:tcPr>
          <w:p>
            <w:pPr>
              <w:pBdr/>
              <w:spacing/>
              <w:ind/>
              <w:rPr/>
            </w:pPr>
            <w:r>
              <w:rPr>
                <w:sz w:val="20"/>
              </w:rPr>
              <w:t xml:space="preserve">Seguimiento de traslados encadenados para estadía</w:t>
            </w:r>
            <w:r/>
          </w:p>
        </w:tc>
        <w:tc>
          <w:tcPr>
            <w:tcBorders/>
            <w:tcW w:w="3041" w:type="dxa"/>
          </w:tcPr>
          <w:p>
            <w:pPr>
              <w:pBdr/>
              <w:spacing/>
              <w:ind/>
              <w:rPr/>
            </w:pPr>
            <w:r>
              <w:rPr>
                <w:sz w:val="20"/>
              </w:rPr>
              <w:t xml:space="preserve">Para calcular la estadía real de un paciente trasladado, encadenar sus episodios en distintos hospitales usando CIP_ENCRIPTADO y sumar los días de cada centro.</w:t>
            </w:r>
            <w:r/>
          </w:p>
        </w:tc>
        <w:tc>
          <w:tcPr>
            <w:tcBorders/>
            <w:tcW w:w="3041" w:type="dxa"/>
          </w:tcPr>
          <w:p>
            <w:pPr>
              <w:pBdr/>
              <w:spacing/>
              <w:ind/>
              <w:rPr/>
            </w:pPr>
            <w:r>
              <w:rPr>
                <w:sz w:val="20"/>
              </w:rPr>
              <w:t xml:space="preserve">Aprobado / Rechazado / Pendiente</w:t>
            </w:r>
            <w:r/>
          </w:p>
        </w:tc>
      </w:tr>
      <w:tr>
        <w:trPr/>
        <w:tc>
          <w:tcPr>
            <w:shd w:val="clear" w:color="auto" w:fill="f1f8e9"/>
            <w:tcBorders/>
            <w:tcW w:w="3041" w:type="dxa"/>
          </w:tcPr>
          <w:p>
            <w:pPr>
              <w:pBdr/>
              <w:spacing/>
              <w:ind/>
              <w:rPr/>
            </w:pPr>
            <w:r>
              <w:rPr>
                <w:sz w:val="20"/>
              </w:rPr>
              <w:t xml:space="preserve">Variables condicionales de contexto institucional</w:t>
            </w:r>
            <w:r/>
          </w:p>
        </w:tc>
        <w:tc>
          <w:tcPr>
            <w:shd w:val="clear" w:color="auto" w:fill="f1f8e9"/>
            <w:tcBorders/>
            <w:tcW w:w="3041" w:type="dxa"/>
          </w:tcPr>
          <w:p>
            <w:pPr>
              <w:pBdr/>
              <w:spacing/>
              <w:ind/>
              <w:rPr/>
            </w:pPr>
            <w:r>
              <w:rPr>
                <w:sz w:val="20"/>
              </w:rPr>
              <w:t xml:space="preserve">Tres variables (servicio de ingreso, especialidad médica, derivado de otro hospital) entran al modelo solo si la verificación estadística confirma que miden riesgo del paciente y no estructura del hospital.</w:t>
            </w:r>
            <w:r/>
          </w:p>
        </w:tc>
        <w:tc>
          <w:tcPr>
            <w:shd w:val="clear" w:color="auto" w:fill="f1f8e9"/>
            <w:tcBorders/>
            <w:tcW w:w="3041" w:type="dxa"/>
          </w:tcPr>
          <w:p>
            <w:pPr>
              <w:pBdr/>
              <w:spacing/>
              <w:ind/>
              <w:rPr/>
            </w:pPr>
            <w:r>
              <w:rPr>
                <w:sz w:val="20"/>
              </w:rPr>
              <w:t xml:space="preserve">Aprobado / Rechazado / Pendiente</w:t>
            </w:r>
            <w:r/>
          </w:p>
        </w:tc>
      </w:tr>
      <w:tr>
        <w:trPr/>
        <w:tc>
          <w:tcPr>
            <w:tcBorders/>
            <w:tcW w:w="3041" w:type="dxa"/>
          </w:tcPr>
          <w:p>
            <w:pPr>
              <w:pBdr/>
              <w:spacing/>
              <w:ind/>
              <w:rPr/>
            </w:pPr>
            <w:r>
              <w:rPr>
                <w:sz w:val="20"/>
              </w:rPr>
              <w:t xml:space="preserve">Exclusión de fallecidos del modelo de estadía</w:t>
            </w:r>
            <w:r/>
          </w:p>
        </w:tc>
        <w:tc>
          <w:tcPr>
            <w:tcBorders/>
            <w:tcW w:w="3041" w:type="dxa"/>
          </w:tcPr>
          <w:p>
            <w:pPr>
              <w:pBdr/>
              <w:spacing/>
              <w:ind/>
              <w:rPr/>
            </w:pPr>
            <w:r>
              <w:rPr>
                <w:sz w:val="20"/>
              </w:rPr>
              <w:t xml:space="preserve">Entrenar el modelo de días de estadía solo con sobrevivientes. Los fallecidos se reportan en estadística descriptiva aparte.</w:t>
            </w:r>
            <w:r/>
          </w:p>
        </w:tc>
        <w:tc>
          <w:tcPr>
            <w:tcBorders/>
            <w:tcW w:w="3041" w:type="dxa"/>
          </w:tcPr>
          <w:p>
            <w:pPr>
              <w:pBdr/>
              <w:spacing/>
              <w:ind/>
              <w:rPr/>
            </w:pPr>
            <w:r>
              <w:rPr>
                <w:sz w:val="20"/>
              </w:rPr>
              <w:t xml:space="preserve">Aprobado / Rechazado / Pendiente</w:t>
            </w:r>
            <w:r/>
          </w:p>
        </w:tc>
      </w:tr>
      <w:tr>
        <w:trPr/>
        <w:tc>
          <w:tcPr>
            <w:shd w:val="clear" w:color="auto" w:fill="f1f8e9"/>
            <w:tcBorders/>
            <w:tcW w:w="3041" w:type="dxa"/>
          </w:tcPr>
          <w:p>
            <w:pPr>
              <w:pBdr/>
              <w:spacing/>
              <w:ind/>
              <w:rPr/>
            </w:pPr>
            <w:r>
              <w:rPr>
                <w:sz w:val="20"/>
              </w:rPr>
              <w:t xml:space="preserve">Umbral mínimo de volumen por hospital</w:t>
            </w:r>
            <w:r/>
          </w:p>
        </w:tc>
        <w:tc>
          <w:tcPr>
            <w:shd w:val="clear" w:color="auto" w:fill="f1f8e9"/>
            <w:tcBorders/>
            <w:tcW w:w="3041" w:type="dxa"/>
          </w:tcPr>
          <w:p>
            <w:pPr>
              <w:pBdr/>
              <w:spacing/>
              <w:ind/>
              <w:rPr/>
            </w:pPr>
            <w:r>
              <w:rPr>
                <w:sz w:val="20"/>
              </w:rPr>
              <w:t xml:space="preserve">Excluir del indicador O/E los hospitales con menos de un número mínimo de egresos en el año de prueba, por inestabilidad estadística. El umbral se definirá durante el análisis de los datos completos.</w:t>
            </w:r>
            <w:r/>
          </w:p>
        </w:tc>
        <w:tc>
          <w:tcPr>
            <w:shd w:val="clear" w:color="auto" w:fill="f1f8e9"/>
            <w:tcBorders/>
            <w:tcW w:w="3041" w:type="dxa"/>
          </w:tcPr>
          <w:p>
            <w:pPr>
              <w:pBdr/>
              <w:spacing/>
              <w:ind/>
              <w:rPr/>
            </w:pPr>
            <w:r>
              <w:rPr>
                <w:sz w:val="20"/>
              </w:rPr>
              <w:t xml:space="preserve">Aprobado / Rechazado / Pendiente</w:t>
            </w:r>
            <w:r/>
          </w:p>
        </w:tc>
      </w:tr>
    </w:tbl>
    <w:p>
      <w:pPr>
        <w:pBdr/>
        <w:spacing/>
        <w:ind/>
        <w:rPr/>
      </w:pPr>
      <w:r/>
      <w:r/>
    </w:p>
    <w:p>
      <w:pPr>
        <w:pBdr/>
        <w:spacing/>
        <w:ind/>
        <w:jc w:val="center"/>
        <w:rPr/>
      </w:pPr>
      <w:r>
        <w:rPr>
          <w:i/>
          <w:color w:val="37474f"/>
          <w:sz w:val="18"/>
        </w:rPr>
        <w:t xml:space="preserve">Informe Técnico — Fase 2: Comprensión de los Datos</w:t>
        <w:br/>
        <w:t xml:space="preserve">Universidad de Santiago de Chile | Departamento de Ingeniería Informática | Septiembre 2026</w:t>
      </w:r>
      <w:r/>
    </w:p>
    <w:sectPr>
      <w:footnotePr/>
      <w:endnotePr/>
      <w:type w:val="nextPage"/>
      <w:pgSz w:h="15840" w:orient="portrait" w:w="12240"/>
      <w:pgMar w:top="1417" w:right="1417" w:bottom="1417" w:left="1701"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Calibri" w:hAnsi="Calibri"/>
      <w:sz w:val="22"/>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2026-09-26T20:38:17Z</dcterms:modified>
  <cp:category/>
</cp:coreProperties>
</file>