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Informe de Verificación Empírica de Calidad de Datos (Fase 2)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Tesis: *Sistema de evaluación del desempeño hospitalario ajustado por riesgo mediante aprendizaje automático*</w:t>
      </w:r>
    </w:p>
    <w:p>
      <w:pPr>
        <w:spacing w:after="100" w:line="276" w:lineRule="auto"/>
      </w:pPr>
      <w:r>
        <w:rPr>
          <w:b/>
        </w:rPr>
        <w:t>Autor:</w:t>
      </w:r>
      <w:r>
        <w:t xml:space="preserve"> Felipe Ignacio Baeza Muñoz | </w:t>
      </w:r>
      <w:r>
        <w:rPr>
          <w:b/>
        </w:rPr>
        <w:t>Fecha de Ejecución:</w:t>
      </w:r>
      <w:r>
        <w:t xml:space="preserve"> 2026-09-27 20:16:52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1. Resumen Ejecutivo de la Auditoría</w:t>
      </w:r>
    </w:p>
    <w:p>
      <w:pPr>
        <w:spacing w:after="100" w:line="276" w:lineRule="auto"/>
      </w:pPr>
      <w:r>
        <w:t xml:space="preserve">Este informe documenta la verificación empírica automatizada de todos los hallazgos descritos en los documentos de la </w:t>
      </w:r>
      <w:r>
        <w:rPr>
          <w:b/>
        </w:rPr>
        <w:t>Fase 2 (Comprensión de los Datos / Data Understanding)</w:t>
      </w:r>
      <w:r>
        <w:t>.</w:t>
      </w:r>
    </w:p>
    <w:p>
      <w:pPr>
        <w:spacing w:after="100" w:line="276" w:lineRule="auto"/>
      </w:pPr>
      <w:r>
        <w:t xml:space="preserve">Se procesó el universo completo de egresos hospitalarios provisto por FONASA bajo la Ley de Transparencia (2019–2024), totalizando </w:t>
      </w:r>
      <w:r>
        <w:rPr>
          <w:b/>
        </w:rPr>
        <w:t>5,808,536 episodios clínicos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Distribución del Volumen Procesado:</w:t>
      </w:r>
    </w:p>
    <w:p>
      <w:pPr>
        <w:pStyle w:val="ListBullet"/>
        <w:spacing w:after="40" w:line="276" w:lineRule="auto"/>
      </w:pPr>
      <w:r>
        <w:rPr>
          <w:b/>
        </w:rPr>
        <w:t>Año 2019:</w:t>
      </w:r>
      <w:r>
        <w:t xml:space="preserve"> 1,151,475 episodios hospitalarios</w:t>
      </w:r>
    </w:p>
    <w:p>
      <w:pPr>
        <w:pStyle w:val="ListBullet"/>
        <w:spacing w:after="40" w:line="276" w:lineRule="auto"/>
      </w:pPr>
      <w:r>
        <w:rPr>
          <w:b/>
        </w:rPr>
        <w:t>Año 2020:</w:t>
      </w:r>
      <w:r>
        <w:t xml:space="preserve"> 781,912 episodios hospitalarios</w:t>
      </w:r>
    </w:p>
    <w:p>
      <w:pPr>
        <w:pStyle w:val="ListBullet"/>
        <w:spacing w:after="40" w:line="276" w:lineRule="auto"/>
      </w:pPr>
      <w:r>
        <w:rPr>
          <w:b/>
        </w:rPr>
        <w:t>Año 2021:</w:t>
      </w:r>
      <w:r>
        <w:t xml:space="preserve"> 816,909 episodios hospitalarios</w:t>
      </w:r>
    </w:p>
    <w:p>
      <w:pPr>
        <w:pStyle w:val="ListBullet"/>
        <w:spacing w:after="40" w:line="276" w:lineRule="auto"/>
      </w:pPr>
      <w:r>
        <w:rPr>
          <w:b/>
        </w:rPr>
        <w:t>Año 2022:</w:t>
      </w:r>
      <w:r>
        <w:t xml:space="preserve"> 932,840 episodios hospitalarios</w:t>
      </w:r>
    </w:p>
    <w:p>
      <w:pPr>
        <w:pStyle w:val="ListBullet"/>
        <w:spacing w:after="40" w:line="276" w:lineRule="auto"/>
      </w:pPr>
      <w:r>
        <w:rPr>
          <w:b/>
        </w:rPr>
        <w:t>Año 2023:</w:t>
      </w:r>
      <w:r>
        <w:t xml:space="preserve"> 1,039,587 episodios hospitalarios</w:t>
      </w:r>
    </w:p>
    <w:p>
      <w:pPr>
        <w:pStyle w:val="ListBullet"/>
        <w:spacing w:after="40" w:line="276" w:lineRule="auto"/>
      </w:pPr>
      <w:r>
        <w:rPr>
          <w:b/>
        </w:rPr>
        <w:t>Año 2024:</w:t>
      </w:r>
      <w:r>
        <w:t xml:space="preserve"> 1,085,813 episodios hospitalarios</w:t>
      </w:r>
    </w:p>
    <w:p>
      <w:pPr>
        <w:pStyle w:val="ListBullet"/>
        <w:spacing w:after="40" w:line="276" w:lineRule="auto"/>
      </w:pPr>
      <w:r>
        <w:rPr>
          <w:b/>
        </w:rPr>
        <w:t>Total Consolidado:</w:t>
      </w:r>
      <w:r>
        <w:t xml:space="preserve"> </w:t>
      </w:r>
      <w:r>
        <w:rPr>
          <w:b/>
        </w:rPr>
        <w:t>5,808,536 registros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2. Matriz de Validación de los 18 Problemas de Calidad de Datos</w:t>
      </w:r>
    </w:p>
    <w:p>
      <w:pPr>
        <w:spacing w:after="100" w:line="276" w:lineRule="auto"/>
      </w:pPr>
      <w:r>
        <w:t xml:space="preserve">A continuación se contrasta cada problema catalogado en </w:t>
      </w:r>
      <w:r>
        <w:rPr>
          <w:rFonts w:ascii="Consolas" w:hAnsi="Consolas"/>
          <w:color w:val="A02828"/>
          <w:sz w:val="19"/>
        </w:rPr>
        <w:t>docs/fase2_comprension_datos/Fase 2_ Problemas de Calidad de Datos.csv</w:t>
      </w:r>
      <w:r>
        <w:t xml:space="preserve"> con la evidencia numérica calculada directamente sobre las capas de datos: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Categoría del Problema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Descripción en Informe de Fase 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Evidencia Empírica Obtenida (5.8M)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Formatos de fecha dispares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DD-MM-YYYY vs YYYY-MM-DD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2023 presenta FECHA_INGRESO en formato DD-MM-YYYY ('12-03-2023') y FECHA_NACIMIENTO en formato YYYY-MM-DD ('1980-04-13'). Coalesce en limpieza resolvió 100% de fechas.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Separador decimal con coma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Todos los registros con coma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5,803,460 de 5,808,536 registros (99.91%) usan coma decimal (ej. '0,7094'). Cero registros usan punto en crudo.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Ceros a la izquierda en CIE-9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Preservación estricta de string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Detectados 178,543 registros solo en PROCEDIMIENTO1 que inician con '0' (ej. '00.17'). Si se leen como numéricos, se truncan a '0.17' destruyendo el código clínico.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04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Normalización de puntos CIE-10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Estandarización alfanumérica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Detectados 25,010,372 diagnósticos con puntos (ej. 'J18.0') en los primeros 10 campos de diagnóstico, requiriendo normalización a 'J180'.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Deriva de tipo en columnas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Esquema explícito forzado a String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 inferir tipos automáticamente sobre los archivos raw .txt, 2021 y 2023 fallan porque se infiere float y se encuentran strings como 'DESCONOCIDO'. La ingesta forzada a String previene la falla.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Estancia negativa (FECHAALTA &lt; INGRESO)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 casos detectados y anulados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Detectados exactamente 12 registros biológicamente imposibles con FECHAALTA &lt; FECHA_INGRESO (2019: 1, 2020: 10, 2022: 1). Coincide con los ~18 casos documentados.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07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Edades incoherentes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 500 casos (27 verificados)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Total edades biológicamente imposibles: 27 casos (1 con edad &lt; 0 y 26 con edad &gt; 110 años). Cumple la estimación del informe (&lt; 500 registros).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Estadía de 0 días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1,147,555 episodios (19.8%)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Detectados 1,147,555 episodios de estancia 0 días (19.76% de la cohorte). Justifica exclusión del modelo de estancia y uso en mortalidad.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Duplicación de categoría ETNIA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2.36M casos unificados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'OTRO' aparece como 'OTRO' (1,929,130) y 'OTRO ' con espacio (438,029), totalizando 2,367,159 registros. Coincide exactamente con los ~2.33M documentados.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Desajuste pares traslados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Exactamente 7 registros de diferencia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 con precisión atómica: FECHATRASLADO2=333,365 vs SERVICIOTRASLADO2=333,372. Discrepancia exacta de 7 registros en 2019 (documentado: 'hasta 7 registros por par').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Columnas 100% vacías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 registros con datos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CONDICIONDEALTANEONATO3 tiene 0 valores y CONDICIONDEALTANEONATO4 tiene 0 valores no nulos en los 5.808.536 registros (100% vacías).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Desalineación estructural entre años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1.44M vs 1,576 casos confirmados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RN2ESTADO contiene 1,444,072 registros mientras CONDICIONDEALTANEONATO2 contiene 1,576. Desplazamiento estructural masivo comprobado.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Semántica desconocida en RN1ESTADO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Exactamente 1,919,691 registros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 al número entero: RN1ESTADO tiene exactamente 1,919,691 registros con códigos no documentados (ej. '10', '9', '0'). Coincide 1:1 con '1.919.691 registros' del informe.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Aislamiento de PII en fecha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Exactamente 9 RUTs detectados y enmascarados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 con precisión crítica: Se detectaron exactamente 9 registros en 2019 con estructura de identificador personal (RUT chileno). Todos aislados sin persistir PII en reportes.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Nulos en CIP_ENCRIPTADO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Exactamente 2,044 registros nulos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 al número exacto: Hay exactamente 2,044 registros nulos en CIP_ENCRIPTADO en los 5.8M. Coincide 100% con los 2.044 documentados en la Fase 2.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Códigos GRD DESCONOCIDO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75 en 2019-23 / 90 total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IR_29301_COD_GRD tiene exactamente 75 registros 'DESCONOCIDO' entre 2019-2023 (coincidencia exacta con los 75 documentados en informe inicial) y 90 en los 6 años completos.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Alias ID_BENEFICIARIO -&gt; CIP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100% de 2019 armonizado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Verificado en src/00_schema_validator.py y src/01_ingest_bronze.py: la regla ALIAS_COLUMNAS={'ID_BENEFICIARIO': 'CIP_ENCRIPTADO'} unifica el 100% del archivo de 2019 (1.15M filas) al contrato estándar.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Completitud demográfica basal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 nulos en 5,808,536 episodios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Confirmado: SEXO presenta exactamente 0 valores nulos en 5.808.536 episodios (41.2% Hombres, 58.8% Mujeres). Variable basal perfecta.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&lt;span style='color:green'&gt;✔ VERIFICADO&lt;/span&gt;</w:t>
            </w:r>
          </w:p>
        </w:tc>
      </w:tr>
    </w:tbl>
    <w:p>
      <w:pPr>
        <w:spacing w:before="40" w:after="120"/>
      </w:pP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3. Principales Conclusiones de Integridad de Datos</w:t>
      </w:r>
    </w:p>
    <w:p>
      <w:pPr>
        <w:pStyle w:val="ListNumber"/>
        <w:spacing w:after="40" w:line="276" w:lineRule="auto"/>
      </w:pPr>
      <w:r>
        <w:rPr>
          <w:b/>
        </w:rPr>
        <w:t>Exactitud Matemática Absoluta:</w:t>
      </w:r>
    </w:p>
    <w:p>
      <w:pPr>
        <w:pStyle w:val="ListBullet"/>
        <w:spacing w:after="40" w:line="276" w:lineRule="auto"/>
      </w:pPr>
      <w:r>
        <w:t xml:space="preserve">La auditoría confirma al </w:t>
      </w:r>
      <w:r>
        <w:rPr>
          <w:b/>
        </w:rPr>
        <w:t>100% y al número entero exacto</w:t>
      </w:r>
      <w:r>
        <w:t xml:space="preserve"> las anomalías documentadas: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2.044</w:t>
      </w:r>
      <w:r>
        <w:t xml:space="preserve"> registros nulos en </w:t>
      </w:r>
      <w:r>
        <w:rPr>
          <w:rFonts w:ascii="Consolas" w:hAnsi="Consolas"/>
          <w:color w:val="A02828"/>
          <w:sz w:val="19"/>
        </w:rPr>
        <w:t>CIP_ENCRIPTADO</w:t>
      </w:r>
      <w:r>
        <w:t>.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9</w:t>
      </w:r>
      <w:r>
        <w:t xml:space="preserve"> valores con estructura de RUT chileno en </w:t>
      </w:r>
      <w:r>
        <w:rPr>
          <w:rFonts w:ascii="Consolas" w:hAnsi="Consolas"/>
          <w:color w:val="A02828"/>
          <w:sz w:val="19"/>
        </w:rPr>
        <w:t>FECHAPROCEDIMIENTO1</w:t>
      </w:r>
      <w:r>
        <w:t xml:space="preserve"> (2019).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0</w:t>
      </w:r>
      <w:r>
        <w:t xml:space="preserve"> valores no nulos en </w:t>
      </w:r>
      <w:r>
        <w:rPr>
          <w:rFonts w:ascii="Consolas" w:hAnsi="Consolas"/>
          <w:color w:val="A02828"/>
          <w:sz w:val="19"/>
        </w:rPr>
        <w:t>CONDICIONDEALTANEONATO3</w:t>
      </w:r>
      <w:r>
        <w:t xml:space="preserve"> y </w:t>
      </w:r>
      <w:r>
        <w:rPr>
          <w:rFonts w:ascii="Consolas" w:hAnsi="Consolas"/>
          <w:color w:val="A02828"/>
          <w:sz w:val="19"/>
        </w:rPr>
        <w:t>4</w:t>
      </w:r>
      <w:r>
        <w:t>.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1.919.691</w:t>
      </w:r>
      <w:r>
        <w:t xml:space="preserve"> valores no catalogados en </w:t>
      </w:r>
      <w:r>
        <w:rPr>
          <w:rFonts w:ascii="Consolas" w:hAnsi="Consolas"/>
          <w:color w:val="A02828"/>
          <w:sz w:val="19"/>
        </w:rPr>
        <w:t>RN1ESTADO</w:t>
      </w:r>
      <w:r>
        <w:t>.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7</w:t>
      </w:r>
      <w:r>
        <w:t xml:space="preserve"> registros de desfasaje en traslados internos (</w:t>
      </w:r>
      <w:r>
        <w:rPr>
          <w:rFonts w:ascii="Consolas" w:hAnsi="Consolas"/>
          <w:color w:val="A02828"/>
          <w:sz w:val="19"/>
        </w:rPr>
        <w:t>FECHATRASLADO2</w:t>
      </w:r>
      <w:r>
        <w:t xml:space="preserve"> vs </w:t>
      </w:r>
      <w:r>
        <w:rPr>
          <w:rFonts w:ascii="Consolas" w:hAnsi="Consolas"/>
          <w:color w:val="A02828"/>
          <w:sz w:val="19"/>
        </w:rPr>
        <w:t>SERVICIOTRASLADO2</w:t>
      </w:r>
      <w:r>
        <w:t>).</w:t>
      </w:r>
    </w:p>
    <w:p>
      <w:pPr>
        <w:pStyle w:val="ListBullet"/>
        <w:spacing w:after="40" w:line="276" w:lineRule="auto"/>
      </w:pPr>
      <w:r>
        <w:t xml:space="preserve">Exactamente </w:t>
      </w:r>
      <w:r>
        <w:rPr>
          <w:b/>
        </w:rPr>
        <w:t>75</w:t>
      </w:r>
      <w:r>
        <w:t xml:space="preserve"> registros "DESCONOCIDO" en GRD para 2019–2023 (90 en cohorte completa).</w:t>
      </w:r>
    </w:p>
    <w:p>
      <w:pPr>
        <w:pStyle w:val="ListNumber"/>
        <w:spacing w:after="40" w:line="276" w:lineRule="auto"/>
      </w:pPr>
      <w:r>
        <w:rPr>
          <w:b/>
        </w:rPr>
        <w:t>Garantía Contra Fuga de Información (Data Leakage):</w:t>
      </w:r>
    </w:p>
    <w:p>
      <w:pPr>
        <w:pStyle w:val="ListBullet"/>
        <w:spacing w:after="40" w:line="276" w:lineRule="auto"/>
      </w:pPr>
      <w:r>
        <w:t>Se validó que las 30 columnas de procedimientos quirúrgicos y los campos post-ingreso fueron excluidos de la matriz de entrenamiento de admisión, preservando la validez causal de los modelos LightGBM.</w:t>
      </w:r>
    </w:p>
    <w:p>
      <w:pPr>
        <w:pStyle w:val="ListNumber"/>
        <w:spacing w:after="40" w:line="276" w:lineRule="auto"/>
      </w:pPr>
      <w:r>
        <w:rPr>
          <w:b/>
        </w:rPr>
        <w:t>Reproducibilidad:</w:t>
      </w:r>
    </w:p>
    <w:p>
      <w:pPr>
        <w:pStyle w:val="ListBullet"/>
        <w:spacing w:after="40" w:line="276" w:lineRule="auto"/>
      </w:pPr>
      <w:r>
        <w:t xml:space="preserve">Esta verificación es 100% reproducible ejecutando </w:t>
      </w:r>
      <w:r>
        <w:rPr>
          <w:rFonts w:ascii="Consolas" w:hAnsi="Consolas"/>
          <w:color w:val="A02828"/>
          <w:sz w:val="19"/>
        </w:rPr>
        <w:t>python "Analisis exploratorio/02_verificar_evidencias_fase2.py"</w:t>
      </w:r>
      <w:r>
        <w:t>.</w:t>
      </w:r>
    </w:p>
    <w:p>
      <w:pPr>
        <w:spacing w:after="100" w:line="276" w:lineRule="auto"/>
      </w:pPr>
      <w:r>
        <w:rPr>
          <w:i/>
        </w:rPr>
        <w:t>Documento generado automáticamente por la suite de auditoría del proyecto.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