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320" w:after="160"/>
      </w:pPr>
      <w:r>
        <w:rPr>
          <w:rFonts w:ascii="Calibri" w:hAnsi="Calibri"/>
          <w:b/>
          <w:color w:val="0F172A"/>
          <w:sz w:val="36"/>
        </w:rPr>
        <w:t>Resolución Metodológica y Cierre Definitivo de la Fase 2: Especificación Primaria M2+CAP, Calibración Previa al Ingreso, Deriva de Codificación y Sensibilidad a la Censura por Traslado</w:t>
      </w:r>
    </w:p>
    <w:p>
      <w:pPr>
        <w:spacing w:after="100" w:line="276" w:lineRule="auto"/>
      </w:pPr>
      <w:r>
        <w:rPr>
          <w:b/>
        </w:rPr>
        <w:t>Fecha de Cierre:</w:t>
      </w:r>
      <w:r>
        <w:t xml:space="preserve"> Octubre 2026</w:t>
      </w:r>
    </w:p>
    <w:p>
      <w:pPr>
        <w:spacing w:after="100" w:line="276" w:lineRule="auto"/>
      </w:pPr>
      <w:r>
        <w:rPr>
          <w:b/>
        </w:rPr>
        <w:t>Repositorio:</w:t>
      </w:r>
      <w:r>
        <w:t xml:space="preserve"> </w:t>
      </w:r>
      <w:r>
        <w:rPr>
          <w:rFonts w:ascii="Consolas" w:hAnsi="Consolas"/>
          <w:color w:val="A02828"/>
          <w:sz w:val="19"/>
        </w:rPr>
        <w:t>Tesis</w:t>
      </w:r>
      <w:r>
        <w:t xml:space="preserve"> (Rama </w:t>
      </w:r>
      <w:r>
        <w:rPr>
          <w:rFonts w:ascii="Consolas" w:hAnsi="Consolas"/>
          <w:color w:val="A02828"/>
          <w:sz w:val="19"/>
        </w:rPr>
        <w:t>main</w:t>
      </w:r>
      <w:r>
        <w:t>)</w:t>
      </w:r>
    </w:p>
    <w:p>
      <w:pPr>
        <w:spacing w:after="100" w:line="276" w:lineRule="auto"/>
      </w:pPr>
      <w:r>
        <w:rPr>
          <w:b/>
        </w:rPr>
        <w:t>Cohorte Validada:</w:t>
      </w:r>
      <w:r>
        <w:t xml:space="preserve"> Egresos Inpatient FONASA 2019–2024 ($N = 5.808.536$ registros brutos consolidados en Plata), Cohorte de Desarrollo 2020–2022 ($N = 1.453.141$; $N_{</w:t>
        <w:tab/>
        <w:t xml:space="preserve">ext{stay}} = 1.303.718$; año 2019 con $N = 1.151.475$ empleado exclusivamente como ventana retrospectiva de búsqueda de contactos hospitalarios previos para </w:t>
      </w:r>
      <w:r>
        <w:rPr>
          <w:rFonts w:ascii="Consolas" w:hAnsi="Consolas"/>
          <w:color w:val="A02828"/>
          <w:sz w:val="19"/>
        </w:rPr>
        <w:t>N_EGRESOS_12M</w:t>
      </w:r>
      <w:r>
        <w:t>), Cohorte Evaluable de Validación 2023 ($N = 557.318$, $O = 24.225$ defunciones intrahospitalarias, $K = 65$ hospitales de la red pública, $K = 62$ agudos generales).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00" w:type="dxa"/>
              <w:bottom w:w="100" w:type="dxa"/>
              <w:left w:w="180" w:type="dxa"/>
              <w:right w:w="140" w:type="dxa"/>
            </w:tcMar>
            <w:tcBorders>
              <w:top w:val="none" w:sz="4" w:space="0" w:color="auto"/>
              <w:left w:val="single" w:sz="24" w:space="0" w:color="0284C7"/>
              <w:bottom w:val="none" w:sz="4" w:space="0" w:color="auto"/>
              <w:right w:val="none" w:sz="4" w:space="0" w:color="auto"/>
            </w:tcBorders>
          </w:tcPr>
          <w:p>
            <w:pPr>
              <w:spacing w:after="40" w:line="276" w:lineRule="auto"/>
            </w:pPr>
            <w:r>
              <w:rPr>
                <w:b/>
              </w:rPr>
              <w:t>Conciliación de Denominadores y Muestra de Desarrollo:</w:t>
            </w:r>
          </w:p>
          <w:p>
            <w:pPr>
              <w:spacing w:after="40" w:line="276" w:lineRule="auto"/>
            </w:pPr>
            <w:r>
              <w:t xml:space="preserve">1. </w:t>
            </w:r>
            <w:r>
              <w:rPr>
                <w:b/>
              </w:rPr>
              <w:t>Total Bruto Silver ($N = 5.808.536$):</w:t>
            </w:r>
            <w:r>
              <w:t xml:space="preserve"> La cifra de $5.820.730$ de borradores preliminares correspondía a una extracción de staging previa a la desduplicación unificada. El universo formal de egresos cerrados 2019–2024 en Plata es de exactamente $5.808.536$ episodios (2019: 1.151.475; 2020: 781.912; 2021: 816.909; 2022: 932.840; 2023: 1.039.587; 2024: 1.085.813).</w:t>
            </w:r>
          </w:p>
          <w:p>
            <w:pPr>
              <w:spacing w:after="40" w:line="276" w:lineRule="auto"/>
            </w:pPr>
            <w:r>
              <w:t xml:space="preserve">2. </w:t>
            </w:r>
            <w:r>
              <w:rPr>
                <w:b/>
              </w:rPr>
              <w:t>Desarrollo 2020–2022 ($N = 1.453.141$):</w:t>
            </w:r>
            <w:r>
              <w:t xml:space="preserve"> El entrenamiento se realiza estrictamente en 2020–2022. La diferencia de 255 episodios respecto de los $1.453.396$ preliminares obedece a la exclusión de adultos ($\ge 18$ años) egresados de hospitales pediátricos monográficos (Calvo Mackenna </w:t>
            </w:r>
            <w:r>
              <w:rPr>
                <w:rFonts w:ascii="Consolas" w:hAnsi="Consolas"/>
                <w:color w:val="A02828"/>
                <w:sz w:val="19"/>
              </w:rPr>
              <w:t>112102</w:t>
            </w:r>
            <w:r>
              <w:t xml:space="preserve">, Roberto del Río </w:t>
            </w:r>
            <w:r>
              <w:rPr>
                <w:rFonts w:ascii="Consolas" w:hAnsi="Consolas"/>
                <w:color w:val="A02828"/>
                <w:sz w:val="19"/>
              </w:rPr>
              <w:t>109101</w:t>
            </w:r>
            <w:r>
              <w:t xml:space="preserve"> y Exequiel González Cortés </w:t>
            </w:r>
            <w:r>
              <w:rPr>
                <w:rFonts w:ascii="Consolas" w:hAnsi="Consolas"/>
                <w:color w:val="A02828"/>
                <w:sz w:val="19"/>
              </w:rPr>
              <w:t>113130</w:t>
            </w:r>
            <w:r>
              <w:t>), desglosados en:</w:t>
            </w:r>
          </w:p>
          <w:p>
            <w:pPr>
              <w:spacing w:after="40" w:line="276" w:lineRule="auto"/>
            </w:pPr>
            <w:r>
              <w:rPr>
                <w:i/>
              </w:rPr>
              <w:t xml:space="preserve"> </w:t>
            </w:r>
            <w:r>
              <w:rPr>
                <w:i/>
              </w:rPr>
              <w:t>Año 2020:</w:t>
            </w:r>
            <w:r>
              <w:t>* 85 episodios adultos.</w:t>
            </w:r>
          </w:p>
          <w:p>
            <w:pPr>
              <w:spacing w:after="40" w:line="276" w:lineRule="auto"/>
            </w:pPr>
            <w:r>
              <w:rPr>
                <w:i/>
              </w:rPr>
              <w:t xml:space="preserve"> </w:t>
            </w:r>
            <w:r>
              <w:rPr>
                <w:i/>
              </w:rPr>
              <w:t>Año 2021:</w:t>
            </w:r>
            <w:r>
              <w:t>* 86 episodios adultos.</w:t>
            </w:r>
          </w:p>
          <w:p>
            <w:pPr>
              <w:spacing w:after="40" w:line="276" w:lineRule="auto"/>
            </w:pPr>
            <w:r>
              <w:rPr>
                <w:i/>
              </w:rPr>
              <w:t xml:space="preserve"> </w:t>
            </w:r>
            <w:r>
              <w:rPr>
                <w:i/>
              </w:rPr>
              <w:t>Año 2022:</w:t>
            </w:r>
            <w:r>
              <w:t>* 96 episodios adultos.</w:t>
            </w:r>
          </w:p>
          <w:p>
            <w:pPr>
              <w:spacing w:after="40" w:line="276" w:lineRule="auto"/>
            </w:pPr>
            <w:r>
              <w:rPr>
                <w:i/>
              </w:rPr>
              <w:t>(Total = 267 episodios brutos; 255 tras descartar censuras de traslados inter-hospitalarios).</w:t>
            </w:r>
            <w:r>
              <w:t xml:space="preserve"> En 2023 se excluyen de forma idéntica exactamente </w:t>
            </w:r>
            <w:r>
              <w:rPr>
                <w:b/>
              </w:rPr>
              <w:t>84 episodios adultos</w:t>
            </w:r>
            <w:r>
              <w:t xml:space="preserve"> ($557.402 </w:t>
              <w:tab/>
              <w:t>o 557.318$).</w:t>
            </w:r>
          </w:p>
          <w:p>
            <w:pPr>
              <w:spacing w:after="40" w:line="276" w:lineRule="auto"/>
            </w:pPr>
            <w:r>
              <w:t xml:space="preserve">3. </w:t>
            </w:r>
            <w:r>
              <w:rPr>
                <w:b/>
              </w:rPr>
              <w:t>Origen de las Comorbilidades:</w:t>
            </w:r>
            <w:r>
              <w:t xml:space="preserve"> Las 28 comorbilidades crónicas Elixhauser de la especificación primaria provienen </w:t>
            </w:r>
            <w:r>
              <w:rPr>
                <w:b/>
              </w:rPr>
              <w:t>exclusivamente de los diagnósticos secundarios del episodio actual</w:t>
            </w:r>
            <w:r>
              <w:t xml:space="preserve"> (</w:t>
            </w:r>
            <w:r>
              <w:rPr>
                <w:rFonts w:ascii="Consolas" w:hAnsi="Consolas"/>
                <w:color w:val="A02828"/>
                <w:sz w:val="19"/>
              </w:rPr>
              <w:t>DIAGNOSTICO2</w:t>
            </w:r>
            <w:r>
              <w:t xml:space="preserve"> a </w:t>
            </w:r>
            <w:r>
              <w:rPr>
                <w:rFonts w:ascii="Consolas" w:hAnsi="Consolas"/>
                <w:color w:val="A02828"/>
                <w:sz w:val="19"/>
              </w:rPr>
              <w:t>DIAGNOSTICO35</w:t>
            </w:r>
            <w:r>
              <w:t>). El año 2019 se utiliza exclusivamente como ventana causal para computar el historial de contactos previos (</w:t>
            </w:r>
            <w:r>
              <w:rPr>
                <w:rFonts w:ascii="Consolas" w:hAnsi="Consolas"/>
                <w:color w:val="A02828"/>
                <w:sz w:val="19"/>
              </w:rPr>
              <w:t>N_EGRESOS_12M</w:t>
            </w:r>
            <w:r>
              <w:t xml:space="preserve"> y </w:t>
            </w:r>
            <w:r>
              <w:rPr>
                <w:rFonts w:ascii="Consolas" w:hAnsi="Consolas"/>
                <w:color w:val="A02828"/>
                <w:sz w:val="19"/>
              </w:rPr>
              <w:t>DIAS_DESDE_EGRESO_PREVIO</w:t>
            </w:r>
            <w:r>
              <w:t>).</w:t>
            </w:r>
          </w:p>
        </w:tc>
      </w:tr>
    </w:tbl>
    <w:p>
      <w:pPr>
        <w:spacing w:before="0" w:after="80"/>
      </w:pPr>
    </w:p>
    <w:p>
      <w:pPr>
        <w:spacing w:before="160" w:after="160"/>
      </w:pPr>
      <w:r>
        <w:rPr>
          <w:b/>
          <w:color w:val="CBD5E1"/>
        </w:rPr>
        <w:t>———————————————————————————————————————————————————————</w:t>
      </w:r>
    </w:p>
    <w:p>
      <w:pPr>
        <w:keepNext/>
        <w:spacing w:before="280" w:after="120"/>
      </w:pPr>
      <w:r>
        <w:rPr>
          <w:rFonts w:ascii="Calibri" w:hAnsi="Calibri"/>
          <w:b/>
          <w:color w:val="1E3A8A"/>
          <w:sz w:val="28"/>
        </w:rPr>
        <w:t>1. La Especificación Primaria Oficial: M2 + Diagnóstico Principal (M2+CAP)</w:t>
      </w:r>
    </w:p>
    <w:p>
      <w:pPr>
        <w:keepNext/>
        <w:spacing w:before="200" w:after="80"/>
      </w:pPr>
      <w:r>
        <w:rPr>
          <w:rFonts w:ascii="Calibri" w:hAnsi="Calibri"/>
          <w:b/>
          <w:color w:val="0369A1"/>
          <w:sz w:val="24"/>
        </w:rPr>
        <w:t>1.1 Justificación Teórica y Calibración Preingreso Multidimensional</w:t>
      </w:r>
    </w:p>
    <w:p>
      <w:pPr>
        <w:spacing w:after="100" w:line="276" w:lineRule="auto"/>
      </w:pPr>
      <w:r>
        <w:t xml:space="preserve">En estricta coherencia con el criterio de calibración por estratos previos al ingreso, el modelo clínico base sin diagnóstico principal (M2 Base) presentaba una falla estructural en la dimensión diagnóstica: un $O/E$ de </w:t>
      </w:r>
      <w:r>
        <w:rPr>
          <w:b/>
        </w:rPr>
        <w:t>2,28</w:t>
      </w:r>
      <w:r>
        <w:t xml:space="preserve"> en patología respiratoria y de </w:t>
      </w:r>
      <w:r>
        <w:rPr>
          <w:b/>
        </w:rPr>
        <w:t>0,35</w:t>
      </w:r>
      <w:r>
        <w:t xml:space="preserve"> en patología musculoesquelética. Esta descalibración penalizaba espuriamente a cualquier centro con alta concentración de patología médica respiratoria.</w:t>
      </w:r>
    </w:p>
    <w:p>
      <w:pPr>
        <w:spacing w:after="100" w:line="276" w:lineRule="auto"/>
      </w:pPr>
      <w:r>
        <w:t>Al incorporar el diagnóstico principal agrupado (</w:t>
      </w:r>
      <w:r>
        <w:rPr>
          <w:b/>
        </w:rPr>
        <w:t>Modelo M2+CAP</w:t>
      </w:r>
      <w:r>
        <w:t>), los principales grupos diagnósticos se calibran dentro del margen $[0,93; 1,05]$, satisfaciendo plenamente el estándar de equidad asistencial.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00" w:type="dxa"/>
              <w:bottom w:w="100" w:type="dxa"/>
              <w:left w:w="180" w:type="dxa"/>
              <w:right w:w="140" w:type="dxa"/>
            </w:tcMar>
            <w:tcBorders>
              <w:top w:val="none" w:sz="4" w:space="0" w:color="auto"/>
              <w:left w:val="single" w:sz="24" w:space="0" w:color="0284C7"/>
              <w:bottom w:val="none" w:sz="4" w:space="0" w:color="auto"/>
              <w:right w:val="none" w:sz="4" w:space="0" w:color="auto"/>
            </w:tcBorders>
          </w:tcPr>
          <w:p>
            <w:pPr>
              <w:spacing w:after="40" w:line="276" w:lineRule="auto"/>
            </w:pPr>
            <w:r>
              <w:rPr>
                <w:b/>
              </w:rPr>
              <w:t>Nomenclatura Técnica y Correspondencia con Capítulos CIE-10 (M2+CAP):</w:t>
            </w:r>
          </w:p>
          <w:p>
            <w:pPr>
              <w:spacing w:after="40" w:line="276" w:lineRule="auto"/>
            </w:pPr>
            <w:r>
              <w:t xml:space="preserve">El modelo se denomina formalmente </w:t>
            </w:r>
            <w:r>
              <w:rPr>
                <w:b/>
              </w:rPr>
              <w:t>`M2+CAP`</w:t>
            </w:r>
            <w:r>
              <w:t xml:space="preserve"> para transparentar que la estratificación del diagnóstico principal se realiza por los 20 </w:t>
            </w:r>
            <w:r>
              <w:rPr>
                <w:b/>
              </w:rPr>
              <w:t>capítulos de la CIE-10</w:t>
            </w:r>
            <w:r>
              <w:t xml:space="preserve"> consignados en </w:t>
            </w:r>
            <w:r>
              <w:rPr>
                <w:rFonts w:ascii="Consolas" w:hAnsi="Consolas"/>
                <w:color w:val="A02828"/>
                <w:sz w:val="19"/>
              </w:rPr>
              <w:t>DIAG1</w:t>
            </w:r>
            <w:r>
              <w:t xml:space="preserve"> y no por la Categoría Diagnóstica Mayor (MDC) producida algorítmicamente por el agrupador IR-GRD.</w:t>
            </w:r>
          </w:p>
          <w:p>
            <w:pPr>
              <w:spacing w:after="40" w:line="276" w:lineRule="auto"/>
            </w:pPr>
            <w:r>
              <w:rPr>
                <w:i/>
              </w:rPr>
              <w:t>Ejemplo Crítico:</w:t>
            </w:r>
            <w:r>
              <w:t xml:space="preserve"> Los accidentes cerebrovasculares (ACV, códigos $I60-I69$) pertenecen al </w:t>
            </w:r>
            <w:r>
              <w:rPr>
                <w:b/>
              </w:rPr>
              <w:t>Capítulo IX de la CIE-10</w:t>
            </w:r>
            <w:r>
              <w:t xml:space="preserve"> (Enfermedades del sistema circulatorio), mientras que el agrupador IR-GRD los asigna clínicamente al MDC 01 (Enfermedades del sistema nervioso). La clasificación se realiza sin fuga de información (</w:t>
            </w:r>
            <w:r>
              <w:rPr>
                <w:i/>
              </w:rPr>
              <w:t>leakage</w:t>
            </w:r>
            <w:r>
              <w:t>) del agrupador comercial:</w:t>
            </w:r>
          </w:p>
        </w:tc>
      </w:tr>
    </w:tbl>
    <w:p>
      <w:pPr>
        <w:spacing w:before="0" w:after="8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/>
          <w:tblHeader/>
        </w:trPr>
        <w:tc>
          <w:tcPr>
            <w:tcW w:type="dxa" w:w="23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1E3A8A"/>
            <w:tcBorders>
              <w:top w:val="single" w:sz="6" w:space="0" w:color="1E3A8A"/>
              <w:left w:val="single" w:sz="4" w:space="0" w:color="CBD5E1"/>
              <w:bottom w:val="single" w:sz="12" w:space="0" w:color="1E3A8A"/>
              <w:right w:val="single" w:sz="4" w:space="0" w:color="CBD5E1"/>
            </w:tcBorders>
          </w:tcPr>
          <w:p>
            <w:pPr>
              <w:spacing w:before="20" w:after="20" w:line="252" w:lineRule="auto"/>
            </w:pPr>
            <w:r>
              <w:rPr>
                <w:b/>
                <w:color w:val="FFFFFF"/>
                <w:sz w:val="18"/>
              </w:rPr>
              <w:t>Capítulo CIE-10</w:t>
            </w:r>
          </w:p>
        </w:tc>
        <w:tc>
          <w:tcPr>
            <w:tcW w:type="dxa" w:w="23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1E3A8A"/>
            <w:tcBorders>
              <w:top w:val="single" w:sz="6" w:space="0" w:color="1E3A8A"/>
              <w:left w:val="single" w:sz="4" w:space="0" w:color="CBD5E1"/>
              <w:bottom w:val="single" w:sz="12" w:space="0" w:color="1E3A8A"/>
              <w:right w:val="single" w:sz="4" w:space="0" w:color="CBD5E1"/>
            </w:tcBorders>
          </w:tcPr>
          <w:p>
            <w:pPr>
              <w:spacing w:before="20" w:after="20" w:line="252" w:lineRule="auto"/>
            </w:pPr>
            <w:r>
              <w:rPr>
                <w:b/>
                <w:color w:val="FFFFFF"/>
                <w:sz w:val="18"/>
              </w:rPr>
              <w:t>Rango Códigos</w:t>
            </w:r>
          </w:p>
        </w:tc>
        <w:tc>
          <w:tcPr>
            <w:tcW w:type="dxa" w:w="23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1E3A8A"/>
            <w:tcBorders>
              <w:top w:val="single" w:sz="6" w:space="0" w:color="1E3A8A"/>
              <w:left w:val="single" w:sz="4" w:space="0" w:color="CBD5E1"/>
              <w:bottom w:val="single" w:sz="12" w:space="0" w:color="1E3A8A"/>
              <w:right w:val="single" w:sz="4" w:space="0" w:color="CBD5E1"/>
            </w:tcBorders>
          </w:tcPr>
          <w:p>
            <w:pPr>
              <w:spacing w:before="20" w:after="20" w:line="252" w:lineRule="auto"/>
            </w:pPr>
            <w:r>
              <w:rPr>
                <w:b/>
                <w:color w:val="FFFFFF"/>
                <w:sz w:val="18"/>
              </w:rPr>
              <w:t>Descripción Clínica del Capítulo</w:t>
            </w:r>
          </w:p>
        </w:tc>
        <w:tc>
          <w:tcPr>
            <w:tcW w:type="dxa" w:w="23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1E3A8A"/>
            <w:tcBorders>
              <w:top w:val="single" w:sz="6" w:space="0" w:color="1E3A8A"/>
              <w:left w:val="single" w:sz="4" w:space="0" w:color="CBD5E1"/>
              <w:bottom w:val="single" w:sz="12" w:space="0" w:color="1E3A8A"/>
              <w:right w:val="single" w:sz="4" w:space="0" w:color="CBD5E1"/>
            </w:tcBorders>
          </w:tcPr>
          <w:p>
            <w:pPr>
              <w:spacing w:before="20" w:after="20" w:line="252" w:lineRule="auto"/>
            </w:pPr>
            <w:r>
              <w:rPr>
                <w:b/>
                <w:color w:val="FFFFFF"/>
                <w:sz w:val="18"/>
              </w:rPr>
              <w:t>Grupo Asignado en Modelo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b/>
                <w:sz w:val="17"/>
              </w:rPr>
              <w:t>I</w:t>
            </w:r>
          </w:p>
        </w:tc>
        <w:tc>
          <w:tcPr>
            <w:tcW w:type="dxa" w:w="23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A00 – B99</w:t>
            </w:r>
          </w:p>
        </w:tc>
        <w:tc>
          <w:tcPr>
            <w:tcW w:type="dxa" w:w="23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Ciertas enfermedades infecciosas y parasitarias</w:t>
            </w:r>
          </w:p>
        </w:tc>
        <w:tc>
          <w:tcPr>
            <w:tcW w:type="dxa" w:w="23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b/>
                <w:sz w:val="17"/>
              </w:rPr>
              <w:t>Capítulo 18</w:t>
            </w:r>
            <w:r>
              <w:rPr>
                <w:rFonts w:ascii="Calibri" w:hAnsi="Calibri"/>
                <w:sz w:val="17"/>
              </w:rPr>
              <w:t xml:space="preserve"> (Infecciosas y Parasitarias)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b/>
                <w:sz w:val="17"/>
              </w:rPr>
              <w:t>II</w:t>
            </w:r>
          </w:p>
        </w:tc>
        <w:tc>
          <w:tcPr>
            <w:tcW w:type="dxa" w:w="23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C00 – D48</w:t>
            </w:r>
          </w:p>
        </w:tc>
        <w:tc>
          <w:tcPr>
            <w:tcW w:type="dxa" w:w="23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Neoplasias (tumores malignos e in situ)</w:t>
            </w:r>
          </w:p>
        </w:tc>
        <w:tc>
          <w:tcPr>
            <w:tcW w:type="dxa" w:w="23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b/>
                <w:sz w:val="17"/>
              </w:rPr>
              <w:t>Capítulo 17</w:t>
            </w:r>
            <w:r>
              <w:rPr>
                <w:rFonts w:ascii="Calibri" w:hAnsi="Calibri"/>
                <w:sz w:val="17"/>
              </w:rPr>
              <w:t xml:space="preserve"> (Neoplasias)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b/>
                <w:sz w:val="17"/>
              </w:rPr>
              <w:t>III</w:t>
            </w:r>
          </w:p>
        </w:tc>
        <w:tc>
          <w:tcPr>
            <w:tcW w:type="dxa" w:w="23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D50 – D89</w:t>
            </w:r>
          </w:p>
        </w:tc>
        <w:tc>
          <w:tcPr>
            <w:tcW w:type="dxa" w:w="23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Enfermedades de la sangre y hematopoyéticos</w:t>
            </w:r>
          </w:p>
        </w:tc>
        <w:tc>
          <w:tcPr>
            <w:tcW w:type="dxa" w:w="23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b/>
                <w:sz w:val="17"/>
              </w:rPr>
              <w:t>Capítulo 16</w:t>
            </w:r>
            <w:r>
              <w:rPr>
                <w:rFonts w:ascii="Calibri" w:hAnsi="Calibri"/>
                <w:sz w:val="17"/>
              </w:rPr>
              <w:t xml:space="preserve"> (Sangre e Inmunidad)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b/>
                <w:sz w:val="17"/>
              </w:rPr>
              <w:t>IV</w:t>
            </w:r>
          </w:p>
        </w:tc>
        <w:tc>
          <w:tcPr>
            <w:tcW w:type="dxa" w:w="23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E00 – E90</w:t>
            </w:r>
          </w:p>
        </w:tc>
        <w:tc>
          <w:tcPr>
            <w:tcW w:type="dxa" w:w="23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Endocrinas, nutricionales y metabólicas</w:t>
            </w:r>
          </w:p>
        </w:tc>
        <w:tc>
          <w:tcPr>
            <w:tcW w:type="dxa" w:w="23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b/>
                <w:sz w:val="17"/>
              </w:rPr>
              <w:t>Capítulo 10</w:t>
            </w:r>
            <w:r>
              <w:rPr>
                <w:rFonts w:ascii="Calibri" w:hAnsi="Calibri"/>
                <w:sz w:val="17"/>
              </w:rPr>
              <w:t xml:space="preserve"> (Endocrinas y Nutrición)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b/>
                <w:sz w:val="17"/>
              </w:rPr>
              <w:t>V</w:t>
            </w:r>
          </w:p>
        </w:tc>
        <w:tc>
          <w:tcPr>
            <w:tcW w:type="dxa" w:w="23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F00 – F99</w:t>
            </w:r>
          </w:p>
        </w:tc>
        <w:tc>
          <w:tcPr>
            <w:tcW w:type="dxa" w:w="23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Trastornos mentales y del comportamiento</w:t>
            </w:r>
          </w:p>
        </w:tc>
        <w:tc>
          <w:tcPr>
            <w:tcW w:type="dxa" w:w="23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b/>
                <w:sz w:val="17"/>
              </w:rPr>
              <w:t>Capítulo 19</w:t>
            </w:r>
            <w:r>
              <w:rPr>
                <w:rFonts w:ascii="Calibri" w:hAnsi="Calibri"/>
                <w:sz w:val="17"/>
              </w:rPr>
              <w:t xml:space="preserve"> (Salud Mental)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b/>
                <w:sz w:val="17"/>
              </w:rPr>
              <w:t>VI</w:t>
            </w:r>
          </w:p>
        </w:tc>
        <w:tc>
          <w:tcPr>
            <w:tcW w:type="dxa" w:w="23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G00 – G99</w:t>
            </w:r>
          </w:p>
        </w:tc>
        <w:tc>
          <w:tcPr>
            <w:tcW w:type="dxa" w:w="23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Enfermedades del sistema nervioso</w:t>
            </w:r>
          </w:p>
        </w:tc>
        <w:tc>
          <w:tcPr>
            <w:tcW w:type="dxa" w:w="23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b/>
                <w:sz w:val="17"/>
              </w:rPr>
              <w:t>Capítulo 01</w:t>
            </w:r>
            <w:r>
              <w:rPr>
                <w:rFonts w:ascii="Calibri" w:hAnsi="Calibri"/>
                <w:sz w:val="17"/>
              </w:rPr>
              <w:t xml:space="preserve"> (Sistema Nervioso)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b/>
                <w:sz w:val="17"/>
              </w:rPr>
              <w:t>VII – VIII</w:t>
            </w:r>
          </w:p>
        </w:tc>
        <w:tc>
          <w:tcPr>
            <w:tcW w:type="dxa" w:w="23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H00 – H95</w:t>
            </w:r>
          </w:p>
        </w:tc>
        <w:tc>
          <w:tcPr>
            <w:tcW w:type="dxa" w:w="23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Enfermedades de ojo, oído y anexos</w:t>
            </w:r>
          </w:p>
        </w:tc>
        <w:tc>
          <w:tcPr>
            <w:tcW w:type="dxa" w:w="23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b/>
                <w:sz w:val="17"/>
              </w:rPr>
              <w:t>Capítulo 02 / 03</w:t>
            </w:r>
            <w:r>
              <w:rPr>
                <w:rFonts w:ascii="Calibri" w:hAnsi="Calibri"/>
                <w:sz w:val="17"/>
              </w:rPr>
              <w:t xml:space="preserve"> (Sensoriales)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b/>
                <w:sz w:val="17"/>
              </w:rPr>
              <w:t>IX</w:t>
            </w:r>
          </w:p>
        </w:tc>
        <w:tc>
          <w:tcPr>
            <w:tcW w:type="dxa" w:w="23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I00 – I99</w:t>
            </w:r>
          </w:p>
        </w:tc>
        <w:tc>
          <w:tcPr>
            <w:tcW w:type="dxa" w:w="23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Enfermedades del sistema circulatorio (incluye ACV)</w:t>
            </w:r>
          </w:p>
        </w:tc>
        <w:tc>
          <w:tcPr>
            <w:tcW w:type="dxa" w:w="23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b/>
                <w:sz w:val="17"/>
              </w:rPr>
              <w:t>Capítulo 05</w:t>
            </w:r>
            <w:r>
              <w:rPr>
                <w:rFonts w:ascii="Calibri" w:hAnsi="Calibri"/>
                <w:sz w:val="17"/>
              </w:rPr>
              <w:t xml:space="preserve"> (Sistema Circulatorio)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b/>
                <w:sz w:val="17"/>
              </w:rPr>
              <w:t>X</w:t>
            </w:r>
          </w:p>
        </w:tc>
        <w:tc>
          <w:tcPr>
            <w:tcW w:type="dxa" w:w="23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J00 – J99</w:t>
            </w:r>
          </w:p>
        </w:tc>
        <w:tc>
          <w:tcPr>
            <w:tcW w:type="dxa" w:w="23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Enfermedades del sistema respiratorio</w:t>
            </w:r>
          </w:p>
        </w:tc>
        <w:tc>
          <w:tcPr>
            <w:tcW w:type="dxa" w:w="23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b/>
                <w:sz w:val="17"/>
              </w:rPr>
              <w:t>Capítulo 04</w:t>
            </w:r>
            <w:r>
              <w:rPr>
                <w:rFonts w:ascii="Calibri" w:hAnsi="Calibri"/>
                <w:sz w:val="17"/>
              </w:rPr>
              <w:t xml:space="preserve"> (Sistema Respiratorio)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b/>
                <w:sz w:val="17"/>
              </w:rPr>
              <w:t>XI</w:t>
            </w:r>
          </w:p>
        </w:tc>
        <w:tc>
          <w:tcPr>
            <w:tcW w:type="dxa" w:w="23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K00 – K93</w:t>
            </w:r>
          </w:p>
        </w:tc>
        <w:tc>
          <w:tcPr>
            <w:tcW w:type="dxa" w:w="23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Enfermedades del sistema digestivo</w:t>
            </w:r>
          </w:p>
        </w:tc>
        <w:tc>
          <w:tcPr>
            <w:tcW w:type="dxa" w:w="23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b/>
                <w:sz w:val="17"/>
              </w:rPr>
              <w:t>Capítulo 06</w:t>
            </w:r>
            <w:r>
              <w:rPr>
                <w:rFonts w:ascii="Calibri" w:hAnsi="Calibri"/>
                <w:sz w:val="17"/>
              </w:rPr>
              <w:t xml:space="preserve"> (Sistema Digestivo)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b/>
                <w:sz w:val="17"/>
              </w:rPr>
              <w:t>XII</w:t>
            </w:r>
          </w:p>
        </w:tc>
        <w:tc>
          <w:tcPr>
            <w:tcW w:type="dxa" w:w="23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L00 – L99</w:t>
            </w:r>
          </w:p>
        </w:tc>
        <w:tc>
          <w:tcPr>
            <w:tcW w:type="dxa" w:w="23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Enfermedades de la piel y tejido subcutáneo</w:t>
            </w:r>
          </w:p>
        </w:tc>
        <w:tc>
          <w:tcPr>
            <w:tcW w:type="dxa" w:w="23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b/>
                <w:sz w:val="17"/>
              </w:rPr>
              <w:t>Capítulo 09</w:t>
            </w:r>
            <w:r>
              <w:rPr>
                <w:rFonts w:ascii="Calibri" w:hAnsi="Calibri"/>
                <w:sz w:val="17"/>
              </w:rPr>
              <w:t xml:space="preserve"> (Piel y Subcutáneo)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b/>
                <w:sz w:val="17"/>
              </w:rPr>
              <w:t>XIII</w:t>
            </w:r>
          </w:p>
        </w:tc>
        <w:tc>
          <w:tcPr>
            <w:tcW w:type="dxa" w:w="23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M00 – M99</w:t>
            </w:r>
          </w:p>
        </w:tc>
        <w:tc>
          <w:tcPr>
            <w:tcW w:type="dxa" w:w="23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Sistema osteomuscular y tejido conjuntivo</w:t>
            </w:r>
          </w:p>
        </w:tc>
        <w:tc>
          <w:tcPr>
            <w:tcW w:type="dxa" w:w="23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b/>
                <w:sz w:val="17"/>
              </w:rPr>
              <w:t>Capítulo 08</w:t>
            </w:r>
            <w:r>
              <w:rPr>
                <w:rFonts w:ascii="Calibri" w:hAnsi="Calibri"/>
                <w:sz w:val="17"/>
              </w:rPr>
              <w:t xml:space="preserve"> (Musculoesquelético)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b/>
                <w:sz w:val="17"/>
              </w:rPr>
              <w:t>XIV</w:t>
            </w:r>
          </w:p>
        </w:tc>
        <w:tc>
          <w:tcPr>
            <w:tcW w:type="dxa" w:w="23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N00 – N99</w:t>
            </w:r>
          </w:p>
        </w:tc>
        <w:tc>
          <w:tcPr>
            <w:tcW w:type="dxa" w:w="23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Enfermedades del sistema genitourinario</w:t>
            </w:r>
          </w:p>
        </w:tc>
        <w:tc>
          <w:tcPr>
            <w:tcW w:type="dxa" w:w="23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b/>
                <w:sz w:val="17"/>
              </w:rPr>
              <w:t>Capítulo 11</w:t>
            </w:r>
            <w:r>
              <w:rPr>
                <w:rFonts w:ascii="Calibri" w:hAnsi="Calibri"/>
                <w:sz w:val="17"/>
              </w:rPr>
              <w:t xml:space="preserve"> (Nefrourológico)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b/>
                <w:sz w:val="17"/>
              </w:rPr>
              <w:t>XVIII</w:t>
            </w:r>
          </w:p>
        </w:tc>
        <w:tc>
          <w:tcPr>
            <w:tcW w:type="dxa" w:w="23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R00 – R99</w:t>
            </w:r>
          </w:p>
        </w:tc>
        <w:tc>
          <w:tcPr>
            <w:tcW w:type="dxa" w:w="23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Síntomas, signos y hallazgos anormales</w:t>
            </w:r>
          </w:p>
        </w:tc>
        <w:tc>
          <w:tcPr>
            <w:tcW w:type="dxa" w:w="23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b/>
                <w:sz w:val="17"/>
              </w:rPr>
              <w:t>Capítulo 23</w:t>
            </w:r>
            <w:r>
              <w:rPr>
                <w:rFonts w:ascii="Calibri" w:hAnsi="Calibri"/>
                <w:sz w:val="17"/>
              </w:rPr>
              <w:t xml:space="preserve"> (Signos y Síntomas)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b/>
                <w:sz w:val="17"/>
              </w:rPr>
              <w:t>XIX</w:t>
            </w:r>
          </w:p>
        </w:tc>
        <w:tc>
          <w:tcPr>
            <w:tcW w:type="dxa" w:w="23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S00 – T98</w:t>
            </w:r>
          </w:p>
        </w:tc>
        <w:tc>
          <w:tcPr>
            <w:tcW w:type="dxa" w:w="23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Traumatismos, envenenamientos y causas externas</w:t>
            </w:r>
          </w:p>
        </w:tc>
        <w:tc>
          <w:tcPr>
            <w:tcW w:type="dxa" w:w="23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b/>
                <w:sz w:val="17"/>
              </w:rPr>
              <w:t>Capítulo 21 / 22</w:t>
            </w:r>
            <w:r>
              <w:rPr>
                <w:rFonts w:ascii="Calibri" w:hAnsi="Calibri"/>
                <w:sz w:val="17"/>
              </w:rPr>
              <w:t xml:space="preserve"> (Traumatismos)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b/>
                <w:sz w:val="17"/>
              </w:rPr>
              <w:t>XXI – XXII</w:t>
            </w:r>
          </w:p>
        </w:tc>
        <w:tc>
          <w:tcPr>
            <w:tcW w:type="dxa" w:w="23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U00 – Z99</w:t>
            </w:r>
          </w:p>
        </w:tc>
        <w:tc>
          <w:tcPr>
            <w:tcW w:type="dxa" w:w="23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Códigos de emergencia (U07 COVID) y contacto</w:t>
            </w:r>
          </w:p>
        </w:tc>
        <w:tc>
          <w:tcPr>
            <w:tcW w:type="dxa" w:w="23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b/>
                <w:sz w:val="17"/>
              </w:rPr>
              <w:t>Capítulo 04 / 23</w:t>
            </w:r>
            <w:r>
              <w:rPr>
                <w:rFonts w:ascii="Calibri" w:hAnsi="Calibri"/>
                <w:sz w:val="17"/>
              </w:rPr>
              <w:t xml:space="preserve"> (Emergencias y Otros)</w:t>
            </w:r>
          </w:p>
        </w:tc>
      </w:tr>
    </w:tbl>
    <w:p>
      <w:pPr>
        <w:spacing w:before="40" w:after="1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cantSplit/>
          <w:tblHeader/>
        </w:trPr>
        <w:tc>
          <w:tcPr>
            <w:tcW w:type="dxa" w:w="156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1E3A8A"/>
            <w:tcBorders>
              <w:top w:val="single" w:sz="6" w:space="0" w:color="1E3A8A"/>
              <w:left w:val="single" w:sz="4" w:space="0" w:color="CBD5E1"/>
              <w:bottom w:val="single" w:sz="12" w:space="0" w:color="1E3A8A"/>
              <w:right w:val="single" w:sz="4" w:space="0" w:color="CBD5E1"/>
            </w:tcBorders>
          </w:tcPr>
          <w:p>
            <w:pPr>
              <w:spacing w:before="20" w:after="20" w:line="252" w:lineRule="auto"/>
            </w:pPr>
            <w:r>
              <w:rPr>
                <w:b/>
                <w:color w:val="FFFFFF"/>
                <w:sz w:val="18"/>
              </w:rPr>
              <w:t>Modelo</w:t>
            </w:r>
          </w:p>
        </w:tc>
        <w:tc>
          <w:tcPr>
            <w:tcW w:type="dxa" w:w="156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1E3A8A"/>
            <w:tcBorders>
              <w:top w:val="single" w:sz="6" w:space="0" w:color="1E3A8A"/>
              <w:left w:val="single" w:sz="4" w:space="0" w:color="CBD5E1"/>
              <w:bottom w:val="single" w:sz="12" w:space="0" w:color="1E3A8A"/>
              <w:right w:val="single" w:sz="4" w:space="0" w:color="CBD5E1"/>
            </w:tcBorders>
          </w:tcPr>
          <w:p>
            <w:pPr>
              <w:spacing w:before="20" w:after="20" w:line="252" w:lineRule="auto"/>
            </w:pPr>
            <w:r>
              <w:rPr>
                <w:b/>
                <w:color w:val="FFFFFF"/>
                <w:sz w:val="18"/>
              </w:rPr>
              <w:t>Definición de Covariables</w:t>
            </w:r>
          </w:p>
        </w:tc>
        <w:tc>
          <w:tcPr>
            <w:tcW w:type="dxa" w:w="156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1E3A8A"/>
            <w:tcBorders>
              <w:top w:val="single" w:sz="6" w:space="0" w:color="1E3A8A"/>
              <w:left w:val="single" w:sz="4" w:space="0" w:color="CBD5E1"/>
              <w:bottom w:val="single" w:sz="12" w:space="0" w:color="1E3A8A"/>
              <w:right w:val="single" w:sz="4" w:space="0" w:color="CBD5E1"/>
            </w:tcBorders>
          </w:tcPr>
          <w:p>
            <w:pPr>
              <w:spacing w:before="20" w:after="20" w:line="252" w:lineRule="auto"/>
            </w:pPr>
            <w:r>
              <w:rPr>
                <w:b/>
                <w:color w:val="FFFFFF"/>
                <w:sz w:val="18"/>
              </w:rPr>
              <w:t>$</w:t>
              <w:tab/>
              <w:t>au$ Agudos ($K=62$)</w:t>
            </w:r>
          </w:p>
        </w:tc>
        <w:tc>
          <w:tcPr>
            <w:tcW w:type="dxa" w:w="156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1E3A8A"/>
            <w:tcBorders>
              <w:top w:val="single" w:sz="6" w:space="0" w:color="1E3A8A"/>
              <w:left w:val="single" w:sz="4" w:space="0" w:color="CBD5E1"/>
              <w:bottom w:val="single" w:sz="12" w:space="0" w:color="1E3A8A"/>
              <w:right w:val="single" w:sz="4" w:space="0" w:color="CBD5E1"/>
            </w:tcBorders>
          </w:tcPr>
          <w:p>
            <w:pPr>
              <w:spacing w:before="20" w:after="20" w:line="252" w:lineRule="auto"/>
            </w:pPr>
            <w:r>
              <w:rPr>
                <w:b/>
                <w:color w:val="FFFFFF"/>
                <w:sz w:val="18"/>
              </w:rPr>
              <w:t>$\mu$ Meta</w:t>
            </w:r>
          </w:p>
        </w:tc>
        <w:tc>
          <w:tcPr>
            <w:tcW w:type="dxa" w:w="156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1E3A8A"/>
            <w:tcBorders>
              <w:top w:val="single" w:sz="6" w:space="0" w:color="1E3A8A"/>
              <w:left w:val="single" w:sz="4" w:space="0" w:color="CBD5E1"/>
              <w:bottom w:val="single" w:sz="12" w:space="0" w:color="1E3A8A"/>
              <w:right w:val="single" w:sz="4" w:space="0" w:color="CBD5E1"/>
            </w:tcBorders>
          </w:tcPr>
          <w:p>
            <w:pPr>
              <w:spacing w:before="20" w:after="20" w:line="252" w:lineRule="auto"/>
            </w:pPr>
            <w:r>
              <w:rPr>
                <w:b/>
                <w:color w:val="FFFFFF"/>
                <w:sz w:val="18"/>
              </w:rPr>
              <w:t>Calibración Dx $[0,80; 1,25]$</w:t>
            </w:r>
          </w:p>
        </w:tc>
        <w:tc>
          <w:tcPr>
            <w:tcW w:type="dxa" w:w="156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1E3A8A"/>
            <w:tcBorders>
              <w:top w:val="single" w:sz="6" w:space="0" w:color="1E3A8A"/>
              <w:left w:val="single" w:sz="4" w:space="0" w:color="CBD5E1"/>
              <w:bottom w:val="single" w:sz="12" w:space="0" w:color="1E3A8A"/>
              <w:right w:val="single" w:sz="4" w:space="0" w:color="CBD5E1"/>
            </w:tcBorders>
          </w:tcPr>
          <w:p>
            <w:pPr>
              <w:spacing w:before="20" w:after="20" w:line="252" w:lineRule="auto"/>
            </w:pPr>
            <w:r>
              <w:rPr>
                <w:b/>
                <w:color w:val="FFFFFF"/>
                <w:sz w:val="18"/>
              </w:rPr>
              <w:t>Rol Metodológico</w:t>
            </w:r>
          </w:p>
        </w:tc>
      </w:tr>
      <w:tr>
        <w:trPr>
          <w:cantSplit/>
        </w:trPr>
        <w:tc>
          <w:tcPr>
            <w:tcW w:type="dxa" w:w="156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b/>
                <w:sz w:val="17"/>
              </w:rPr>
              <w:t>M2+CAP</w:t>
            </w:r>
          </w:p>
        </w:tc>
        <w:tc>
          <w:tcPr>
            <w:tcW w:type="dxa" w:w="156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Demografía + Vía Ingreso + 28 Elixhauser Crónicos + Capítulos CIE-10</w:t>
            </w:r>
          </w:p>
        </w:tc>
        <w:tc>
          <w:tcPr>
            <w:tcW w:type="dxa" w:w="156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b/>
                <w:sz w:val="17"/>
              </w:rPr>
              <w:t>0,1948</w:t>
            </w:r>
          </w:p>
        </w:tc>
        <w:tc>
          <w:tcPr>
            <w:tcW w:type="dxa" w:w="156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b/>
                <w:sz w:val="17"/>
              </w:rPr>
              <w:t>-0,0359</w:t>
            </w:r>
          </w:p>
        </w:tc>
        <w:tc>
          <w:tcPr>
            <w:tcW w:type="dxa" w:w="156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b/>
                <w:sz w:val="17"/>
              </w:rPr>
              <w:t>CUMPLE</w:t>
            </w:r>
            <w:r>
              <w:rPr>
                <w:rFonts w:ascii="Calibri" w:hAnsi="Calibri"/>
                <w:sz w:val="17"/>
              </w:rPr>
              <w:t xml:space="preserve"> (Estratos en 0,93 a 1,05)</w:t>
            </w:r>
          </w:p>
        </w:tc>
        <w:tc>
          <w:tcPr>
            <w:tcW w:type="dxa" w:w="156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b/>
                <w:sz w:val="17"/>
              </w:rPr>
              <w:t>ESPECIFICACIÓN PRIMARIA</w:t>
            </w:r>
          </w:p>
        </w:tc>
      </w:tr>
      <w:tr>
        <w:trPr>
          <w:cantSplit/>
        </w:trPr>
        <w:tc>
          <w:tcPr>
            <w:tcW w:type="dxa" w:w="156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b/>
                <w:sz w:val="17"/>
              </w:rPr>
              <w:t>M2 Base</w:t>
            </w:r>
          </w:p>
        </w:tc>
        <w:tc>
          <w:tcPr>
            <w:tcW w:type="dxa" w:w="156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Demografía + Vía Ingreso + 28 Elixhauser Crónicos (sin Capítulos)</w:t>
            </w:r>
          </w:p>
        </w:tc>
        <w:tc>
          <w:tcPr>
            <w:tcW w:type="dxa" w:w="156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0,2077</w:t>
            </w:r>
          </w:p>
        </w:tc>
        <w:tc>
          <w:tcPr>
            <w:tcW w:type="dxa" w:w="156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-0,0267</w:t>
            </w:r>
          </w:p>
        </w:tc>
        <w:tc>
          <w:tcPr>
            <w:tcW w:type="dxa" w:w="156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Falla (Resp: 2,28; Musc: 0,35)</w:t>
            </w:r>
          </w:p>
        </w:tc>
        <w:tc>
          <w:tcPr>
            <w:tcW w:type="dxa" w:w="156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b/>
                <w:sz w:val="17"/>
              </w:rPr>
              <w:t>SENSIBILIDAD 1</w:t>
            </w:r>
            <w:r>
              <w:rPr>
                <w:rFonts w:ascii="Calibri" w:hAnsi="Calibri"/>
                <w:sz w:val="17"/>
              </w:rPr>
              <w:t xml:space="preserve"> (Sin Dx Principal)</w:t>
            </w:r>
          </w:p>
        </w:tc>
      </w:tr>
      <w:tr>
        <w:trPr>
          <w:cantSplit/>
        </w:trPr>
        <w:tc>
          <w:tcPr>
            <w:tcW w:type="dxa" w:w="156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b/>
                <w:sz w:val="17"/>
              </w:rPr>
              <w:t>M3-Total</w:t>
            </w:r>
          </w:p>
        </w:tc>
        <w:tc>
          <w:tcPr>
            <w:tcW w:type="dxa" w:w="156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M2 Base + Splines cúbicos de $R_{</w:t>
              <w:tab/>
              <w:t>ext{dx}}$ Total al Alta</w:t>
            </w:r>
          </w:p>
        </w:tc>
        <w:tc>
          <w:tcPr>
            <w:tcW w:type="dxa" w:w="156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0,2041</w:t>
            </w:r>
          </w:p>
        </w:tc>
        <w:tc>
          <w:tcPr>
            <w:tcW w:type="dxa" w:w="156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-0,0347</w:t>
            </w:r>
          </w:p>
        </w:tc>
        <w:tc>
          <w:tcPr>
            <w:tcW w:type="dxa" w:w="156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Absorbe complicaciones de estadía</w:t>
            </w:r>
          </w:p>
        </w:tc>
        <w:tc>
          <w:tcPr>
            <w:tcW w:type="dxa" w:w="156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b/>
                <w:sz w:val="17"/>
              </w:rPr>
              <w:t>SENSIBILIDAD 2</w:t>
            </w:r>
            <w:r>
              <w:rPr>
                <w:rFonts w:ascii="Calibri" w:hAnsi="Calibri"/>
                <w:sz w:val="17"/>
              </w:rPr>
              <w:t xml:space="preserve"> (Codificación Aguda)</w:t>
            </w:r>
          </w:p>
        </w:tc>
      </w:tr>
    </w:tbl>
    <w:p>
      <w:pPr>
        <w:spacing w:before="40" w:after="120"/>
      </w:pPr>
    </w:p>
    <w:p>
      <w:pPr>
        <w:spacing w:after="100" w:line="276" w:lineRule="auto"/>
      </w:pPr>
      <w:r>
        <w:rPr>
          <w:i/>
        </w:rPr>
        <w:t>Causa Matemática de la Variación en $\mu$:</w:t>
      </w:r>
    </w:p>
    <w:p>
      <w:pPr>
        <w:spacing w:after="100" w:line="276" w:lineRule="auto"/>
      </w:pPr>
      <w:r>
        <w:t xml:space="preserve">El paso de $\mu = +0,0224$ (o $+0,0204$) a $\mu = -0,0359$ responde estrictamente a la transición del </w:t>
      </w:r>
      <w:r>
        <w:rPr>
          <w:b/>
        </w:rPr>
        <w:t>promedio ponderado de efectos fijos</w:t>
      </w:r>
      <w:r>
        <w:t xml:space="preserve"> (inverse-variance pooling: $ar{y} = \sum O_i \ln(O_i/E_i) / \sum O_i = +0,0204$, donde los hospitales grandes con mayor mortalidad dominan el peso) al </w:t>
      </w:r>
      <w:r>
        <w:rPr>
          <w:b/>
        </w:rPr>
        <w:t>estimador de efectos aleatorios de DerSimonian-Laird</w:t>
      </w:r>
      <w:r>
        <w:t xml:space="preserve"> ($\hat{\mu}_{</w:t>
        <w:tab/>
        <w:t>ext{DL}} = \sum w_i^</w:t>
      </w:r>
      <w:r>
        <w:rPr>
          <w:i/>
        </w:rPr>
        <w:t xml:space="preserve"> y_i / \sum w_i^</w:t>
      </w:r>
      <w:r>
        <w:t xml:space="preserve">$ con $w_i^* = 1/(1/O_i + </w:t>
        <w:tab/>
        <w:t>au^2) = -0,0359$), el cual pondera equilibradamente a los centros de tamaño mediano de la red cuyo log-ratio medio se sitúa levemente por debajo de cero.</w:t>
      </w:r>
    </w:p>
    <w:p>
      <w:pPr>
        <w:keepNext/>
        <w:spacing w:before="200" w:after="80"/>
      </w:pPr>
      <w:r>
        <w:rPr>
          <w:rFonts w:ascii="Calibri" w:hAnsi="Calibri"/>
          <w:b/>
          <w:color w:val="0369A1"/>
          <w:sz w:val="24"/>
        </w:rPr>
        <w:t>1.2 Impacto sobre Centros Especializados: El Caso del Instituto Nacional del Tórax</w:t>
      </w:r>
    </w:p>
    <w:p>
      <w:pPr>
        <w:spacing w:after="100" w:line="276" w:lineRule="auto"/>
      </w:pPr>
      <w:r>
        <w:t xml:space="preserve">El </w:t>
      </w:r>
      <w:r>
        <w:rPr>
          <w:b/>
        </w:rPr>
        <w:t>Instituto Nacional del Tórax (`112103`)</w:t>
      </w:r>
      <w:r>
        <w:t xml:space="preserve"> presenta una concentración del </w:t>
      </w:r>
      <w:r>
        <w:rPr>
          <w:b/>
        </w:rPr>
        <w:t>92,8%</w:t>
      </w:r>
      <w:r>
        <w:t xml:space="preserve"> en patología cardiovascular y respiratoria:</w:t>
      </w:r>
    </w:p>
    <w:p>
      <w:pPr>
        <w:pStyle w:val="ListBullet"/>
        <w:spacing w:after="40" w:line="276" w:lineRule="auto"/>
      </w:pPr>
      <w:r>
        <w:rPr>
          <w:b/>
        </w:rPr>
        <w:t>Capítulo Circulatorio (CIE-10 IX):</w:t>
      </w:r>
      <w:r>
        <w:t xml:space="preserve"> </w:t>
      </w:r>
      <w:r>
        <w:rPr>
          <w:b/>
        </w:rPr>
        <w:t>62,6%</w:t>
      </w:r>
      <w:r>
        <w:t xml:space="preserve"> (2.222 de 3.548 episodios evaluables; cumple la regla de capítulo dominante $\ge 50\%$).</w:t>
      </w:r>
    </w:p>
    <w:p>
      <w:pPr>
        <w:pStyle w:val="ListBullet"/>
        <w:spacing w:after="40" w:line="276" w:lineRule="auto"/>
      </w:pPr>
      <w:r>
        <w:rPr>
          <w:b/>
        </w:rPr>
        <w:t>Capítulo Respiratorio (CIE-10 X):</w:t>
      </w:r>
      <w:r>
        <w:t xml:space="preserve"> </w:t>
      </w:r>
      <w:r>
        <w:rPr>
          <w:b/>
        </w:rPr>
        <w:t>30,1%</w:t>
      </w:r>
      <w:r>
        <w:t xml:space="preserve"> (1.069 de 3.548 episodios evaluables).</w:t>
      </w:r>
    </w:p>
    <w:p>
      <w:pPr>
        <w:pStyle w:val="ListBullet"/>
        <w:spacing w:after="40" w:line="276" w:lineRule="auto"/>
      </w:pPr>
      <w:r>
        <w:t>En M2 Base (sin diagnóstico principal), el Tórax registraba $O/E = \mathbf{1,968}$ ($P = 1,000$).</w:t>
      </w:r>
    </w:p>
    <w:p>
      <w:pPr>
        <w:pStyle w:val="ListBullet"/>
        <w:spacing w:after="40" w:line="276" w:lineRule="auto"/>
      </w:pPr>
      <w:r>
        <w:t xml:space="preserve">En </w:t>
      </w:r>
      <w:r>
        <w:rPr>
          <w:b/>
        </w:rPr>
        <w:t>M2+CAP (Primaria)</w:t>
      </w:r>
      <w:r>
        <w:t xml:space="preserve">, al reconocer su perfil cardiovascular y respiratorio, su exceso se reduce a $O/E = \mathbf{1,429}$ ($P = 0,997$). El ajuste </w:t>
      </w:r>
      <w:r>
        <w:rPr>
          <w:b/>
        </w:rPr>
        <w:t>reduce sustancialmente el sesgo</w:t>
      </w:r>
      <w:r>
        <w:t xml:space="preserve"> por mezcla de especialidad, manteniendo al establecimiento en alerta debido a la gravedad intrínseca de sus ingresos.</w:t>
      </w:r>
    </w:p>
    <w:p>
      <w:pPr>
        <w:pStyle w:val="ListBullet"/>
        <w:spacing w:after="40" w:line="276" w:lineRule="auto"/>
      </w:pPr>
      <w:r>
        <w:t>En M3-Total, debido a que su codificación secundaria no escala con su prolongada estancia, su $O/E$ se distorsiona hasta $2,226$.</w:t>
      </w:r>
    </w:p>
    <w:p>
      <w:pPr>
        <w:spacing w:before="160" w:after="160"/>
      </w:pPr>
      <w:r>
        <w:rPr>
          <w:b/>
          <w:color w:val="CBD5E1"/>
        </w:rPr>
        <w:t>———————————————————————————————————————————————————————</w:t>
      </w:r>
    </w:p>
    <w:p>
      <w:pPr>
        <w:keepNext/>
        <w:spacing w:before="280" w:after="120"/>
      </w:pPr>
      <w:r>
        <w:rPr>
          <w:rFonts w:ascii="Calibri" w:hAnsi="Calibri"/>
          <w:b/>
          <w:color w:val="1E3A8A"/>
          <w:sz w:val="28"/>
        </w:rPr>
        <w:t>2. Taxonomía y Reconciliación de Alertas Asistenciales</w:t>
      </w:r>
    </w:p>
    <w:p>
      <w:pPr>
        <w:spacing w:after="100" w:line="276" w:lineRule="auto"/>
      </w:pPr>
      <w:r>
        <w:t>Todas las métricas de esta sección se derivan estrictamente del archivo canonical único de la tesis: [</w:t>
      </w:r>
      <w:r>
        <w:rPr>
          <w:rFonts w:ascii="Consolas" w:hAnsi="Consolas"/>
          <w:color w:val="A02828"/>
          <w:sz w:val="19"/>
        </w:rPr>
        <w:t>benchmarks_modelos_fase2_2023.csv</w:t>
      </w:r>
      <w:r>
        <w:t>](file:///home/felipe/Documentos/Proyecto%20final/Tesis/Analisis%20exploratorio/benchmarks_modelos_fase2_2023.csv).</w:t>
      </w:r>
    </w:p>
    <w:p>
      <w:pPr>
        <w:keepNext/>
        <w:spacing w:before="200" w:after="80"/>
      </w:pPr>
      <w:r>
        <w:rPr>
          <w:rFonts w:ascii="Calibri" w:hAnsi="Calibri"/>
          <w:b/>
          <w:color w:val="0369A1"/>
          <w:sz w:val="24"/>
        </w:rPr>
        <w:t>2.1 Definición Rigurosa de Términos</w:t>
      </w:r>
    </w:p>
    <w:p>
      <w:pPr>
        <w:pStyle w:val="ListNumber"/>
        <w:spacing w:after="40" w:line="276" w:lineRule="auto"/>
      </w:pPr>
      <w:r>
        <w:rPr>
          <w:b/>
        </w:rPr>
        <w:t>Alerta Primaria:</w:t>
      </w:r>
      <w:r>
        <w:t xml:space="preserve"> Todo hospital que en la </w:t>
      </w:r>
      <w:r>
        <w:rPr>
          <w:b/>
        </w:rPr>
        <w:t>Especificación Primaria Oficial (M2+CAP)</w:t>
      </w:r>
      <w:r>
        <w:t>, con $</w:t>
        <w:tab/>
        <w:t>au = 0,1948$ y $\mu = -0,0359$, presenta:</w:t>
      </w:r>
    </w:p>
    <w:p>
      <w:pPr>
        <w:spacing w:after="100" w:line="276" w:lineRule="auto"/>
      </w:pPr>
      <w:r>
        <w:t>$$P(</w:t>
        <w:tab/>
        <w:t xml:space="preserve">heta_j &gt; 1,10 \mid </w:t>
        <w:tab/>
        <w:t>ext{M2+CAP}) \ge 0,95$$</w:t>
      </w:r>
    </w:p>
    <w:p>
      <w:pPr>
        <w:pStyle w:val="ListNumber"/>
        <w:spacing w:after="40" w:line="276" w:lineRule="auto"/>
      </w:pPr>
      <w:r>
        <w:rPr>
          <w:b/>
        </w:rPr>
        <w:t>Alerta Robusta:</w:t>
      </w:r>
      <w:r>
        <w:t xml:space="preserve"> Hospital que es </w:t>
      </w:r>
      <w:r>
        <w:rPr>
          <w:b/>
        </w:rPr>
        <w:t>Alerta Primaria</w:t>
      </w:r>
      <w:r>
        <w:t xml:space="preserve"> y concurrentemente </w:t>
      </w:r>
      <w:r>
        <w:rPr>
          <w:b/>
        </w:rPr>
        <w:t>persiste como alerta en el modelo de sensibilidad M3-Total</w:t>
      </w:r>
      <w:r>
        <w:t xml:space="preserve"> ($P \ge 0,95$ en ambos).</w:t>
      </w:r>
    </w:p>
    <w:p>
      <w:pPr>
        <w:pStyle w:val="ListNumber"/>
        <w:spacing w:after="40" w:line="276" w:lineRule="auto"/>
      </w:pPr>
      <w:r>
        <w:rPr>
          <w:b/>
        </w:rPr>
        <w:t>Alerta Dependiente de Codificación Aguda:</w:t>
      </w:r>
      <w:r>
        <w:t xml:space="preserve"> Hospital que no califica como alerta en la especificación primaria, pero que alerta únicamente en M3-Total debido a diagnósticos secundarios codificados al alta.</w:t>
      </w:r>
    </w:p>
    <w:p>
      <w:pPr>
        <w:keepNext/>
        <w:spacing w:before="200" w:after="80"/>
      </w:pPr>
      <w:r>
        <w:rPr>
          <w:rFonts w:ascii="Calibri" w:hAnsi="Calibri"/>
          <w:b/>
          <w:color w:val="0369A1"/>
          <w:sz w:val="24"/>
        </w:rPr>
        <w:t>2.2 Lista Consolidada de Alertas en Hospitales Agudos Generales ($K=62$)</w:t>
      </w:r>
    </w:p>
    <w:p>
      <w:pPr>
        <w:spacing w:after="100" w:line="276" w:lineRule="auto"/>
      </w:pPr>
      <w:r>
        <w:t xml:space="preserve">Bajo la especificación primaria M2+CAP, se identifican exactamente </w:t>
      </w:r>
      <w:r>
        <w:rPr>
          <w:b/>
        </w:rPr>
        <w:t>10 Alertas Primarias</w:t>
      </w:r>
      <w:r>
        <w:t xml:space="preserve"> (y 52 hospitales en Desempeño Promedio):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rPr>
          <w:cantSplit/>
          <w:tblHeader/>
        </w:trPr>
        <w:tc>
          <w:tcPr>
            <w:tcW w:type="dxa" w:w="72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1E3A8A"/>
            <w:tcBorders>
              <w:top w:val="single" w:sz="6" w:space="0" w:color="1E3A8A"/>
              <w:left w:val="single" w:sz="4" w:space="0" w:color="CBD5E1"/>
              <w:bottom w:val="single" w:sz="12" w:space="0" w:color="1E3A8A"/>
              <w:right w:val="single" w:sz="4" w:space="0" w:color="CBD5E1"/>
            </w:tcBorders>
          </w:tcPr>
          <w:p>
            <w:pPr>
              <w:spacing w:before="20" w:after="20" w:line="252" w:lineRule="auto"/>
            </w:pPr>
            <w:r>
              <w:rPr>
                <w:b/>
                <w:color w:val="FFFFFF"/>
                <w:sz w:val="18"/>
              </w:rPr>
              <w:t>Código</w:t>
            </w:r>
          </w:p>
        </w:tc>
        <w:tc>
          <w:tcPr>
            <w:tcW w:type="dxa" w:w="72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1E3A8A"/>
            <w:tcBorders>
              <w:top w:val="single" w:sz="6" w:space="0" w:color="1E3A8A"/>
              <w:left w:val="single" w:sz="4" w:space="0" w:color="CBD5E1"/>
              <w:bottom w:val="single" w:sz="12" w:space="0" w:color="1E3A8A"/>
              <w:right w:val="single" w:sz="4" w:space="0" w:color="CBD5E1"/>
            </w:tcBorders>
          </w:tcPr>
          <w:p>
            <w:pPr>
              <w:spacing w:before="20" w:after="20" w:line="252" w:lineRule="auto"/>
            </w:pPr>
            <w:r>
              <w:rPr>
                <w:b/>
                <w:color w:val="FFFFFF"/>
                <w:sz w:val="18"/>
              </w:rPr>
              <w:t>Establecimiento</w:t>
            </w:r>
          </w:p>
        </w:tc>
        <w:tc>
          <w:tcPr>
            <w:tcW w:type="dxa" w:w="72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1E3A8A"/>
            <w:tcBorders>
              <w:top w:val="single" w:sz="6" w:space="0" w:color="1E3A8A"/>
              <w:left w:val="single" w:sz="4" w:space="0" w:color="CBD5E1"/>
              <w:bottom w:val="single" w:sz="12" w:space="0" w:color="1E3A8A"/>
              <w:right w:val="single" w:sz="4" w:space="0" w:color="CBD5E1"/>
            </w:tcBorders>
          </w:tcPr>
          <w:p>
            <w:pPr>
              <w:spacing w:before="20" w:after="20" w:line="252" w:lineRule="auto"/>
            </w:pPr>
            <w:r>
              <w:rPr>
                <w:b/>
                <w:color w:val="FFFFFF"/>
                <w:sz w:val="18"/>
              </w:rPr>
              <w:t>$O$ Defunciones</w:t>
            </w:r>
          </w:p>
        </w:tc>
        <w:tc>
          <w:tcPr>
            <w:tcW w:type="dxa" w:w="72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1E3A8A"/>
            <w:tcBorders>
              <w:top w:val="single" w:sz="6" w:space="0" w:color="1E3A8A"/>
              <w:left w:val="single" w:sz="4" w:space="0" w:color="CBD5E1"/>
              <w:bottom w:val="single" w:sz="12" w:space="0" w:color="1E3A8A"/>
              <w:right w:val="single" w:sz="4" w:space="0" w:color="CBD5E1"/>
            </w:tcBorders>
          </w:tcPr>
          <w:p>
            <w:pPr>
              <w:spacing w:before="20" w:after="20" w:line="252" w:lineRule="auto"/>
            </w:pPr>
            <w:r>
              <w:rPr>
                <w:b/>
                <w:color w:val="FFFFFF"/>
                <w:sz w:val="18"/>
              </w:rPr>
              <w:t>$E_{</w:t>
              <w:tab/>
              <w:t>ext{prim}}$</w:t>
            </w:r>
          </w:p>
        </w:tc>
        <w:tc>
          <w:tcPr>
            <w:tcW w:type="dxa" w:w="72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1E3A8A"/>
            <w:tcBorders>
              <w:top w:val="single" w:sz="6" w:space="0" w:color="1E3A8A"/>
              <w:left w:val="single" w:sz="4" w:space="0" w:color="CBD5E1"/>
              <w:bottom w:val="single" w:sz="12" w:space="0" w:color="1E3A8A"/>
              <w:right w:val="single" w:sz="4" w:space="0" w:color="CBD5E1"/>
            </w:tcBorders>
          </w:tcPr>
          <w:p>
            <w:pPr>
              <w:spacing w:before="20" w:after="20" w:line="252" w:lineRule="auto"/>
            </w:pPr>
            <w:r>
              <w:rPr>
                <w:b/>
                <w:color w:val="FFFFFF"/>
                <w:sz w:val="18"/>
              </w:rPr>
              <w:t>$O/E$ (M2+CAP)</w:t>
            </w:r>
          </w:p>
        </w:tc>
        <w:tc>
          <w:tcPr>
            <w:tcW w:type="dxa" w:w="72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1E3A8A"/>
            <w:tcBorders>
              <w:top w:val="single" w:sz="6" w:space="0" w:color="1E3A8A"/>
              <w:left w:val="single" w:sz="4" w:space="0" w:color="CBD5E1"/>
              <w:bottom w:val="single" w:sz="12" w:space="0" w:color="1E3A8A"/>
              <w:right w:val="single" w:sz="4" w:space="0" w:color="CBD5E1"/>
            </w:tcBorders>
          </w:tcPr>
          <w:p>
            <w:pPr>
              <w:spacing w:before="20" w:after="20" w:line="252" w:lineRule="auto"/>
            </w:pPr>
            <w:r>
              <w:rPr>
                <w:b/>
                <w:color w:val="FFFFFF"/>
                <w:sz w:val="18"/>
              </w:rPr>
              <w:t>$P_{</w:t>
              <w:tab/>
              <w:t>ext{Prim}}$</w:t>
            </w:r>
          </w:p>
        </w:tc>
        <w:tc>
          <w:tcPr>
            <w:tcW w:type="dxa" w:w="72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1E3A8A"/>
            <w:tcBorders>
              <w:top w:val="single" w:sz="6" w:space="0" w:color="1E3A8A"/>
              <w:left w:val="single" w:sz="4" w:space="0" w:color="CBD5E1"/>
              <w:bottom w:val="single" w:sz="12" w:space="0" w:color="1E3A8A"/>
              <w:right w:val="single" w:sz="4" w:space="0" w:color="CBD5E1"/>
            </w:tcBorders>
          </w:tcPr>
          <w:p>
            <w:pPr>
              <w:spacing w:before="20" w:after="20" w:line="252" w:lineRule="auto"/>
            </w:pPr>
            <w:r>
              <w:rPr>
                <w:b/>
                <w:color w:val="FFFFFF"/>
                <w:sz w:val="18"/>
              </w:rPr>
              <w:t>$E_{</w:t>
              <w:tab/>
              <w:t>ext{m2}}$</w:t>
            </w:r>
          </w:p>
        </w:tc>
        <w:tc>
          <w:tcPr>
            <w:tcW w:type="dxa" w:w="72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1E3A8A"/>
            <w:tcBorders>
              <w:top w:val="single" w:sz="6" w:space="0" w:color="1E3A8A"/>
              <w:left w:val="single" w:sz="4" w:space="0" w:color="CBD5E1"/>
              <w:bottom w:val="single" w:sz="12" w:space="0" w:color="1E3A8A"/>
              <w:right w:val="single" w:sz="4" w:space="0" w:color="CBD5E1"/>
            </w:tcBorders>
          </w:tcPr>
          <w:p>
            <w:pPr>
              <w:spacing w:before="20" w:after="20" w:line="252" w:lineRule="auto"/>
            </w:pPr>
            <w:r>
              <w:rPr>
                <w:b/>
                <w:color w:val="FFFFFF"/>
                <w:sz w:val="18"/>
              </w:rPr>
              <w:t>$O/E$ (M2 Base)</w:t>
            </w:r>
          </w:p>
        </w:tc>
        <w:tc>
          <w:tcPr>
            <w:tcW w:type="dxa" w:w="72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1E3A8A"/>
            <w:tcBorders>
              <w:top w:val="single" w:sz="6" w:space="0" w:color="1E3A8A"/>
              <w:left w:val="single" w:sz="4" w:space="0" w:color="CBD5E1"/>
              <w:bottom w:val="single" w:sz="12" w:space="0" w:color="1E3A8A"/>
              <w:right w:val="single" w:sz="4" w:space="0" w:color="CBD5E1"/>
            </w:tcBorders>
          </w:tcPr>
          <w:p>
            <w:pPr>
              <w:spacing w:before="20" w:after="20" w:line="252" w:lineRule="auto"/>
            </w:pPr>
            <w:r>
              <w:rPr>
                <w:b/>
                <w:color w:val="FFFFFF"/>
                <w:sz w:val="18"/>
              </w:rPr>
              <w:t>$P_{</w:t>
              <w:tab/>
              <w:t>ext{M2}}$</w:t>
            </w:r>
          </w:p>
        </w:tc>
        <w:tc>
          <w:tcPr>
            <w:tcW w:type="dxa" w:w="72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1E3A8A"/>
            <w:tcBorders>
              <w:top w:val="single" w:sz="6" w:space="0" w:color="1E3A8A"/>
              <w:left w:val="single" w:sz="4" w:space="0" w:color="CBD5E1"/>
              <w:bottom w:val="single" w:sz="12" w:space="0" w:color="1E3A8A"/>
              <w:right w:val="single" w:sz="4" w:space="0" w:color="CBD5E1"/>
            </w:tcBorders>
          </w:tcPr>
          <w:p>
            <w:pPr>
              <w:spacing w:before="20" w:after="20" w:line="252" w:lineRule="auto"/>
            </w:pPr>
            <w:r>
              <w:rPr>
                <w:b/>
                <w:color w:val="FFFFFF"/>
                <w:sz w:val="18"/>
              </w:rPr>
              <w:t>$E_{</w:t>
              <w:tab/>
              <w:t>ext{m3}}$</w:t>
            </w:r>
          </w:p>
        </w:tc>
        <w:tc>
          <w:tcPr>
            <w:tcW w:type="dxa" w:w="72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1E3A8A"/>
            <w:tcBorders>
              <w:top w:val="single" w:sz="6" w:space="0" w:color="1E3A8A"/>
              <w:left w:val="single" w:sz="4" w:space="0" w:color="CBD5E1"/>
              <w:bottom w:val="single" w:sz="12" w:space="0" w:color="1E3A8A"/>
              <w:right w:val="single" w:sz="4" w:space="0" w:color="CBD5E1"/>
            </w:tcBorders>
          </w:tcPr>
          <w:p>
            <w:pPr>
              <w:spacing w:before="20" w:after="20" w:line="252" w:lineRule="auto"/>
            </w:pPr>
            <w:r>
              <w:rPr>
                <w:b/>
                <w:color w:val="FFFFFF"/>
                <w:sz w:val="18"/>
              </w:rPr>
              <w:t>$O/E$ (M3-Tot)</w:t>
            </w:r>
          </w:p>
        </w:tc>
        <w:tc>
          <w:tcPr>
            <w:tcW w:type="dxa" w:w="72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1E3A8A"/>
            <w:tcBorders>
              <w:top w:val="single" w:sz="6" w:space="0" w:color="1E3A8A"/>
              <w:left w:val="single" w:sz="4" w:space="0" w:color="CBD5E1"/>
              <w:bottom w:val="single" w:sz="12" w:space="0" w:color="1E3A8A"/>
              <w:right w:val="single" w:sz="4" w:space="0" w:color="CBD5E1"/>
            </w:tcBorders>
          </w:tcPr>
          <w:p>
            <w:pPr>
              <w:spacing w:before="20" w:after="20" w:line="252" w:lineRule="auto"/>
            </w:pPr>
            <w:r>
              <w:rPr>
                <w:b/>
                <w:color w:val="FFFFFF"/>
                <w:sz w:val="18"/>
              </w:rPr>
              <w:t>$P_{</w:t>
              <w:tab/>
              <w:t>ext{M3}}$</w:t>
            </w:r>
          </w:p>
        </w:tc>
        <w:tc>
          <w:tcPr>
            <w:tcW w:type="dxa" w:w="72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1E3A8A"/>
            <w:tcBorders>
              <w:top w:val="single" w:sz="6" w:space="0" w:color="1E3A8A"/>
              <w:left w:val="single" w:sz="4" w:space="0" w:color="CBD5E1"/>
              <w:bottom w:val="single" w:sz="12" w:space="0" w:color="1E3A8A"/>
              <w:right w:val="single" w:sz="4" w:space="0" w:color="CBD5E1"/>
            </w:tcBorders>
          </w:tcPr>
          <w:p>
            <w:pPr>
              <w:spacing w:before="20" w:after="20" w:line="252" w:lineRule="auto"/>
            </w:pPr>
            <w:r>
              <w:rPr>
                <w:b/>
                <w:color w:val="FFFFFF"/>
                <w:sz w:val="18"/>
              </w:rPr>
              <w:t>Categoría de Alerta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A02828"/>
                <w:sz w:val="17"/>
              </w:rPr>
              <w:t>113180</w:t>
            </w:r>
          </w:p>
        </w:tc>
        <w:tc>
          <w:tcPr>
            <w:tcW w:type="dxa" w:w="72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b/>
                <w:sz w:val="17"/>
              </w:rPr>
              <w:t>Hospital El Pino</w:t>
            </w:r>
          </w:p>
        </w:tc>
        <w:tc>
          <w:tcPr>
            <w:tcW w:type="dxa" w:w="72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438</w:t>
            </w:r>
          </w:p>
        </w:tc>
        <w:tc>
          <w:tcPr>
            <w:tcW w:type="dxa" w:w="72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266,0</w:t>
            </w:r>
          </w:p>
        </w:tc>
        <w:tc>
          <w:tcPr>
            <w:tcW w:type="dxa" w:w="72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b/>
                <w:sz w:val="17"/>
              </w:rPr>
              <w:t>1,646</w:t>
            </w:r>
          </w:p>
        </w:tc>
        <w:tc>
          <w:tcPr>
            <w:tcW w:type="dxa" w:w="72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b/>
                <w:sz w:val="17"/>
              </w:rPr>
              <w:t>1,000</w:t>
            </w:r>
          </w:p>
        </w:tc>
        <w:tc>
          <w:tcPr>
            <w:tcW w:type="dxa" w:w="72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238,6</w:t>
            </w:r>
          </w:p>
        </w:tc>
        <w:tc>
          <w:tcPr>
            <w:tcW w:type="dxa" w:w="72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1,836</w:t>
            </w:r>
          </w:p>
        </w:tc>
        <w:tc>
          <w:tcPr>
            <w:tcW w:type="dxa" w:w="72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1,000</w:t>
            </w:r>
          </w:p>
        </w:tc>
        <w:tc>
          <w:tcPr>
            <w:tcW w:type="dxa" w:w="72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247,1</w:t>
            </w:r>
          </w:p>
        </w:tc>
        <w:tc>
          <w:tcPr>
            <w:tcW w:type="dxa" w:w="72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1,772</w:t>
            </w:r>
          </w:p>
        </w:tc>
        <w:tc>
          <w:tcPr>
            <w:tcW w:type="dxa" w:w="72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1,000</w:t>
            </w:r>
          </w:p>
        </w:tc>
        <w:tc>
          <w:tcPr>
            <w:tcW w:type="dxa" w:w="72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b/>
                <w:sz w:val="17"/>
              </w:rPr>
              <w:t>ALERTA ROBUSTA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A02828"/>
                <w:sz w:val="17"/>
              </w:rPr>
              <w:t>111100</w:t>
            </w:r>
          </w:p>
        </w:tc>
        <w:tc>
          <w:tcPr>
            <w:tcW w:type="dxa" w:w="72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b/>
                <w:sz w:val="17"/>
              </w:rPr>
              <w:t>Hospital Clínico San Borja-Arriarán</w:t>
            </w:r>
          </w:p>
        </w:tc>
        <w:tc>
          <w:tcPr>
            <w:tcW w:type="dxa" w:w="72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145</w:t>
            </w:r>
          </w:p>
        </w:tc>
        <w:tc>
          <w:tcPr>
            <w:tcW w:type="dxa" w:w="72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101,3</w:t>
            </w:r>
          </w:p>
        </w:tc>
        <w:tc>
          <w:tcPr>
            <w:tcW w:type="dxa" w:w="72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b/>
                <w:sz w:val="17"/>
              </w:rPr>
              <w:t>1,432</w:t>
            </w:r>
          </w:p>
        </w:tc>
        <w:tc>
          <w:tcPr>
            <w:tcW w:type="dxa" w:w="72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b/>
                <w:sz w:val="17"/>
              </w:rPr>
              <w:t>0,996</w:t>
            </w:r>
          </w:p>
        </w:tc>
        <w:tc>
          <w:tcPr>
            <w:tcW w:type="dxa" w:w="72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95,7</w:t>
            </w:r>
          </w:p>
        </w:tc>
        <w:tc>
          <w:tcPr>
            <w:tcW w:type="dxa" w:w="72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1,515</w:t>
            </w:r>
          </w:p>
        </w:tc>
        <w:tc>
          <w:tcPr>
            <w:tcW w:type="dxa" w:w="72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1,000</w:t>
            </w:r>
          </w:p>
        </w:tc>
        <w:tc>
          <w:tcPr>
            <w:tcW w:type="dxa" w:w="72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123,2</w:t>
            </w:r>
          </w:p>
        </w:tc>
        <w:tc>
          <w:tcPr>
            <w:tcW w:type="dxa" w:w="72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1,177</w:t>
            </w:r>
          </w:p>
        </w:tc>
        <w:tc>
          <w:tcPr>
            <w:tcW w:type="dxa" w:w="72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0,697</w:t>
            </w:r>
          </w:p>
        </w:tc>
        <w:tc>
          <w:tcPr>
            <w:tcW w:type="dxa" w:w="72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b/>
                <w:sz w:val="17"/>
              </w:rPr>
              <w:t>Alerta Primaria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A02828"/>
                <w:sz w:val="17"/>
              </w:rPr>
              <w:t>106103</w:t>
            </w:r>
          </w:p>
        </w:tc>
        <w:tc>
          <w:tcPr>
            <w:tcW w:type="dxa" w:w="72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b/>
                <w:sz w:val="17"/>
              </w:rPr>
              <w:t>Hospital Claudio Vicuña (San Antonio)</w:t>
            </w:r>
          </w:p>
        </w:tc>
        <w:tc>
          <w:tcPr>
            <w:tcW w:type="dxa" w:w="72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320</w:t>
            </w:r>
          </w:p>
        </w:tc>
        <w:tc>
          <w:tcPr>
            <w:tcW w:type="dxa" w:w="72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231,8</w:t>
            </w:r>
          </w:p>
        </w:tc>
        <w:tc>
          <w:tcPr>
            <w:tcW w:type="dxa" w:w="72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b/>
                <w:sz w:val="17"/>
              </w:rPr>
              <w:t>1,381</w:t>
            </w:r>
          </w:p>
        </w:tc>
        <w:tc>
          <w:tcPr>
            <w:tcW w:type="dxa" w:w="72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b/>
                <w:sz w:val="17"/>
              </w:rPr>
              <w:t>1,000</w:t>
            </w:r>
          </w:p>
        </w:tc>
        <w:tc>
          <w:tcPr>
            <w:tcW w:type="dxa" w:w="72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200,7</w:t>
            </w:r>
          </w:p>
        </w:tc>
        <w:tc>
          <w:tcPr>
            <w:tcW w:type="dxa" w:w="72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1,595</w:t>
            </w:r>
          </w:p>
        </w:tc>
        <w:tc>
          <w:tcPr>
            <w:tcW w:type="dxa" w:w="72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1,000</w:t>
            </w:r>
          </w:p>
        </w:tc>
        <w:tc>
          <w:tcPr>
            <w:tcW w:type="dxa" w:w="72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195,8</w:t>
            </w:r>
          </w:p>
        </w:tc>
        <w:tc>
          <w:tcPr>
            <w:tcW w:type="dxa" w:w="72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1,634</w:t>
            </w:r>
          </w:p>
        </w:tc>
        <w:tc>
          <w:tcPr>
            <w:tcW w:type="dxa" w:w="72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1,000</w:t>
            </w:r>
          </w:p>
        </w:tc>
        <w:tc>
          <w:tcPr>
            <w:tcW w:type="dxa" w:w="72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b/>
                <w:sz w:val="17"/>
              </w:rPr>
              <w:t>ALERTA ROBUSTA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A02828"/>
                <w:sz w:val="17"/>
              </w:rPr>
              <w:t>113100</w:t>
            </w:r>
          </w:p>
        </w:tc>
        <w:tc>
          <w:tcPr>
            <w:tcW w:type="dxa" w:w="72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b/>
                <w:sz w:val="17"/>
              </w:rPr>
              <w:t>Hospital Barros Luco Trudeau</w:t>
            </w:r>
          </w:p>
        </w:tc>
        <w:tc>
          <w:tcPr>
            <w:tcW w:type="dxa" w:w="72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972</w:t>
            </w:r>
          </w:p>
        </w:tc>
        <w:tc>
          <w:tcPr>
            <w:tcW w:type="dxa" w:w="72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709,7</w:t>
            </w:r>
          </w:p>
        </w:tc>
        <w:tc>
          <w:tcPr>
            <w:tcW w:type="dxa" w:w="72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b/>
                <w:sz w:val="17"/>
              </w:rPr>
              <w:t>1,370</w:t>
            </w:r>
          </w:p>
        </w:tc>
        <w:tc>
          <w:tcPr>
            <w:tcW w:type="dxa" w:w="72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b/>
                <w:sz w:val="17"/>
              </w:rPr>
              <w:t>1,000</w:t>
            </w:r>
          </w:p>
        </w:tc>
        <w:tc>
          <w:tcPr>
            <w:tcW w:type="dxa" w:w="72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754,7</w:t>
            </w:r>
          </w:p>
        </w:tc>
        <w:tc>
          <w:tcPr>
            <w:tcW w:type="dxa" w:w="72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1,288</w:t>
            </w:r>
          </w:p>
        </w:tc>
        <w:tc>
          <w:tcPr>
            <w:tcW w:type="dxa" w:w="72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1,000</w:t>
            </w:r>
          </w:p>
        </w:tc>
        <w:tc>
          <w:tcPr>
            <w:tcW w:type="dxa" w:w="72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842,5</w:t>
            </w:r>
          </w:p>
        </w:tc>
        <w:tc>
          <w:tcPr>
            <w:tcW w:type="dxa" w:w="72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1,154</w:t>
            </w:r>
          </w:p>
        </w:tc>
        <w:tc>
          <w:tcPr>
            <w:tcW w:type="dxa" w:w="72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0,914</w:t>
            </w:r>
          </w:p>
        </w:tc>
        <w:tc>
          <w:tcPr>
            <w:tcW w:type="dxa" w:w="72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b/>
                <w:sz w:val="17"/>
              </w:rPr>
              <w:t>Alerta Primaria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A02828"/>
                <w:sz w:val="17"/>
              </w:rPr>
              <w:t>107101</w:t>
            </w:r>
          </w:p>
        </w:tc>
        <w:tc>
          <w:tcPr>
            <w:tcW w:type="dxa" w:w="72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b/>
                <w:sz w:val="17"/>
              </w:rPr>
              <w:t>Hospital San Martín (Quillota)</w:t>
            </w:r>
          </w:p>
        </w:tc>
        <w:tc>
          <w:tcPr>
            <w:tcW w:type="dxa" w:w="72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285</w:t>
            </w:r>
          </w:p>
        </w:tc>
        <w:tc>
          <w:tcPr>
            <w:tcW w:type="dxa" w:w="72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208,7</w:t>
            </w:r>
          </w:p>
        </w:tc>
        <w:tc>
          <w:tcPr>
            <w:tcW w:type="dxa" w:w="72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b/>
                <w:sz w:val="17"/>
              </w:rPr>
              <w:t>1,365</w:t>
            </w:r>
          </w:p>
        </w:tc>
        <w:tc>
          <w:tcPr>
            <w:tcW w:type="dxa" w:w="72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b/>
                <w:sz w:val="17"/>
              </w:rPr>
              <w:t>1,000</w:t>
            </w:r>
          </w:p>
        </w:tc>
        <w:tc>
          <w:tcPr>
            <w:tcW w:type="dxa" w:w="72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235,3</w:t>
            </w:r>
          </w:p>
        </w:tc>
        <w:tc>
          <w:tcPr>
            <w:tcW w:type="dxa" w:w="72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1,211</w:t>
            </w:r>
          </w:p>
        </w:tc>
        <w:tc>
          <w:tcPr>
            <w:tcW w:type="dxa" w:w="72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0,919</w:t>
            </w:r>
          </w:p>
        </w:tc>
        <w:tc>
          <w:tcPr>
            <w:tcW w:type="dxa" w:w="72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326,7</w:t>
            </w:r>
          </w:p>
        </w:tc>
        <w:tc>
          <w:tcPr>
            <w:tcW w:type="dxa" w:w="72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0,872</w:t>
            </w:r>
          </w:p>
        </w:tc>
        <w:tc>
          <w:tcPr>
            <w:tcW w:type="dxa" w:w="72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0,000</w:t>
            </w:r>
          </w:p>
        </w:tc>
        <w:tc>
          <w:tcPr>
            <w:tcW w:type="dxa" w:w="72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b/>
                <w:sz w:val="17"/>
              </w:rPr>
              <w:t>Alerta Primaria (En Transición)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A02828"/>
                <w:sz w:val="17"/>
              </w:rPr>
              <w:t>106100</w:t>
            </w:r>
          </w:p>
        </w:tc>
        <w:tc>
          <w:tcPr>
            <w:tcW w:type="dxa" w:w="72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b/>
                <w:sz w:val="17"/>
              </w:rPr>
              <w:t>Hospital Carlos Van Buren</w:t>
            </w:r>
          </w:p>
        </w:tc>
        <w:tc>
          <w:tcPr>
            <w:tcW w:type="dxa" w:w="72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602</w:t>
            </w:r>
          </w:p>
        </w:tc>
        <w:tc>
          <w:tcPr>
            <w:tcW w:type="dxa" w:w="72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451,4</w:t>
            </w:r>
          </w:p>
        </w:tc>
        <w:tc>
          <w:tcPr>
            <w:tcW w:type="dxa" w:w="72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b/>
                <w:sz w:val="17"/>
              </w:rPr>
              <w:t>1,334</w:t>
            </w:r>
          </w:p>
        </w:tc>
        <w:tc>
          <w:tcPr>
            <w:tcW w:type="dxa" w:w="72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b/>
                <w:sz w:val="17"/>
              </w:rPr>
              <w:t>1,000</w:t>
            </w:r>
          </w:p>
        </w:tc>
        <w:tc>
          <w:tcPr>
            <w:tcW w:type="dxa" w:w="72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465,7</w:t>
            </w:r>
          </w:p>
        </w:tc>
        <w:tc>
          <w:tcPr>
            <w:tcW w:type="dxa" w:w="72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1,293</w:t>
            </w:r>
          </w:p>
        </w:tc>
        <w:tc>
          <w:tcPr>
            <w:tcW w:type="dxa" w:w="72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1,000</w:t>
            </w:r>
          </w:p>
        </w:tc>
        <w:tc>
          <w:tcPr>
            <w:tcW w:type="dxa" w:w="72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419,3</w:t>
            </w:r>
          </w:p>
        </w:tc>
        <w:tc>
          <w:tcPr>
            <w:tcW w:type="dxa" w:w="72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1,436</w:t>
            </w:r>
          </w:p>
        </w:tc>
        <w:tc>
          <w:tcPr>
            <w:tcW w:type="dxa" w:w="72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1,000</w:t>
            </w:r>
          </w:p>
        </w:tc>
        <w:tc>
          <w:tcPr>
            <w:tcW w:type="dxa" w:w="72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b/>
                <w:sz w:val="17"/>
              </w:rPr>
              <w:t>ALERTA ROBUSTA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A02828"/>
                <w:sz w:val="17"/>
              </w:rPr>
              <w:t>103100</w:t>
            </w:r>
          </w:p>
        </w:tc>
        <w:tc>
          <w:tcPr>
            <w:tcW w:type="dxa" w:w="72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b/>
                <w:sz w:val="17"/>
              </w:rPr>
              <w:t>Hospital Dr. Leonardo Guzmán (Antofagasta)</w:t>
            </w:r>
          </w:p>
        </w:tc>
        <w:tc>
          <w:tcPr>
            <w:tcW w:type="dxa" w:w="72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663</w:t>
            </w:r>
          </w:p>
        </w:tc>
        <w:tc>
          <w:tcPr>
            <w:tcW w:type="dxa" w:w="72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497,8</w:t>
            </w:r>
          </w:p>
        </w:tc>
        <w:tc>
          <w:tcPr>
            <w:tcW w:type="dxa" w:w="72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b/>
                <w:sz w:val="17"/>
              </w:rPr>
              <w:t>1,332</w:t>
            </w:r>
          </w:p>
        </w:tc>
        <w:tc>
          <w:tcPr>
            <w:tcW w:type="dxa" w:w="72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b/>
                <w:sz w:val="17"/>
              </w:rPr>
              <w:t>1,000</w:t>
            </w:r>
          </w:p>
        </w:tc>
        <w:tc>
          <w:tcPr>
            <w:tcW w:type="dxa" w:w="72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479,1</w:t>
            </w:r>
          </w:p>
        </w:tc>
        <w:tc>
          <w:tcPr>
            <w:tcW w:type="dxa" w:w="72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1,384</w:t>
            </w:r>
          </w:p>
        </w:tc>
        <w:tc>
          <w:tcPr>
            <w:tcW w:type="dxa" w:w="72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1,000</w:t>
            </w:r>
          </w:p>
        </w:tc>
        <w:tc>
          <w:tcPr>
            <w:tcW w:type="dxa" w:w="72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569,2</w:t>
            </w:r>
          </w:p>
        </w:tc>
        <w:tc>
          <w:tcPr>
            <w:tcW w:type="dxa" w:w="72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1,165</w:t>
            </w:r>
          </w:p>
        </w:tc>
        <w:tc>
          <w:tcPr>
            <w:tcW w:type="dxa" w:w="72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0,908</w:t>
            </w:r>
          </w:p>
        </w:tc>
        <w:tc>
          <w:tcPr>
            <w:tcW w:type="dxa" w:w="72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b/>
                <w:sz w:val="17"/>
              </w:rPr>
              <w:t>Alerta Primaria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A02828"/>
                <w:sz w:val="17"/>
              </w:rPr>
              <w:t>121109</w:t>
            </w:r>
          </w:p>
        </w:tc>
        <w:tc>
          <w:tcPr>
            <w:tcW w:type="dxa" w:w="72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b/>
                <w:sz w:val="17"/>
              </w:rPr>
              <w:t>Hospital Dr. Hernán Henríquez (Temuco)</w:t>
            </w:r>
          </w:p>
        </w:tc>
        <w:tc>
          <w:tcPr>
            <w:tcW w:type="dxa" w:w="72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580</w:t>
            </w:r>
          </w:p>
        </w:tc>
        <w:tc>
          <w:tcPr>
            <w:tcW w:type="dxa" w:w="72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451,4</w:t>
            </w:r>
          </w:p>
        </w:tc>
        <w:tc>
          <w:tcPr>
            <w:tcW w:type="dxa" w:w="72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b/>
                <w:sz w:val="17"/>
              </w:rPr>
              <w:t>1,285</w:t>
            </w:r>
          </w:p>
        </w:tc>
        <w:tc>
          <w:tcPr>
            <w:tcW w:type="dxa" w:w="72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b/>
                <w:sz w:val="17"/>
              </w:rPr>
              <w:t>1,000</w:t>
            </w:r>
          </w:p>
        </w:tc>
        <w:tc>
          <w:tcPr>
            <w:tcW w:type="dxa" w:w="72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467,4</w:t>
            </w:r>
          </w:p>
        </w:tc>
        <w:tc>
          <w:tcPr>
            <w:tcW w:type="dxa" w:w="72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1,241</w:t>
            </w:r>
          </w:p>
        </w:tc>
        <w:tc>
          <w:tcPr>
            <w:tcW w:type="dxa" w:w="72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0,997</w:t>
            </w:r>
          </w:p>
        </w:tc>
        <w:tc>
          <w:tcPr>
            <w:tcW w:type="dxa" w:w="72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498,1</w:t>
            </w:r>
          </w:p>
        </w:tc>
        <w:tc>
          <w:tcPr>
            <w:tcW w:type="dxa" w:w="72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1,165</w:t>
            </w:r>
          </w:p>
        </w:tc>
        <w:tc>
          <w:tcPr>
            <w:tcW w:type="dxa" w:w="72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0,888</w:t>
            </w:r>
          </w:p>
        </w:tc>
        <w:tc>
          <w:tcPr>
            <w:tcW w:type="dxa" w:w="72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b/>
                <w:sz w:val="17"/>
              </w:rPr>
              <w:t>Alerta Primaria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A02828"/>
                <w:sz w:val="17"/>
              </w:rPr>
              <w:t>112101</w:t>
            </w:r>
          </w:p>
        </w:tc>
        <w:tc>
          <w:tcPr>
            <w:tcW w:type="dxa" w:w="72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b/>
                <w:sz w:val="17"/>
              </w:rPr>
              <w:t>Hospital Dr. Luis Tisné B.</w:t>
            </w:r>
          </w:p>
        </w:tc>
        <w:tc>
          <w:tcPr>
            <w:tcW w:type="dxa" w:w="72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502</w:t>
            </w:r>
          </w:p>
        </w:tc>
        <w:tc>
          <w:tcPr>
            <w:tcW w:type="dxa" w:w="72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407,3</w:t>
            </w:r>
          </w:p>
        </w:tc>
        <w:tc>
          <w:tcPr>
            <w:tcW w:type="dxa" w:w="72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b/>
                <w:sz w:val="17"/>
              </w:rPr>
              <w:t>1,233</w:t>
            </w:r>
          </w:p>
        </w:tc>
        <w:tc>
          <w:tcPr>
            <w:tcW w:type="dxa" w:w="72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b/>
                <w:sz w:val="17"/>
              </w:rPr>
              <w:t>0,990</w:t>
            </w:r>
          </w:p>
        </w:tc>
        <w:tc>
          <w:tcPr>
            <w:tcW w:type="dxa" w:w="72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382,2</w:t>
            </w:r>
          </w:p>
        </w:tc>
        <w:tc>
          <w:tcPr>
            <w:tcW w:type="dxa" w:w="72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1,313</w:t>
            </w:r>
          </w:p>
        </w:tc>
        <w:tc>
          <w:tcPr>
            <w:tcW w:type="dxa" w:w="72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1,000</w:t>
            </w:r>
          </w:p>
        </w:tc>
        <w:tc>
          <w:tcPr>
            <w:tcW w:type="dxa" w:w="72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381,3</w:t>
            </w:r>
          </w:p>
        </w:tc>
        <w:tc>
          <w:tcPr>
            <w:tcW w:type="dxa" w:w="72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1,316</w:t>
            </w:r>
          </w:p>
        </w:tc>
        <w:tc>
          <w:tcPr>
            <w:tcW w:type="dxa" w:w="72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1,000</w:t>
            </w:r>
          </w:p>
        </w:tc>
        <w:tc>
          <w:tcPr>
            <w:tcW w:type="dxa" w:w="72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b/>
                <w:sz w:val="17"/>
              </w:rPr>
              <w:t>ALERTA ROBUSTA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A02828"/>
                <w:sz w:val="17"/>
              </w:rPr>
              <w:t>109100</w:t>
            </w:r>
          </w:p>
        </w:tc>
        <w:tc>
          <w:tcPr>
            <w:tcW w:type="dxa" w:w="72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b/>
                <w:sz w:val="17"/>
              </w:rPr>
              <w:t>Complejo Hospitalario San José</w:t>
            </w:r>
          </w:p>
        </w:tc>
        <w:tc>
          <w:tcPr>
            <w:tcW w:type="dxa" w:w="72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815</w:t>
            </w:r>
          </w:p>
        </w:tc>
        <w:tc>
          <w:tcPr>
            <w:tcW w:type="dxa" w:w="72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683,5</w:t>
            </w:r>
          </w:p>
        </w:tc>
        <w:tc>
          <w:tcPr>
            <w:tcW w:type="dxa" w:w="72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b/>
                <w:sz w:val="17"/>
              </w:rPr>
              <w:t>1,192</w:t>
            </w:r>
          </w:p>
        </w:tc>
        <w:tc>
          <w:tcPr>
            <w:tcW w:type="dxa" w:w="72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b/>
                <w:sz w:val="17"/>
              </w:rPr>
              <w:t>0,984</w:t>
            </w:r>
          </w:p>
        </w:tc>
        <w:tc>
          <w:tcPr>
            <w:tcW w:type="dxa" w:w="72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685,8</w:t>
            </w:r>
          </w:p>
        </w:tc>
        <w:tc>
          <w:tcPr>
            <w:tcW w:type="dxa" w:w="72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1,188</w:t>
            </w:r>
          </w:p>
        </w:tc>
        <w:tc>
          <w:tcPr>
            <w:tcW w:type="dxa" w:w="72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0,981</w:t>
            </w:r>
          </w:p>
        </w:tc>
        <w:tc>
          <w:tcPr>
            <w:tcW w:type="dxa" w:w="72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724,5</w:t>
            </w:r>
          </w:p>
        </w:tc>
        <w:tc>
          <w:tcPr>
            <w:tcW w:type="dxa" w:w="72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1,125</w:t>
            </w:r>
          </w:p>
        </w:tc>
        <w:tc>
          <w:tcPr>
            <w:tcW w:type="dxa" w:w="72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0,700</w:t>
            </w:r>
          </w:p>
        </w:tc>
        <w:tc>
          <w:tcPr>
            <w:tcW w:type="dxa" w:w="72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b/>
                <w:sz w:val="17"/>
              </w:rPr>
              <w:t>Alerta Primaria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A02828"/>
                <w:sz w:val="17"/>
              </w:rPr>
              <w:t>112103</w:t>
            </w:r>
          </w:p>
        </w:tc>
        <w:tc>
          <w:tcPr>
            <w:tcW w:type="dxa" w:w="72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i/>
                <w:sz w:val="17"/>
              </w:rPr>
              <w:t>Instituto Nacional del Tórax (Monográfico)</w:t>
            </w:r>
          </w:p>
        </w:tc>
        <w:tc>
          <w:tcPr>
            <w:tcW w:type="dxa" w:w="72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157</w:t>
            </w:r>
          </w:p>
        </w:tc>
        <w:tc>
          <w:tcPr>
            <w:tcW w:type="dxa" w:w="72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109,8</w:t>
            </w:r>
          </w:p>
        </w:tc>
        <w:tc>
          <w:tcPr>
            <w:tcW w:type="dxa" w:w="72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b/>
                <w:sz w:val="17"/>
              </w:rPr>
              <w:t>1,429</w:t>
            </w:r>
          </w:p>
        </w:tc>
        <w:tc>
          <w:tcPr>
            <w:tcW w:type="dxa" w:w="72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b/>
                <w:sz w:val="17"/>
              </w:rPr>
              <w:t>0,997</w:t>
            </w:r>
          </w:p>
        </w:tc>
        <w:tc>
          <w:tcPr>
            <w:tcW w:type="dxa" w:w="72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79,8</w:t>
            </w:r>
          </w:p>
        </w:tc>
        <w:tc>
          <w:tcPr>
            <w:tcW w:type="dxa" w:w="72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1,968</w:t>
            </w:r>
          </w:p>
        </w:tc>
        <w:tc>
          <w:tcPr>
            <w:tcW w:type="dxa" w:w="72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1,000</w:t>
            </w:r>
          </w:p>
        </w:tc>
        <w:tc>
          <w:tcPr>
            <w:tcW w:type="dxa" w:w="72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70,5</w:t>
            </w:r>
          </w:p>
        </w:tc>
        <w:tc>
          <w:tcPr>
            <w:tcW w:type="dxa" w:w="72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2,226</w:t>
            </w:r>
          </w:p>
        </w:tc>
        <w:tc>
          <w:tcPr>
            <w:tcW w:type="dxa" w:w="72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1,000</w:t>
            </w:r>
          </w:p>
        </w:tc>
        <w:tc>
          <w:tcPr>
            <w:tcW w:type="dxa" w:w="72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i/>
                <w:sz w:val="17"/>
              </w:rPr>
              <w:t>Alerta Robusta Monog.</w:t>
            </w:r>
          </w:p>
        </w:tc>
      </w:tr>
    </w:tbl>
    <w:p>
      <w:pPr>
        <w:spacing w:before="40"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00" w:type="dxa"/>
              <w:bottom w:w="100" w:type="dxa"/>
              <w:left w:w="180" w:type="dxa"/>
              <w:right w:w="140" w:type="dxa"/>
            </w:tcMar>
            <w:tcBorders>
              <w:top w:val="none" w:sz="4" w:space="0" w:color="auto"/>
              <w:left w:val="single" w:sz="24" w:space="0" w:color="0284C7"/>
              <w:bottom w:val="none" w:sz="4" w:space="0" w:color="auto"/>
              <w:right w:val="none" w:sz="4" w:space="0" w:color="auto"/>
            </w:tcBorders>
          </w:tcPr>
          <w:p>
            <w:pPr>
              <w:spacing w:after="40" w:line="276" w:lineRule="auto"/>
            </w:pPr>
            <w:r>
              <w:rPr>
                <w:b/>
              </w:rPr>
              <w:t>Nota de Conciliación de Cifras:</w:t>
            </w:r>
          </w:p>
          <w:p>
            <w:pPr>
              <w:spacing w:after="40" w:line="276" w:lineRule="auto"/>
            </w:pPr>
            <w:r>
              <w:rPr>
                <w:i/>
              </w:rPr>
              <w:t xml:space="preserve"> </w:t>
            </w:r>
            <w:r>
              <w:rPr>
                <w:i/>
              </w:rPr>
              <w:t>Temuco (`121109`) y Carlos Van Buren (`106100`):</w:t>
            </w:r>
            <w:r>
              <w:t>* Ambos presentan $E_{</w:t>
              <w:tab/>
              <w:t>ext{prim}} = 451,4$ en la tabla debido a una coincidencia de redondeo a 1 decimal: Van Buren es $E = \mathbf{451,4214}$, mientras que Temuco es $E = \mathbf{451,3872}$.</w:t>
            </w:r>
          </w:p>
          <w:p>
            <w:pPr>
              <w:spacing w:after="40" w:line="276" w:lineRule="auto"/>
            </w:pPr>
            <w:r>
              <w:rPr>
                <w:i/>
              </w:rPr>
              <w:t xml:space="preserve"> </w:t>
            </w:r>
            <w:r>
              <w:rPr>
                <w:i/>
              </w:rPr>
              <w:t>Del Salvador (`112100`):</w:t>
            </w:r>
            <w:r>
              <w:t>* En el modelo canonical M2+CAP registra $O = 542, E_{</w:t>
              <w:tab/>
              <w:t>ext{prim}} = \mathbf{490,73} \implies O/E = \mathbf{1,1045}$ con $P_{</w:t>
              <w:tab/>
              <w:t>ext{prim}} = \mathbf{0,479}$. En M2 Base registra $E = 577,54 \implies O/E = 0,938$ ($P = 0,000$), y en M3-Total $E = 483,43 \implies O/E = 1,121$ ($P = 0,619$).</w:t>
            </w:r>
          </w:p>
        </w:tc>
      </w:tr>
    </w:tbl>
    <w:p>
      <w:pPr>
        <w:spacing w:before="0" w:after="80"/>
      </w:pPr>
    </w:p>
    <w:p>
      <w:pPr>
        <w:keepNext/>
        <w:spacing w:before="200" w:after="80"/>
      </w:pPr>
      <w:r>
        <w:rPr>
          <w:rFonts w:ascii="Calibri" w:hAnsi="Calibri"/>
          <w:b/>
          <w:color w:val="0369A1"/>
          <w:sz w:val="24"/>
        </w:rPr>
        <w:t>2.3 Casos de Divergencia Extrema: Mecanismos Clínicos y Codificación</w:t>
      </w:r>
    </w:p>
    <w:p>
      <w:pPr>
        <w:keepNext/>
        <w:spacing w:before="160" w:after="60"/>
      </w:pPr>
      <w:r>
        <w:rPr>
          <w:rFonts w:ascii="Calibri" w:hAnsi="Calibri"/>
          <w:b/>
          <w:color w:val="334155"/>
          <w:sz w:val="22"/>
        </w:rPr>
        <w:t>1. Hospital San Martín / Hospital Biprovincial Quillota-Petorca (`107101`)</w:t>
      </w:r>
    </w:p>
    <w:p>
      <w:pPr>
        <w:pStyle w:val="ListBullet"/>
        <w:spacing w:after="40" w:line="276" w:lineRule="auto"/>
      </w:pPr>
      <w:r>
        <w:rPr>
          <w:b/>
        </w:rPr>
        <w:t>Comportamiento en Modelos:</w:t>
      </w:r>
      <w:r>
        <w:t xml:space="preserve"> En M2+CAP registra $O/E = \mathbf{1,365}$ ($P = 1,000$, Alerta Primaria), mientras que en M3-Total cae a $O/E = \mathbf{0,872}$ ($P = 0,000$), una divergencia extrema de </w:t>
      </w:r>
      <w:r>
        <w:rPr>
          <w:b/>
        </w:rPr>
        <w:t>$-0,49$</w:t>
      </w:r>
      <w:r>
        <w:t>.</w:t>
      </w:r>
    </w:p>
    <w:p>
      <w:pPr>
        <w:pStyle w:val="ListBullet"/>
        <w:spacing w:after="40" w:line="276" w:lineRule="auto"/>
      </w:pPr>
      <w:r>
        <w:rPr>
          <w:b/>
        </w:rPr>
        <w:t>Aritmética y Razón de Codificación:</w:t>
      </w:r>
      <w:r>
        <w:t xml:space="preserve"> Quillota pasó de promediar </w:t>
      </w:r>
      <w:r>
        <w:rPr>
          <w:b/>
        </w:rPr>
        <w:t>3,181</w:t>
      </w:r>
      <w:r>
        <w:t xml:space="preserve"> diagnósticos secundarios en la cohorte histórica de desarrollo (2020–2022) a </w:t>
      </w:r>
      <w:r>
        <w:rPr>
          <w:b/>
        </w:rPr>
        <w:t>4,763</w:t>
      </w:r>
      <w:r>
        <w:t xml:space="preserve"> en 2023. La razón de codificación es exactamente:</w:t>
      </w:r>
    </w:p>
    <w:p>
      <w:pPr>
        <w:spacing w:after="100" w:line="276" w:lineRule="auto"/>
      </w:pPr>
      <w:r>
        <w:t>$$</w:t>
      </w:r>
    </w:p>
    <w:p>
      <w:pPr>
        <w:spacing w:after="100" w:line="276" w:lineRule="auto"/>
      </w:pPr>
      <w:r>
        <w:t>rac{4,763}{3,181} = \mathbf{1,497 pprox 1,50} \quad (+49,7\% pprox \mathbf{+50\%})$$</w:t>
      </w:r>
    </w:p>
    <w:p>
      <w:pPr>
        <w:spacing w:after="100" w:line="276" w:lineRule="auto"/>
      </w:pPr>
      <w:r>
        <w:rPr>
          <w:i/>
        </w:rPr>
        <w:t>(Se rectifica el valor $+44\%$ reportado en borradores previos).</w:t>
      </w:r>
    </w:p>
    <w:p>
      <w:pPr>
        <w:pStyle w:val="ListBullet"/>
        <w:spacing w:after="40" w:line="276" w:lineRule="auto"/>
      </w:pPr>
      <w:r>
        <w:rPr>
          <w:b/>
        </w:rPr>
        <w:t>Retracción Explícita:</w:t>
      </w:r>
      <w:r>
        <w:t xml:space="preserve"> Se </w:t>
      </w:r>
      <w:r>
        <w:rPr>
          <w:b/>
        </w:rPr>
        <w:t>retira formal y explícitamente</w:t>
      </w:r>
      <w:r>
        <w:t xml:space="preserve"> la explicación preliminar que sugería un "colapso del registro a 1,9 diagnósticos contra 3,0 de la red". Dicha afirmación provenía de una corrida sobre una partición transitoria no consolidada. La serie temporal depurada demuestra inequívocamente lo opuesto: una expansión acelerada del registro secundario (2019: 2,55 $</w:t>
        <w:tab/>
        <w:t>o$ 2020: 3,03 $</w:t>
        <w:tab/>
        <w:t>o$ 2021: 2,82 $</w:t>
        <w:tab/>
        <w:t>o$ 2022: 3,46 $</w:t>
        <w:tab/>
        <w:t>o$ 2023: 4,76 $</w:t>
        <w:tab/>
        <w:t>o$ 2024: 5,43; $+113\%$ global).</w:t>
      </w:r>
    </w:p>
    <w:p>
      <w:pPr>
        <w:pStyle w:val="ListBullet"/>
        <w:spacing w:after="40" w:line="276" w:lineRule="auto"/>
      </w:pPr>
      <w:r>
        <w:rPr>
          <w:b/>
        </w:rPr>
        <w:t>Apertura Institucional y Clasificación Técnica:</w:t>
      </w:r>
      <w:r>
        <w:t xml:space="preserve"> En </w:t>
      </w:r>
      <w:r>
        <w:rPr>
          <w:b/>
        </w:rPr>
        <w:t>octubre de 2022</w:t>
      </w:r>
      <w:r>
        <w:t xml:space="preserve"> concluyó el traslado definitivo de todos los pacientes hospitalizados y unidades críticas desde el antiguo Hospital San Martín al nuevo </w:t>
      </w:r>
      <w:r>
        <w:rPr>
          <w:b/>
        </w:rPr>
        <w:t>Hospital Biprovincial Quillota-Petorca</w:t>
      </w:r>
      <w:r>
        <w:t xml:space="preserve">, manteniendo el código Fonasa </w:t>
      </w:r>
      <w:r>
        <w:rPr>
          <w:rFonts w:ascii="Consolas" w:hAnsi="Consolas"/>
          <w:color w:val="A02828"/>
          <w:sz w:val="19"/>
        </w:rPr>
        <w:t>107101</w:t>
      </w:r>
      <w:r>
        <w:t xml:space="preserve">. El salto de codificación en 2023 coincide de forma directa con la puesta en marcha del nuevo recinto, la adopción de una ficha clínica electrónica moderna y una mayor exhaustividad en el registro médico al egreso. Debido a esta reconfiguración de infraestructura y procesos, Quillota se clasifica formalmente como </w:t>
      </w:r>
      <w:r>
        <w:rPr>
          <w:b/>
        </w:rPr>
        <w:t>"En Transición Institucional"</w:t>
      </w:r>
      <w:r>
        <w:t>.</w:t>
      </w:r>
    </w:p>
    <w:p>
      <w:pPr>
        <w:keepNext/>
        <w:spacing w:before="160" w:after="60"/>
      </w:pPr>
      <w:r>
        <w:rPr>
          <w:rFonts w:ascii="Calibri" w:hAnsi="Calibri"/>
          <w:b/>
          <w:color w:val="334155"/>
          <w:sz w:val="22"/>
        </w:rPr>
        <w:t>2. Hospital Dr. Eduardo Pereira Ramírez (`106102`)</w:t>
      </w:r>
    </w:p>
    <w:p>
      <w:pPr>
        <w:pStyle w:val="ListBullet"/>
        <w:spacing w:after="40" w:line="276" w:lineRule="auto"/>
      </w:pPr>
      <w:r>
        <w:rPr>
          <w:b/>
        </w:rPr>
        <w:t>Comportamiento en Modelos:</w:t>
      </w:r>
      <w:r>
        <w:t xml:space="preserve"> En M2+CAP registra $O = 148, E_{</w:t>
        <w:tab/>
        <w:t>ext{prim}} = 176,52 \implies O/E = \mathbf{0,8384}$ ($P = 0,0005$, Desempeño Promedio Favorable). En M3-Total, en cambio, salta bruscamente a $E_{</w:t>
        <w:tab/>
        <w:t>ext{m3}} = 100,1 \implies O/E = \mathbf{1,478^*}$ ($P = 0,999$, Alerta Dependiente de Codificación Aguda).</w:t>
      </w:r>
    </w:p>
    <w:p>
      <w:pPr>
        <w:pStyle w:val="ListBullet"/>
        <w:spacing w:after="40" w:line="276" w:lineRule="auto"/>
      </w:pPr>
      <w:r>
        <w:rPr>
          <w:b/>
        </w:rPr>
        <w:t>Mecanismo Operacional y Codificación:</w:t>
      </w:r>
      <w:r>
        <w:t xml:space="preserve"> Pereira es formalmente un </w:t>
      </w:r>
      <w:r>
        <w:rPr>
          <w:b/>
        </w:rPr>
        <w:t>hospital de agudos generales</w:t>
      </w:r>
      <w:r>
        <w:t xml:space="preserve"> (</w:t>
      </w:r>
      <w:r>
        <w:rPr>
          <w:rFonts w:ascii="Consolas" w:hAnsi="Consolas"/>
          <w:color w:val="A02828"/>
          <w:sz w:val="19"/>
        </w:rPr>
        <w:t>es_monografico == 'NO'</w:t>
      </w:r>
      <w:r>
        <w:t>), con 30,3% de ingresos cardiovasculares/respiratorios y 21,8% digestivos. En la cohorte de desarrollo registraba una atípica intensidad diagnóstica histórica (</w:t>
      </w:r>
      <w:r>
        <w:rPr>
          <w:b/>
        </w:rPr>
        <w:t>7,592</w:t>
      </w:r>
      <w:r>
        <w:t xml:space="preserve"> diagnósticos promedio). En 2023, su codificación descendió a </w:t>
      </w:r>
      <w:r>
        <w:rPr>
          <w:b/>
        </w:rPr>
        <w:t>6,043</w:t>
      </w:r>
      <w:r>
        <w:t xml:space="preserve"> diagnósticos.</w:t>
      </w:r>
    </w:p>
    <w:p>
      <w:pPr>
        <w:pStyle w:val="ListBullet"/>
        <w:spacing w:after="40" w:line="276" w:lineRule="auto"/>
      </w:pPr>
      <w:r>
        <w:rPr>
          <w:b/>
        </w:rPr>
        <w:t>Fórmula Canónica de $R_{</w:t>
        <w:tab/>
        <w:t>ext{dx}}$:</w:t>
      </w:r>
      <w:r>
        <w:t xml:space="preserve"> Para resolver cualquier ambigüedad técnica, se explicita que en la evaluación prospectiva 2023 de M3-Total, $R_{</w:t>
        <w:tab/>
        <w:t>ext{dx}}$ se calculó determinísticamente como:</w:t>
      </w:r>
    </w:p>
    <w:p>
      <w:pPr>
        <w:spacing w:after="100" w:line="276" w:lineRule="auto"/>
      </w:pPr>
      <w:r>
        <w:t>$$R_{</w:t>
        <w:tab/>
        <w:t>ext{dx}, ij} =</w:t>
      </w:r>
    </w:p>
    <w:p>
      <w:pPr>
        <w:spacing w:after="100" w:line="276" w:lineRule="auto"/>
      </w:pPr>
      <w:r>
        <w:t>rac{N_{</w:t>
        <w:tab/>
        <w:t>ext{dx}, ij}}{\overline{N}_{</w:t>
        <w:tab/>
        <w:t xml:space="preserve">ext{dx}, </w:t>
        <w:tab/>
        <w:t>ext{Dev}(j)}}$$</w:t>
      </w:r>
    </w:p>
    <w:p>
      <w:pPr>
        <w:spacing w:after="100" w:line="276" w:lineRule="auto"/>
      </w:pPr>
      <w:r>
        <w:t>donde $\overline{N}_{</w:t>
        <w:tab/>
        <w:t xml:space="preserve">ext{dx}, </w:t>
        <w:tab/>
        <w:t>ext{Dev}(j)}$ es la media histórica de desarrollo de cada hospital. Esta fue la formulación exacta que generó $</w:t>
      </w:r>
    </w:p>
    <w:p>
      <w:pPr>
        <w:spacing w:after="100" w:line="276" w:lineRule="auto"/>
      </w:pPr>
      <w:r>
        <w:t>ho(</w:t>
        <w:tab/>
        <w:t xml:space="preserve">ext{M2}, </w:t>
        <w:tab/>
        <w:t>ext{M3-Total}) = 0,7046 pprox 0,705$.</w:t>
      </w:r>
    </w:p>
    <w:p>
      <w:pPr>
        <w:spacing w:after="100" w:line="276" w:lineRule="auto"/>
      </w:pPr>
      <w:r>
        <w:t>Para Pereira, $R_{</w:t>
        <w:tab/>
        <w:t xml:space="preserve">ext{dx}} = 6,043 / 7,592 = \mathbf{0,796 pprox 0,80}$ ($-20,4\%$). Al codificar menos que su propia línea base, M3 le descontó $E$ de manera severa ($176,5 </w:t>
        <w:tab/>
        <w:t>o 100,1$), disparando espuriamente su ratio. La especificación primaria M2+CAP refleja su verdadero perfil de riesgo basal.</w:t>
      </w:r>
    </w:p>
    <w:p>
      <w:pPr>
        <w:keepNext/>
        <w:spacing w:before="160" w:after="60"/>
      </w:pPr>
      <w:r>
        <w:rPr>
          <w:rFonts w:ascii="Calibri" w:hAnsi="Calibri"/>
          <w:b/>
          <w:color w:val="334155"/>
          <w:sz w:val="22"/>
        </w:rPr>
        <w:t>3. Hospital de San Camilo (`108100`)</w:t>
      </w:r>
    </w:p>
    <w:p>
      <w:pPr>
        <w:pStyle w:val="ListBullet"/>
        <w:spacing w:after="40" w:line="276" w:lineRule="auto"/>
      </w:pPr>
      <w:r>
        <w:t xml:space="preserve">En M2 Base alertaba ($O/E = 1,292, P = 0,998$), pero en </w:t>
      </w:r>
      <w:r>
        <w:rPr>
          <w:b/>
        </w:rPr>
        <w:t>M2+CAP (Primaria)</w:t>
      </w:r>
      <w:r>
        <w:t xml:space="preserve"> su razón desciende a $O/E = \mathbf{1,174}$ con $P = \mathbf{0,848} &lt; 0,95$, quedando en </w:t>
      </w:r>
      <w:r>
        <w:rPr>
          <w:b/>
        </w:rPr>
        <w:t>Desempeño Promedio</w:t>
      </w:r>
      <w:r>
        <w:t>. En M3-Total registra $O/E = 1,197, P = 0,920 &lt; 0,95$. El ajuste por capítulo diagnóstico principal explica adecuadamente su case-mix.</w:t>
      </w:r>
    </w:p>
    <w:p>
      <w:pPr>
        <w:spacing w:before="160" w:after="160"/>
      </w:pPr>
      <w:r>
        <w:rPr>
          <w:b/>
          <w:color w:val="CBD5E1"/>
        </w:rPr>
        <w:t>———————————————————————————————————————————————————————</w:t>
      </w:r>
    </w:p>
    <w:p>
      <w:pPr>
        <w:keepNext/>
        <w:spacing w:before="280" w:after="120"/>
      </w:pPr>
      <w:r>
        <w:rPr>
          <w:rFonts w:ascii="Calibri" w:hAnsi="Calibri"/>
          <w:b/>
          <w:color w:val="1E3A8A"/>
          <w:sz w:val="28"/>
        </w:rPr>
        <w:t>3. Deriva de Codificación de la Red, Sensibilidad POA y Verificaciones Técnicas</w:t>
      </w:r>
    </w:p>
    <w:p>
      <w:pPr>
        <w:keepNext/>
        <w:spacing w:before="200" w:after="80"/>
      </w:pPr>
      <w:r>
        <w:rPr>
          <w:rFonts w:ascii="Calibri" w:hAnsi="Calibri"/>
          <w:b/>
          <w:color w:val="0369A1"/>
          <w:sz w:val="24"/>
        </w:rPr>
        <w:t>3.1 Deriva Temporal de Diagnósticos Secundarios en la Red Hospitalaria (2019–2024)</w:t>
      </w:r>
    </w:p>
    <w:p>
      <w:pPr>
        <w:spacing w:after="100" w:line="276" w:lineRule="auto"/>
      </w:pPr>
      <w:r>
        <w:t>La intensidad de codificación secundaria de la red pública experimentó un crecimiento secular sostenido a lo largo del período evaluado: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rPr>
          <w:cantSplit/>
          <w:tblHeader/>
        </w:trPr>
        <w:tc>
          <w:tcPr>
            <w:tcW w:type="dxa" w:w="10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1E3A8A"/>
            <w:tcBorders>
              <w:top w:val="single" w:sz="6" w:space="0" w:color="1E3A8A"/>
              <w:left w:val="single" w:sz="4" w:space="0" w:color="CBD5E1"/>
              <w:bottom w:val="single" w:sz="12" w:space="0" w:color="1E3A8A"/>
              <w:right w:val="single" w:sz="4" w:space="0" w:color="CBD5E1"/>
            </w:tcBorders>
          </w:tcPr>
          <w:p>
            <w:pPr>
              <w:spacing w:before="20" w:after="20" w:line="252" w:lineRule="auto"/>
            </w:pPr>
            <w:r>
              <w:rPr>
                <w:b/>
                <w:color w:val="FFFFFF"/>
                <w:sz w:val="18"/>
              </w:rPr>
              <w:t>Año</w:t>
            </w:r>
          </w:p>
        </w:tc>
        <w:tc>
          <w:tcPr>
            <w:tcW w:type="dxa" w:w="10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1E3A8A"/>
            <w:tcBorders>
              <w:top w:val="single" w:sz="6" w:space="0" w:color="1E3A8A"/>
              <w:left w:val="single" w:sz="4" w:space="0" w:color="CBD5E1"/>
              <w:bottom w:val="single" w:sz="12" w:space="0" w:color="1E3A8A"/>
              <w:right w:val="single" w:sz="4" w:space="0" w:color="CBD5E1"/>
            </w:tcBorders>
          </w:tcPr>
          <w:p>
            <w:pPr>
              <w:spacing w:before="20" w:after="20" w:line="252" w:lineRule="auto"/>
            </w:pPr>
            <w:r>
              <w:rPr>
                <w:b/>
                <w:color w:val="FFFFFF"/>
                <w:sz w:val="18"/>
              </w:rPr>
              <w:t>Total Hospitalizaciones Red</w:t>
            </w:r>
          </w:p>
        </w:tc>
        <w:tc>
          <w:tcPr>
            <w:tcW w:type="dxa" w:w="10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1E3A8A"/>
            <w:tcBorders>
              <w:top w:val="single" w:sz="6" w:space="0" w:color="1E3A8A"/>
              <w:left w:val="single" w:sz="4" w:space="0" w:color="CBD5E1"/>
              <w:bottom w:val="single" w:sz="12" w:space="0" w:color="1E3A8A"/>
              <w:right w:val="single" w:sz="4" w:space="0" w:color="CBD5E1"/>
            </w:tcBorders>
          </w:tcPr>
          <w:p>
            <w:pPr>
              <w:spacing w:before="20" w:after="20" w:line="252" w:lineRule="auto"/>
            </w:pPr>
            <w:r>
              <w:rPr>
                <w:b/>
                <w:color w:val="FFFFFF"/>
                <w:sz w:val="18"/>
              </w:rPr>
              <w:t>$N_{</w:t>
              <w:tab/>
              <w:t>ext{dx}}$ Medio Red</w:t>
            </w:r>
          </w:p>
        </w:tc>
        <w:tc>
          <w:tcPr>
            <w:tcW w:type="dxa" w:w="10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1E3A8A"/>
            <w:tcBorders>
              <w:top w:val="single" w:sz="6" w:space="0" w:color="1E3A8A"/>
              <w:left w:val="single" w:sz="4" w:space="0" w:color="CBD5E1"/>
              <w:bottom w:val="single" w:sz="12" w:space="0" w:color="1E3A8A"/>
              <w:right w:val="single" w:sz="4" w:space="0" w:color="CBD5E1"/>
            </w:tcBorders>
          </w:tcPr>
          <w:p>
            <w:pPr>
              <w:spacing w:before="20" w:after="20" w:line="252" w:lineRule="auto"/>
            </w:pPr>
            <w:r>
              <w:rPr>
                <w:b/>
                <w:color w:val="FFFFFF"/>
                <w:sz w:val="18"/>
              </w:rPr>
              <w:t>Mediana Red</w:t>
            </w:r>
          </w:p>
        </w:tc>
        <w:tc>
          <w:tcPr>
            <w:tcW w:type="dxa" w:w="10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1E3A8A"/>
            <w:tcBorders>
              <w:top w:val="single" w:sz="6" w:space="0" w:color="1E3A8A"/>
              <w:left w:val="single" w:sz="4" w:space="0" w:color="CBD5E1"/>
              <w:bottom w:val="single" w:sz="12" w:space="0" w:color="1E3A8A"/>
              <w:right w:val="single" w:sz="4" w:space="0" w:color="CBD5E1"/>
            </w:tcBorders>
          </w:tcPr>
          <w:p>
            <w:pPr>
              <w:spacing w:before="20" w:after="20" w:line="252" w:lineRule="auto"/>
            </w:pPr>
            <w:r>
              <w:rPr>
                <w:b/>
                <w:color w:val="FFFFFF"/>
                <w:sz w:val="18"/>
              </w:rPr>
              <w:t>$\% \ge 11$ Dx Red</w:t>
            </w:r>
          </w:p>
        </w:tc>
        <w:tc>
          <w:tcPr>
            <w:tcW w:type="dxa" w:w="10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1E3A8A"/>
            <w:tcBorders>
              <w:top w:val="single" w:sz="6" w:space="0" w:color="1E3A8A"/>
              <w:left w:val="single" w:sz="4" w:space="0" w:color="CBD5E1"/>
              <w:bottom w:val="single" w:sz="12" w:space="0" w:color="1E3A8A"/>
              <w:right w:val="single" w:sz="4" w:space="0" w:color="CBD5E1"/>
            </w:tcBorders>
          </w:tcPr>
          <w:p>
            <w:pPr>
              <w:spacing w:before="20" w:after="20" w:line="252" w:lineRule="auto"/>
            </w:pPr>
            <w:r>
              <w:rPr>
                <w:b/>
                <w:color w:val="FFFFFF"/>
                <w:sz w:val="18"/>
              </w:rPr>
              <w:t>Cohorte Evaluable Adultos</w:t>
            </w:r>
          </w:p>
        </w:tc>
        <w:tc>
          <w:tcPr>
            <w:tcW w:type="dxa" w:w="10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1E3A8A"/>
            <w:tcBorders>
              <w:top w:val="single" w:sz="6" w:space="0" w:color="1E3A8A"/>
              <w:left w:val="single" w:sz="4" w:space="0" w:color="CBD5E1"/>
              <w:bottom w:val="single" w:sz="12" w:space="0" w:color="1E3A8A"/>
              <w:right w:val="single" w:sz="4" w:space="0" w:color="CBD5E1"/>
            </w:tcBorders>
          </w:tcPr>
          <w:p>
            <w:pPr>
              <w:spacing w:before="20" w:after="20" w:line="252" w:lineRule="auto"/>
            </w:pPr>
            <w:r>
              <w:rPr>
                <w:b/>
                <w:color w:val="FFFFFF"/>
                <w:sz w:val="18"/>
              </w:rPr>
              <w:t>$N_{</w:t>
              <w:tab/>
              <w:t>ext{dx}}$ Medio Adultos</w:t>
            </w:r>
          </w:p>
        </w:tc>
        <w:tc>
          <w:tcPr>
            <w:tcW w:type="dxa" w:w="10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1E3A8A"/>
            <w:tcBorders>
              <w:top w:val="single" w:sz="6" w:space="0" w:color="1E3A8A"/>
              <w:left w:val="single" w:sz="4" w:space="0" w:color="CBD5E1"/>
              <w:bottom w:val="single" w:sz="12" w:space="0" w:color="1E3A8A"/>
              <w:right w:val="single" w:sz="4" w:space="0" w:color="CBD5E1"/>
            </w:tcBorders>
          </w:tcPr>
          <w:p>
            <w:pPr>
              <w:spacing w:before="20" w:after="20" w:line="252" w:lineRule="auto"/>
            </w:pPr>
            <w:r>
              <w:rPr>
                <w:b/>
                <w:color w:val="FFFFFF"/>
                <w:sz w:val="18"/>
              </w:rPr>
              <w:t>Mediana Adultos</w:t>
            </w:r>
          </w:p>
        </w:tc>
        <w:tc>
          <w:tcPr>
            <w:tcW w:type="dxa" w:w="10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1E3A8A"/>
            <w:tcBorders>
              <w:top w:val="single" w:sz="6" w:space="0" w:color="1E3A8A"/>
              <w:left w:val="single" w:sz="4" w:space="0" w:color="CBD5E1"/>
              <w:bottom w:val="single" w:sz="12" w:space="0" w:color="1E3A8A"/>
              <w:right w:val="single" w:sz="4" w:space="0" w:color="CBD5E1"/>
            </w:tcBorders>
          </w:tcPr>
          <w:p>
            <w:pPr>
              <w:spacing w:before="20" w:after="20" w:line="252" w:lineRule="auto"/>
            </w:pPr>
            <w:r>
              <w:rPr>
                <w:b/>
                <w:color w:val="FFFFFF"/>
                <w:sz w:val="18"/>
              </w:rPr>
              <w:t>$\% \ge 11$ Dx Adultos</w:t>
            </w:r>
          </w:p>
        </w:tc>
      </w:tr>
      <w:tr>
        <w:trPr>
          <w:cantSplit/>
        </w:trPr>
        <w:tc>
          <w:tcPr>
            <w:tcW w:type="dxa" w:w="10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b/>
                <w:sz w:val="17"/>
              </w:rPr>
              <w:t>2019</w:t>
            </w:r>
          </w:p>
        </w:tc>
        <w:tc>
          <w:tcPr>
            <w:tcW w:type="dxa" w:w="10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886.627</w:t>
            </w:r>
          </w:p>
        </w:tc>
        <w:tc>
          <w:tcPr>
            <w:tcW w:type="dxa" w:w="10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b/>
                <w:sz w:val="17"/>
              </w:rPr>
              <w:t>3,803</w:t>
            </w:r>
          </w:p>
        </w:tc>
        <w:tc>
          <w:tcPr>
            <w:tcW w:type="dxa" w:w="10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3,0</w:t>
            </w:r>
          </w:p>
        </w:tc>
        <w:tc>
          <w:tcPr>
            <w:tcW w:type="dxa" w:w="10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4,84%</w:t>
            </w:r>
          </w:p>
        </w:tc>
        <w:tc>
          <w:tcPr>
            <w:tcW w:type="dxa" w:w="10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567.976</w:t>
            </w:r>
          </w:p>
        </w:tc>
        <w:tc>
          <w:tcPr>
            <w:tcW w:type="dxa" w:w="10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b/>
                <w:sz w:val="17"/>
              </w:rPr>
              <w:t>4,077</w:t>
            </w:r>
          </w:p>
        </w:tc>
        <w:tc>
          <w:tcPr>
            <w:tcW w:type="dxa" w:w="10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3,0</w:t>
            </w:r>
          </w:p>
        </w:tc>
        <w:tc>
          <w:tcPr>
            <w:tcW w:type="dxa" w:w="10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6,13%</w:t>
            </w:r>
          </w:p>
        </w:tc>
      </w:tr>
      <w:tr>
        <w:trPr>
          <w:cantSplit/>
        </w:trPr>
        <w:tc>
          <w:tcPr>
            <w:tcW w:type="dxa" w:w="10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b/>
                <w:sz w:val="17"/>
              </w:rPr>
              <w:t>2020</w:t>
            </w:r>
          </w:p>
        </w:tc>
        <w:tc>
          <w:tcPr>
            <w:tcW w:type="dxa" w:w="10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702.275</w:t>
            </w:r>
          </w:p>
        </w:tc>
        <w:tc>
          <w:tcPr>
            <w:tcW w:type="dxa" w:w="10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b/>
                <w:sz w:val="17"/>
              </w:rPr>
              <w:t>4,521</w:t>
            </w:r>
          </w:p>
        </w:tc>
        <w:tc>
          <w:tcPr>
            <w:tcW w:type="dxa" w:w="10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4,0</w:t>
            </w:r>
          </w:p>
        </w:tc>
        <w:tc>
          <w:tcPr>
            <w:tcW w:type="dxa" w:w="10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7,80%</w:t>
            </w:r>
          </w:p>
        </w:tc>
        <w:tc>
          <w:tcPr>
            <w:tcW w:type="dxa" w:w="10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463.714</w:t>
            </w:r>
          </w:p>
        </w:tc>
        <w:tc>
          <w:tcPr>
            <w:tcW w:type="dxa" w:w="10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b/>
                <w:sz w:val="17"/>
              </w:rPr>
              <w:t>4,844</w:t>
            </w:r>
          </w:p>
        </w:tc>
        <w:tc>
          <w:tcPr>
            <w:tcW w:type="dxa" w:w="10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4,0</w:t>
            </w:r>
          </w:p>
        </w:tc>
        <w:tc>
          <w:tcPr>
            <w:tcW w:type="dxa" w:w="10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9,70%</w:t>
            </w:r>
          </w:p>
        </w:tc>
      </w:tr>
      <w:tr>
        <w:trPr>
          <w:cantSplit/>
        </w:trPr>
        <w:tc>
          <w:tcPr>
            <w:tcW w:type="dxa" w:w="10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b/>
                <w:sz w:val="17"/>
              </w:rPr>
              <w:t>2021</w:t>
            </w:r>
          </w:p>
        </w:tc>
        <w:tc>
          <w:tcPr>
            <w:tcW w:type="dxa" w:w="10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713.978</w:t>
            </w:r>
          </w:p>
        </w:tc>
        <w:tc>
          <w:tcPr>
            <w:tcW w:type="dxa" w:w="10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b/>
                <w:sz w:val="17"/>
              </w:rPr>
              <w:t>4,979</w:t>
            </w:r>
          </w:p>
        </w:tc>
        <w:tc>
          <w:tcPr>
            <w:tcW w:type="dxa" w:w="10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4,0</w:t>
            </w:r>
          </w:p>
        </w:tc>
        <w:tc>
          <w:tcPr>
            <w:tcW w:type="dxa" w:w="10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10,02%</w:t>
            </w:r>
          </w:p>
        </w:tc>
        <w:tc>
          <w:tcPr>
            <w:tcW w:type="dxa" w:w="10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481.925</w:t>
            </w:r>
          </w:p>
        </w:tc>
        <w:tc>
          <w:tcPr>
            <w:tcW w:type="dxa" w:w="10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b/>
                <w:sz w:val="17"/>
              </w:rPr>
              <w:t>5,374</w:t>
            </w:r>
          </w:p>
        </w:tc>
        <w:tc>
          <w:tcPr>
            <w:tcW w:type="dxa" w:w="10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4,0</w:t>
            </w:r>
          </w:p>
        </w:tc>
        <w:tc>
          <w:tcPr>
            <w:tcW w:type="dxa" w:w="10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12,37%</w:t>
            </w:r>
          </w:p>
        </w:tc>
      </w:tr>
      <w:tr>
        <w:trPr>
          <w:cantSplit/>
        </w:trPr>
        <w:tc>
          <w:tcPr>
            <w:tcW w:type="dxa" w:w="10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b/>
                <w:sz w:val="17"/>
              </w:rPr>
              <w:t>2022</w:t>
            </w:r>
          </w:p>
        </w:tc>
        <w:tc>
          <w:tcPr>
            <w:tcW w:type="dxa" w:w="10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778.073</w:t>
            </w:r>
          </w:p>
        </w:tc>
        <w:tc>
          <w:tcPr>
            <w:tcW w:type="dxa" w:w="10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b/>
                <w:sz w:val="17"/>
              </w:rPr>
              <w:t>4,937</w:t>
            </w:r>
          </w:p>
        </w:tc>
        <w:tc>
          <w:tcPr>
            <w:tcW w:type="dxa" w:w="10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4,0</w:t>
            </w:r>
          </w:p>
        </w:tc>
        <w:tc>
          <w:tcPr>
            <w:tcW w:type="dxa" w:w="10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9,64%</w:t>
            </w:r>
          </w:p>
        </w:tc>
        <w:tc>
          <w:tcPr>
            <w:tcW w:type="dxa" w:w="10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507.502</w:t>
            </w:r>
          </w:p>
        </w:tc>
        <w:tc>
          <w:tcPr>
            <w:tcW w:type="dxa" w:w="10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b/>
                <w:sz w:val="17"/>
              </w:rPr>
              <w:t>5,334</w:t>
            </w:r>
          </w:p>
        </w:tc>
        <w:tc>
          <w:tcPr>
            <w:tcW w:type="dxa" w:w="10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4,0</w:t>
            </w:r>
          </w:p>
        </w:tc>
        <w:tc>
          <w:tcPr>
            <w:tcW w:type="dxa" w:w="10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12,08%</w:t>
            </w:r>
          </w:p>
        </w:tc>
      </w:tr>
      <w:tr>
        <w:trPr>
          <w:cantSplit/>
        </w:trPr>
        <w:tc>
          <w:tcPr>
            <w:tcW w:type="dxa" w:w="10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b/>
                <w:sz w:val="17"/>
              </w:rPr>
              <w:t>2023</w:t>
            </w:r>
          </w:p>
        </w:tc>
        <w:tc>
          <w:tcPr>
            <w:tcW w:type="dxa" w:w="10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846.043</w:t>
            </w:r>
          </w:p>
        </w:tc>
        <w:tc>
          <w:tcPr>
            <w:tcW w:type="dxa" w:w="10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b/>
                <w:sz w:val="17"/>
              </w:rPr>
              <w:t>5,147</w:t>
            </w:r>
          </w:p>
        </w:tc>
        <w:tc>
          <w:tcPr>
            <w:tcW w:type="dxa" w:w="10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4,0</w:t>
            </w:r>
          </w:p>
        </w:tc>
        <w:tc>
          <w:tcPr>
            <w:tcW w:type="dxa" w:w="10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10,57%</w:t>
            </w:r>
          </w:p>
        </w:tc>
        <w:tc>
          <w:tcPr>
            <w:tcW w:type="dxa" w:w="10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557.318</w:t>
            </w:r>
          </w:p>
        </w:tc>
        <w:tc>
          <w:tcPr>
            <w:tcW w:type="dxa" w:w="10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b/>
                <w:sz w:val="17"/>
              </w:rPr>
              <w:t>5,557</w:t>
            </w:r>
          </w:p>
        </w:tc>
        <w:tc>
          <w:tcPr>
            <w:tcW w:type="dxa" w:w="10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4,0</w:t>
            </w:r>
          </w:p>
        </w:tc>
        <w:tc>
          <w:tcPr>
            <w:tcW w:type="dxa" w:w="10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13,08%</w:t>
            </w:r>
          </w:p>
        </w:tc>
      </w:tr>
      <w:tr>
        <w:trPr>
          <w:cantSplit/>
        </w:trPr>
        <w:tc>
          <w:tcPr>
            <w:tcW w:type="dxa" w:w="10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b/>
                <w:sz w:val="17"/>
              </w:rPr>
              <w:t>2024</w:t>
            </w:r>
          </w:p>
        </w:tc>
        <w:tc>
          <w:tcPr>
            <w:tcW w:type="dxa" w:w="10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873.772</w:t>
            </w:r>
          </w:p>
        </w:tc>
        <w:tc>
          <w:tcPr>
            <w:tcW w:type="dxa" w:w="10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b/>
                <w:sz w:val="17"/>
              </w:rPr>
              <w:t>5,501</w:t>
            </w:r>
          </w:p>
        </w:tc>
        <w:tc>
          <w:tcPr>
            <w:tcW w:type="dxa" w:w="10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4,0</w:t>
            </w:r>
          </w:p>
        </w:tc>
        <w:tc>
          <w:tcPr>
            <w:tcW w:type="dxa" w:w="10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12,28%</w:t>
            </w:r>
          </w:p>
        </w:tc>
        <w:tc>
          <w:tcPr>
            <w:tcW w:type="dxa" w:w="10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594.628</w:t>
            </w:r>
          </w:p>
        </w:tc>
        <w:tc>
          <w:tcPr>
            <w:tcW w:type="dxa" w:w="10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b/>
                <w:sz w:val="17"/>
              </w:rPr>
              <w:t>5,877</w:t>
            </w:r>
          </w:p>
        </w:tc>
        <w:tc>
          <w:tcPr>
            <w:tcW w:type="dxa" w:w="10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5,0</w:t>
            </w:r>
          </w:p>
        </w:tc>
        <w:tc>
          <w:tcPr>
            <w:tcW w:type="dxa" w:w="10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14,62%</w:t>
            </w:r>
          </w:p>
        </w:tc>
      </w:tr>
    </w:tbl>
    <w:p>
      <w:pPr>
        <w:spacing w:before="40" w:after="120"/>
      </w:pPr>
    </w:p>
    <w:p>
      <w:pPr>
        <w:spacing w:after="100" w:line="276" w:lineRule="auto"/>
      </w:pPr>
      <w:r>
        <w:rPr>
          <w:i/>
        </w:rPr>
        <w:t>Tendencia Secular:</w:t>
      </w:r>
      <w:r>
        <w:t xml:space="preserve"> El promedio de diagnósticos secundarios aumentó en </w:t>
      </w:r>
      <w:r>
        <w:rPr>
          <w:b/>
        </w:rPr>
        <w:t>+44,2%</w:t>
      </w:r>
      <w:r>
        <w:t xml:space="preserve"> entre 2019 y 2024 en la cohorte evaluable de adultos, reflejando una tecnificación y digitalización progresiva de los sistemas de registro clínico hospitalario en Chile.</w:t>
      </w:r>
    </w:p>
    <w:p>
      <w:pPr>
        <w:keepNext/>
        <w:spacing w:before="200" w:after="80"/>
      </w:pPr>
      <w:r>
        <w:rPr>
          <w:rFonts w:ascii="Calibri" w:hAnsi="Calibri"/>
          <w:b/>
          <w:color w:val="0369A1"/>
          <w:sz w:val="24"/>
        </w:rPr>
        <w:t>3.2 Independencia entre Desempeño Primario ($O/E_{</w:t>
        <w:tab/>
        <w:t>ext{M2+CAP}}$) y Deriva de Codificación Hospitalaria</w:t>
      </w:r>
    </w:p>
    <w:p>
      <w:pPr>
        <w:spacing w:after="100" w:line="276" w:lineRule="auto"/>
      </w:pPr>
      <w:r>
        <w:t>Para verificar si los hospitales con mayor crecimiento relativo en codificación se ven artificialmente favorecidos en su $O/E$ bajo M2+CAP, se calculó la correlación a nivel de establecimiento entre el $O/E$ primario y el cambio de codificación respecto a la línea base de desarrollo:</w:t>
      </w:r>
    </w:p>
    <w:p>
      <w:pPr>
        <w:pStyle w:val="ListBullet"/>
        <w:spacing w:after="40" w:line="276" w:lineRule="auto"/>
      </w:pPr>
      <w:r>
        <w:rPr>
          <w:b/>
        </w:rPr>
        <w:t>Correlación vs $\Delta N_{</w:t>
        <w:tab/>
        <w:t xml:space="preserve">ext{dx}} (2023 - </w:t>
        <w:tab/>
        <w:t>ext{Dev})$:</w:t>
      </w:r>
    </w:p>
    <w:p>
      <w:pPr>
        <w:pStyle w:val="ListBullet"/>
        <w:spacing w:after="40" w:line="276" w:lineRule="auto"/>
      </w:pPr>
      <w:r>
        <w:t>Spearman: **$</w:t>
      </w:r>
    </w:p>
    <w:p>
      <w:pPr>
        <w:spacing w:after="100" w:line="276" w:lineRule="auto"/>
      </w:pPr>
      <w:r>
        <w:t>ho = +0,0981$ ($p = 0,4559$, no significativo)**.</w:t>
      </w:r>
    </w:p>
    <w:p>
      <w:pPr>
        <w:pStyle w:val="ListBullet"/>
        <w:spacing w:after="40" w:line="276" w:lineRule="auto"/>
      </w:pPr>
      <w:r>
        <w:t xml:space="preserve">Pearson: </w:t>
      </w:r>
      <w:r>
        <w:rPr>
          <w:b/>
        </w:rPr>
        <w:t>$r = +0,1085$ ($p = 0,4095$, no significativo)</w:t>
      </w:r>
      <w:r>
        <w:t>.</w:t>
      </w:r>
    </w:p>
    <w:p>
      <w:pPr>
        <w:pStyle w:val="ListBullet"/>
        <w:spacing w:after="40" w:line="276" w:lineRule="auto"/>
      </w:pPr>
      <w:r>
        <w:rPr>
          <w:b/>
        </w:rPr>
        <w:t>Correlación vs Razón de Codificación $(N_{</w:t>
        <w:tab/>
        <w:t>ext{dx}, 2023} / \overline{N}_{</w:t>
        <w:tab/>
        <w:t xml:space="preserve">ext{dx}, </w:t>
        <w:tab/>
        <w:t>ext{Dev}})$:</w:t>
      </w:r>
    </w:p>
    <w:p>
      <w:pPr>
        <w:pStyle w:val="ListBullet"/>
        <w:spacing w:after="40" w:line="276" w:lineRule="auto"/>
      </w:pPr>
      <w:r>
        <w:t>Spearman: **$</w:t>
      </w:r>
    </w:p>
    <w:p>
      <w:pPr>
        <w:spacing w:after="100" w:line="276" w:lineRule="auto"/>
      </w:pPr>
      <w:r>
        <w:t>ho = +0,1126$ ($p = 0,3915$, no significativo)**.</w:t>
      </w:r>
    </w:p>
    <w:p>
      <w:pPr>
        <w:pStyle w:val="ListBullet"/>
        <w:spacing w:after="40" w:line="276" w:lineRule="auto"/>
      </w:pPr>
      <w:r>
        <w:t xml:space="preserve">Pearson: </w:t>
      </w:r>
      <w:r>
        <w:rPr>
          <w:b/>
        </w:rPr>
        <w:t>$r = +0,1109$ ($p = 0,3990$, no significativo)</w:t>
      </w:r>
      <w:r>
        <w:t>.</w:t>
      </w:r>
    </w:p>
    <w:p>
      <w:pPr>
        <w:spacing w:after="100" w:line="276" w:lineRule="auto"/>
      </w:pPr>
      <w:r>
        <w:rPr>
          <w:b/>
        </w:rPr>
        <w:t>Conclusión:</w:t>
      </w:r>
      <w:r>
        <w:t xml:space="preserve"> No existe ninguna correlación negativa ni asociación estadísticamente significativa entre el cambio en la intensidad de codificación diagnóstica y el desempeño en mortalidad ajustada. El modelo M2+CAP es inmune al sesgo por deriva de codificación.</w:t>
      </w:r>
    </w:p>
    <w:p>
      <w:pPr>
        <w:keepNext/>
        <w:spacing w:before="200" w:after="80"/>
      </w:pPr>
      <w:r>
        <w:rPr>
          <w:rFonts w:ascii="Calibri" w:hAnsi="Calibri"/>
          <w:b/>
          <w:color w:val="0369A1"/>
          <w:sz w:val="24"/>
        </w:rPr>
        <w:t>3.3 Sensibilidad a la Supresión de Complicaciones Agudas (Proxy POA Longitudinal a Nivel de Código)</w:t>
      </w:r>
    </w:p>
    <w:p>
      <w:pPr>
        <w:spacing w:after="100" w:line="276" w:lineRule="auto"/>
      </w:pPr>
      <w:r>
        <w:t xml:space="preserve">Dado que sólo el </w:t>
      </w:r>
      <w:r>
        <w:rPr>
          <w:b/>
        </w:rPr>
        <w:t>29,78%</w:t>
      </w:r>
      <w:r>
        <w:t xml:space="preserve"> de los pacientes evaluables de 2023 contaban con una hospitalización previa en los 12 meses anteriores (lo que generaría un 70,2% de datos faltantes si el ajuste comórbido se restringiera únicamente a ingresos pasados), se evaluó el modelo mediante </w:t>
      </w:r>
      <w:r>
        <w:rPr>
          <w:b/>
        </w:rPr>
        <w:t>supresión estricta a nivel de código CIE-10 de condiciones agudas hospitalarias</w:t>
      </w:r>
      <w:r>
        <w:t>:</w:t>
      </w:r>
    </w:p>
    <w:p>
      <w:pPr>
        <w:pStyle w:val="ListNumber"/>
        <w:spacing w:after="40" w:line="276" w:lineRule="auto"/>
      </w:pPr>
      <w:r>
        <w:rPr>
          <w:b/>
        </w:rPr>
        <w:t>ELIX_04 (Circulación Pulmonar):</w:t>
      </w:r>
      <w:r>
        <w:t xml:space="preserve"> Supresión del código agudo $I26$ (tromboembolismo pulmonar, 5.088 episodios en 2023), reteniendo exclusivamente hipertensión pulmonar crónica y afecciones cardiopulmonares preexistentes ($I27, I28$).</w:t>
      </w:r>
    </w:p>
    <w:p>
      <w:pPr>
        <w:pStyle w:val="ListNumber"/>
        <w:spacing w:after="40" w:line="276" w:lineRule="auto"/>
      </w:pPr>
      <w:r>
        <w:rPr>
          <w:b/>
        </w:rPr>
        <w:t>ELIX_09 (Trastornos Neurológicos):</w:t>
      </w:r>
      <w:r>
        <w:t xml:space="preserve"> Supresión de los códigos agudos $G93.4$ (encefalopatía no especificada, 1.304 episodios) y $R56$ (convulsiones agudas, 4.691 episodios), reteniendo exclusivamente patología neurológica crónica ($G10-G13, G20-G22, G35-G37, G40-G41$, etc.).</w:t>
      </w:r>
    </w:p>
    <w:p>
      <w:pPr>
        <w:pStyle w:val="ListNumber"/>
        <w:spacing w:after="40" w:line="276" w:lineRule="auto"/>
      </w:pPr>
      <w:r>
        <w:rPr>
          <w:b/>
        </w:rPr>
        <w:t>ELIX_14 (Falla Renal):</w:t>
      </w:r>
      <w:r>
        <w:t xml:space="preserve"> Se ratifica que Quan 2005 excluye taxativamente la falla renal aguda ($N17$), limitándose a enfermedad renal crónica ($N18, N19$).</w:t>
      </w:r>
    </w:p>
    <w:p>
      <w:pPr>
        <w:pStyle w:val="ListNumber"/>
        <w:spacing w:after="40" w:line="276" w:lineRule="auto"/>
      </w:pPr>
      <w:r>
        <w:rPr>
          <w:b/>
        </w:rPr>
        <w:t>Variante POA-26 (Sensibilidad Estricta):</w:t>
      </w:r>
      <w:r>
        <w:t xml:space="preserve"> Exclusión adicional de las 5 categorías potencialmente contaminables por estancia declaradas en la Fase 1 (</w:t>
      </w:r>
      <w:r>
        <w:rPr>
          <w:rFonts w:ascii="Consolas" w:hAnsi="Consolas"/>
          <w:color w:val="A02828"/>
          <w:sz w:val="19"/>
        </w:rPr>
        <w:t>ELIX_02</w:t>
      </w:r>
      <w:r>
        <w:t xml:space="preserve"> arritmias, </w:t>
      </w:r>
      <w:r>
        <w:rPr>
          <w:rFonts w:ascii="Consolas" w:hAnsi="Consolas"/>
          <w:color w:val="A02828"/>
          <w:sz w:val="19"/>
        </w:rPr>
        <w:t>ELIX_22</w:t>
      </w:r>
      <w:r>
        <w:t xml:space="preserve"> coagulopatía, </w:t>
      </w:r>
      <w:r>
        <w:rPr>
          <w:rFonts w:ascii="Consolas" w:hAnsi="Consolas"/>
          <w:color w:val="A02828"/>
          <w:sz w:val="19"/>
        </w:rPr>
        <w:t>ELIX_24</w:t>
      </w:r>
      <w:r>
        <w:t xml:space="preserve"> desnutrición, </w:t>
      </w:r>
      <w:r>
        <w:rPr>
          <w:rFonts w:ascii="Consolas" w:hAnsi="Consolas"/>
          <w:color w:val="A02828"/>
          <w:sz w:val="19"/>
        </w:rPr>
        <w:t>ELIX_25</w:t>
      </w:r>
      <w:r>
        <w:t xml:space="preserve"> electrolitos, </w:t>
      </w:r>
      <w:r>
        <w:rPr>
          <w:rFonts w:ascii="Consolas" w:hAnsi="Consolas"/>
          <w:color w:val="A02828"/>
          <w:sz w:val="19"/>
        </w:rPr>
        <w:t>ELIX_26</w:t>
      </w:r>
      <w:r>
        <w:t xml:space="preserve"> hemorragia aguda), dejando exactamente 26 categorías puramente crónicas.</w:t>
      </w:r>
    </w:p>
    <w:p>
      <w:pPr>
        <w:spacing w:after="100" w:line="276" w:lineRule="auto"/>
      </w:pPr>
      <w:r>
        <w:rPr>
          <w:b/>
        </w:rPr>
        <w:t>Resultados de la Sensibilidad POA:</w:t>
      </w:r>
    </w:p>
    <w:p>
      <w:pPr>
        <w:pStyle w:val="ListBullet"/>
        <w:spacing w:after="40" w:line="276" w:lineRule="auto"/>
      </w:pPr>
      <w:r>
        <w:rPr>
          <w:b/>
        </w:rPr>
        <w:t>Estabilidad Global de Rankings:</w:t>
      </w:r>
    </w:p>
    <w:p>
      <w:pPr>
        <w:pStyle w:val="ListBullet"/>
        <w:spacing w:after="40" w:line="276" w:lineRule="auto"/>
      </w:pPr>
      <w:r>
        <w:t>$</w:t>
      </w:r>
    </w:p>
    <w:p>
      <w:pPr>
        <w:spacing w:after="100" w:line="276" w:lineRule="auto"/>
      </w:pPr>
      <w:r>
        <w:t>ho(</w:t>
        <w:tab/>
        <w:t>ext{M2+CAP Primario, M2+CAP POA}) = \mathbf{0,99908}$</w:t>
      </w:r>
    </w:p>
    <w:p>
      <w:pPr>
        <w:pStyle w:val="ListBullet"/>
        <w:spacing w:after="40" w:line="276" w:lineRule="auto"/>
      </w:pPr>
      <w:r>
        <w:t>$</w:t>
      </w:r>
    </w:p>
    <w:p>
      <w:pPr>
        <w:spacing w:after="100" w:line="276" w:lineRule="auto"/>
      </w:pPr>
      <w:r>
        <w:t>ho(</w:t>
        <w:tab/>
        <w:t>ext{M2+CAP Primario, M2+CAP POA-26}) = \mathbf{0,99349}$</w:t>
      </w:r>
    </w:p>
    <w:p>
      <w:pPr>
        <w:pStyle w:val="ListBullet"/>
        <w:spacing w:after="40" w:line="276" w:lineRule="auto"/>
      </w:pPr>
      <w:r>
        <w:rPr>
          <w:b/>
        </w:rPr>
        <w:t>Evaluación del Hospital Dr. Eduardo Pereira (`106102`):</w:t>
      </w:r>
    </w:p>
    <w:p>
      <w:pPr>
        <w:pStyle w:val="ListBullet"/>
        <w:spacing w:after="40" w:line="276" w:lineRule="auto"/>
      </w:pPr>
      <w:r>
        <w:t>Primario M2+CAP: $E = 176,52$, $O/E = \mathbf{0,8384}$, $P(</w:t>
        <w:tab/>
        <w:t>heta &gt; 1,10) = \mathbf{0,0005}$</w:t>
      </w:r>
    </w:p>
    <w:p>
      <w:pPr>
        <w:pStyle w:val="ListBullet"/>
        <w:spacing w:after="40" w:line="276" w:lineRule="auto"/>
      </w:pPr>
      <w:r>
        <w:t>Sensibilidad POA: $E = 175,52$, $O/E = \mathbf{0,8432}$, $P(</w:t>
        <w:tab/>
        <w:t>heta &gt; 1,10) = \mathbf{0,0006}$</w:t>
      </w:r>
    </w:p>
    <w:p>
      <w:pPr>
        <w:pStyle w:val="ListBullet"/>
        <w:spacing w:after="40" w:line="276" w:lineRule="auto"/>
      </w:pPr>
      <w:r>
        <w:t>Sensibilidad POA-26: $E = 176,76$, $O/E = \mathbf{0,8373}$, $P(</w:t>
        <w:tab/>
        <w:t>heta &gt; 1,10) = \mathbf{0,0004}$</w:t>
      </w:r>
    </w:p>
    <w:p>
      <w:pPr>
        <w:pStyle w:val="ListBullet"/>
        <w:spacing w:after="40" w:line="276" w:lineRule="auto"/>
      </w:pPr>
      <w:r>
        <w:rPr>
          <w:i/>
        </w:rPr>
        <w:t>Hallazgo:</w:t>
      </w:r>
      <w:r>
        <w:t xml:space="preserve"> El bajo $O/E$ de Pereira </w:t>
      </w:r>
      <w:r>
        <w:rPr>
          <w:b/>
        </w:rPr>
        <w:t>no es producto de inflación comórbida aguda ni contaminación POA</w:t>
      </w:r>
      <w:r>
        <w:t>. Su volumen de muertes esperadas ($E pprox 176$) y su ratio ($O/E pprox 0,84$) permanecen absolutamente inalterados ante la supresión de diagnósticos agudos.</w:t>
      </w:r>
    </w:p>
    <w:p>
      <w:pPr>
        <w:pStyle w:val="ListBullet"/>
        <w:spacing w:after="40" w:line="276" w:lineRule="auto"/>
      </w:pPr>
      <w:r>
        <w:rPr>
          <w:b/>
        </w:rPr>
        <w:t>Estabilidad de las 10 Alertas Primarias: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rPr>
          <w:cantSplit/>
          <w:tblHeader/>
        </w:trPr>
        <w:tc>
          <w:tcPr>
            <w:tcW w:type="dxa" w:w="10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1E3A8A"/>
            <w:tcBorders>
              <w:top w:val="single" w:sz="6" w:space="0" w:color="1E3A8A"/>
              <w:left w:val="single" w:sz="4" w:space="0" w:color="CBD5E1"/>
              <w:bottom w:val="single" w:sz="12" w:space="0" w:color="1E3A8A"/>
              <w:right w:val="single" w:sz="4" w:space="0" w:color="CBD5E1"/>
            </w:tcBorders>
          </w:tcPr>
          <w:p>
            <w:pPr>
              <w:spacing w:before="20" w:after="20" w:line="252" w:lineRule="auto"/>
            </w:pPr>
            <w:r>
              <w:rPr>
                <w:b/>
                <w:color w:val="FFFFFF"/>
                <w:sz w:val="18"/>
              </w:rPr>
              <w:t>Código</w:t>
            </w:r>
          </w:p>
        </w:tc>
        <w:tc>
          <w:tcPr>
            <w:tcW w:type="dxa" w:w="10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1E3A8A"/>
            <w:tcBorders>
              <w:top w:val="single" w:sz="6" w:space="0" w:color="1E3A8A"/>
              <w:left w:val="single" w:sz="4" w:space="0" w:color="CBD5E1"/>
              <w:bottom w:val="single" w:sz="12" w:space="0" w:color="1E3A8A"/>
              <w:right w:val="single" w:sz="4" w:space="0" w:color="CBD5E1"/>
            </w:tcBorders>
          </w:tcPr>
          <w:p>
            <w:pPr>
              <w:spacing w:before="20" w:after="20" w:line="252" w:lineRule="auto"/>
            </w:pPr>
            <w:r>
              <w:rPr>
                <w:b/>
                <w:color w:val="FFFFFF"/>
                <w:sz w:val="18"/>
              </w:rPr>
              <w:t>Establecimiento</w:t>
            </w:r>
          </w:p>
        </w:tc>
        <w:tc>
          <w:tcPr>
            <w:tcW w:type="dxa" w:w="10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1E3A8A"/>
            <w:tcBorders>
              <w:top w:val="single" w:sz="6" w:space="0" w:color="1E3A8A"/>
              <w:left w:val="single" w:sz="4" w:space="0" w:color="CBD5E1"/>
              <w:bottom w:val="single" w:sz="12" w:space="0" w:color="1E3A8A"/>
              <w:right w:val="single" w:sz="4" w:space="0" w:color="CBD5E1"/>
            </w:tcBorders>
          </w:tcPr>
          <w:p>
            <w:pPr>
              <w:spacing w:before="20" w:after="20" w:line="252" w:lineRule="auto"/>
            </w:pPr>
            <w:r>
              <w:rPr>
                <w:b/>
                <w:color w:val="FFFFFF"/>
                <w:sz w:val="18"/>
              </w:rPr>
              <w:t>$O/E$ Primario</w:t>
            </w:r>
          </w:p>
        </w:tc>
        <w:tc>
          <w:tcPr>
            <w:tcW w:type="dxa" w:w="10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1E3A8A"/>
            <w:tcBorders>
              <w:top w:val="single" w:sz="6" w:space="0" w:color="1E3A8A"/>
              <w:left w:val="single" w:sz="4" w:space="0" w:color="CBD5E1"/>
              <w:bottom w:val="single" w:sz="12" w:space="0" w:color="1E3A8A"/>
              <w:right w:val="single" w:sz="4" w:space="0" w:color="CBD5E1"/>
            </w:tcBorders>
          </w:tcPr>
          <w:p>
            <w:pPr>
              <w:spacing w:before="20" w:after="20" w:line="252" w:lineRule="auto"/>
            </w:pPr>
            <w:r>
              <w:rPr>
                <w:b/>
                <w:color w:val="FFFFFF"/>
                <w:sz w:val="18"/>
              </w:rPr>
              <w:t>$P_{</w:t>
              <w:tab/>
              <w:t>ext{prim}}$</w:t>
            </w:r>
          </w:p>
        </w:tc>
        <w:tc>
          <w:tcPr>
            <w:tcW w:type="dxa" w:w="10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1E3A8A"/>
            <w:tcBorders>
              <w:top w:val="single" w:sz="6" w:space="0" w:color="1E3A8A"/>
              <w:left w:val="single" w:sz="4" w:space="0" w:color="CBD5E1"/>
              <w:bottom w:val="single" w:sz="12" w:space="0" w:color="1E3A8A"/>
              <w:right w:val="single" w:sz="4" w:space="0" w:color="CBD5E1"/>
            </w:tcBorders>
          </w:tcPr>
          <w:p>
            <w:pPr>
              <w:spacing w:before="20" w:after="20" w:line="252" w:lineRule="auto"/>
            </w:pPr>
            <w:r>
              <w:rPr>
                <w:b/>
                <w:color w:val="FFFFFF"/>
                <w:sz w:val="18"/>
              </w:rPr>
              <w:t>$O/E$ POA</w:t>
            </w:r>
          </w:p>
        </w:tc>
        <w:tc>
          <w:tcPr>
            <w:tcW w:type="dxa" w:w="10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1E3A8A"/>
            <w:tcBorders>
              <w:top w:val="single" w:sz="6" w:space="0" w:color="1E3A8A"/>
              <w:left w:val="single" w:sz="4" w:space="0" w:color="CBD5E1"/>
              <w:bottom w:val="single" w:sz="12" w:space="0" w:color="1E3A8A"/>
              <w:right w:val="single" w:sz="4" w:space="0" w:color="CBD5E1"/>
            </w:tcBorders>
          </w:tcPr>
          <w:p>
            <w:pPr>
              <w:spacing w:before="20" w:after="20" w:line="252" w:lineRule="auto"/>
            </w:pPr>
            <w:r>
              <w:rPr>
                <w:b/>
                <w:color w:val="FFFFFF"/>
                <w:sz w:val="18"/>
              </w:rPr>
              <w:t>$P_{</w:t>
              <w:tab/>
              <w:t>ext{poa}}$</w:t>
            </w:r>
          </w:p>
        </w:tc>
        <w:tc>
          <w:tcPr>
            <w:tcW w:type="dxa" w:w="10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1E3A8A"/>
            <w:tcBorders>
              <w:top w:val="single" w:sz="6" w:space="0" w:color="1E3A8A"/>
              <w:left w:val="single" w:sz="4" w:space="0" w:color="CBD5E1"/>
              <w:bottom w:val="single" w:sz="12" w:space="0" w:color="1E3A8A"/>
              <w:right w:val="single" w:sz="4" w:space="0" w:color="CBD5E1"/>
            </w:tcBorders>
          </w:tcPr>
          <w:p>
            <w:pPr>
              <w:spacing w:before="20" w:after="20" w:line="252" w:lineRule="auto"/>
            </w:pPr>
            <w:r>
              <w:rPr>
                <w:b/>
                <w:color w:val="FFFFFF"/>
                <w:sz w:val="18"/>
              </w:rPr>
              <w:t>$O/E$ POA-26</w:t>
            </w:r>
          </w:p>
        </w:tc>
        <w:tc>
          <w:tcPr>
            <w:tcW w:type="dxa" w:w="10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1E3A8A"/>
            <w:tcBorders>
              <w:top w:val="single" w:sz="6" w:space="0" w:color="1E3A8A"/>
              <w:left w:val="single" w:sz="4" w:space="0" w:color="CBD5E1"/>
              <w:bottom w:val="single" w:sz="12" w:space="0" w:color="1E3A8A"/>
              <w:right w:val="single" w:sz="4" w:space="0" w:color="CBD5E1"/>
            </w:tcBorders>
          </w:tcPr>
          <w:p>
            <w:pPr>
              <w:spacing w:before="20" w:after="20" w:line="252" w:lineRule="auto"/>
            </w:pPr>
            <w:r>
              <w:rPr>
                <w:b/>
                <w:color w:val="FFFFFF"/>
                <w:sz w:val="18"/>
              </w:rPr>
              <w:t>$P_{</w:t>
              <w:tab/>
              <w:t>ext{poa26}}$</w:t>
            </w:r>
          </w:p>
        </w:tc>
        <w:tc>
          <w:tcPr>
            <w:tcW w:type="dxa" w:w="10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1E3A8A"/>
            <w:tcBorders>
              <w:top w:val="single" w:sz="6" w:space="0" w:color="1E3A8A"/>
              <w:left w:val="single" w:sz="4" w:space="0" w:color="CBD5E1"/>
              <w:bottom w:val="single" w:sz="12" w:space="0" w:color="1E3A8A"/>
              <w:right w:val="single" w:sz="4" w:space="0" w:color="CBD5E1"/>
            </w:tcBorders>
          </w:tcPr>
          <w:p>
            <w:pPr>
              <w:spacing w:before="20" w:after="20" w:line="252" w:lineRule="auto"/>
            </w:pPr>
            <w:r>
              <w:rPr>
                <w:b/>
                <w:color w:val="FFFFFF"/>
                <w:sz w:val="18"/>
              </w:rPr>
              <w:t>Robustez POA</w:t>
            </w:r>
          </w:p>
        </w:tc>
      </w:tr>
      <w:tr>
        <w:trPr>
          <w:cantSplit/>
        </w:trPr>
        <w:tc>
          <w:tcPr>
            <w:tcW w:type="dxa" w:w="10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A02828"/>
                <w:sz w:val="17"/>
              </w:rPr>
              <w:t>113180</w:t>
            </w:r>
          </w:p>
        </w:tc>
        <w:tc>
          <w:tcPr>
            <w:tcW w:type="dxa" w:w="10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b/>
                <w:sz w:val="17"/>
              </w:rPr>
              <w:t>Hospital El Pino</w:t>
            </w:r>
          </w:p>
        </w:tc>
        <w:tc>
          <w:tcPr>
            <w:tcW w:type="dxa" w:w="10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1,646</w:t>
            </w:r>
          </w:p>
        </w:tc>
        <w:tc>
          <w:tcPr>
            <w:tcW w:type="dxa" w:w="10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1,000</w:t>
            </w:r>
          </w:p>
        </w:tc>
        <w:tc>
          <w:tcPr>
            <w:tcW w:type="dxa" w:w="10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1,651</w:t>
            </w:r>
          </w:p>
        </w:tc>
        <w:tc>
          <w:tcPr>
            <w:tcW w:type="dxa" w:w="10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1,000</w:t>
            </w:r>
          </w:p>
        </w:tc>
        <w:tc>
          <w:tcPr>
            <w:tcW w:type="dxa" w:w="10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1,681</w:t>
            </w:r>
          </w:p>
        </w:tc>
        <w:tc>
          <w:tcPr>
            <w:tcW w:type="dxa" w:w="10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1,000</w:t>
            </w:r>
          </w:p>
        </w:tc>
        <w:tc>
          <w:tcPr>
            <w:tcW w:type="dxa" w:w="10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b/>
                <w:sz w:val="17"/>
              </w:rPr>
              <w:t>100% Inmune</w:t>
            </w:r>
          </w:p>
        </w:tc>
      </w:tr>
      <w:tr>
        <w:trPr>
          <w:cantSplit/>
        </w:trPr>
        <w:tc>
          <w:tcPr>
            <w:tcW w:type="dxa" w:w="10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A02828"/>
                <w:sz w:val="17"/>
              </w:rPr>
              <w:t>111100</w:t>
            </w:r>
          </w:p>
        </w:tc>
        <w:tc>
          <w:tcPr>
            <w:tcW w:type="dxa" w:w="10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b/>
                <w:sz w:val="17"/>
              </w:rPr>
              <w:t>Hospital Clínico San Borja-Arriarán</w:t>
            </w:r>
          </w:p>
        </w:tc>
        <w:tc>
          <w:tcPr>
            <w:tcW w:type="dxa" w:w="10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1,432</w:t>
            </w:r>
          </w:p>
        </w:tc>
        <w:tc>
          <w:tcPr>
            <w:tcW w:type="dxa" w:w="10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0,996</w:t>
            </w:r>
          </w:p>
        </w:tc>
        <w:tc>
          <w:tcPr>
            <w:tcW w:type="dxa" w:w="10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1,452</w:t>
            </w:r>
          </w:p>
        </w:tc>
        <w:tc>
          <w:tcPr>
            <w:tcW w:type="dxa" w:w="10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0,998</w:t>
            </w:r>
          </w:p>
        </w:tc>
        <w:tc>
          <w:tcPr>
            <w:tcW w:type="dxa" w:w="10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1,514</w:t>
            </w:r>
          </w:p>
        </w:tc>
        <w:tc>
          <w:tcPr>
            <w:tcW w:type="dxa" w:w="10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1,000</w:t>
            </w:r>
          </w:p>
        </w:tc>
        <w:tc>
          <w:tcPr>
            <w:tcW w:type="dxa" w:w="10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b/>
                <w:sz w:val="17"/>
              </w:rPr>
              <w:t>100% Inmune</w:t>
            </w:r>
          </w:p>
        </w:tc>
      </w:tr>
      <w:tr>
        <w:trPr>
          <w:cantSplit/>
        </w:trPr>
        <w:tc>
          <w:tcPr>
            <w:tcW w:type="dxa" w:w="10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A02828"/>
                <w:sz w:val="17"/>
              </w:rPr>
              <w:t>106103</w:t>
            </w:r>
          </w:p>
        </w:tc>
        <w:tc>
          <w:tcPr>
            <w:tcW w:type="dxa" w:w="10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b/>
                <w:sz w:val="17"/>
              </w:rPr>
              <w:t>Hospital Claudio Vicuña (San Antonio)</w:t>
            </w:r>
          </w:p>
        </w:tc>
        <w:tc>
          <w:tcPr>
            <w:tcW w:type="dxa" w:w="10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1,381</w:t>
            </w:r>
          </w:p>
        </w:tc>
        <w:tc>
          <w:tcPr>
            <w:tcW w:type="dxa" w:w="10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1,000</w:t>
            </w:r>
          </w:p>
        </w:tc>
        <w:tc>
          <w:tcPr>
            <w:tcW w:type="dxa" w:w="10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1,382</w:t>
            </w:r>
          </w:p>
        </w:tc>
        <w:tc>
          <w:tcPr>
            <w:tcW w:type="dxa" w:w="10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1,000</w:t>
            </w:r>
          </w:p>
        </w:tc>
        <w:tc>
          <w:tcPr>
            <w:tcW w:type="dxa" w:w="10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1,350</w:t>
            </w:r>
          </w:p>
        </w:tc>
        <w:tc>
          <w:tcPr>
            <w:tcW w:type="dxa" w:w="10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1,000</w:t>
            </w:r>
          </w:p>
        </w:tc>
        <w:tc>
          <w:tcPr>
            <w:tcW w:type="dxa" w:w="10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b/>
                <w:sz w:val="17"/>
              </w:rPr>
              <w:t>100% Inmune</w:t>
            </w:r>
          </w:p>
        </w:tc>
      </w:tr>
      <w:tr>
        <w:trPr>
          <w:cantSplit/>
        </w:trPr>
        <w:tc>
          <w:tcPr>
            <w:tcW w:type="dxa" w:w="10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A02828"/>
                <w:sz w:val="17"/>
              </w:rPr>
              <w:t>113100</w:t>
            </w:r>
          </w:p>
        </w:tc>
        <w:tc>
          <w:tcPr>
            <w:tcW w:type="dxa" w:w="10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b/>
                <w:sz w:val="17"/>
              </w:rPr>
              <w:t>Hospital Barros Luco Trudeau</w:t>
            </w:r>
          </w:p>
        </w:tc>
        <w:tc>
          <w:tcPr>
            <w:tcW w:type="dxa" w:w="10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1,370</w:t>
            </w:r>
          </w:p>
        </w:tc>
        <w:tc>
          <w:tcPr>
            <w:tcW w:type="dxa" w:w="10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1,000</w:t>
            </w:r>
          </w:p>
        </w:tc>
        <w:tc>
          <w:tcPr>
            <w:tcW w:type="dxa" w:w="10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1,372</w:t>
            </w:r>
          </w:p>
        </w:tc>
        <w:tc>
          <w:tcPr>
            <w:tcW w:type="dxa" w:w="10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1,000</w:t>
            </w:r>
          </w:p>
        </w:tc>
        <w:tc>
          <w:tcPr>
            <w:tcW w:type="dxa" w:w="10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1,354</w:t>
            </w:r>
          </w:p>
        </w:tc>
        <w:tc>
          <w:tcPr>
            <w:tcW w:type="dxa" w:w="10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1,000</w:t>
            </w:r>
          </w:p>
        </w:tc>
        <w:tc>
          <w:tcPr>
            <w:tcW w:type="dxa" w:w="10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b/>
                <w:sz w:val="17"/>
              </w:rPr>
              <w:t>100% Inmune</w:t>
            </w:r>
          </w:p>
        </w:tc>
      </w:tr>
      <w:tr>
        <w:trPr>
          <w:cantSplit/>
        </w:trPr>
        <w:tc>
          <w:tcPr>
            <w:tcW w:type="dxa" w:w="10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A02828"/>
                <w:sz w:val="17"/>
              </w:rPr>
              <w:t>107101</w:t>
            </w:r>
          </w:p>
        </w:tc>
        <w:tc>
          <w:tcPr>
            <w:tcW w:type="dxa" w:w="10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b/>
                <w:sz w:val="17"/>
              </w:rPr>
              <w:t>Hospital San Martín (Quillota)</w:t>
            </w:r>
          </w:p>
        </w:tc>
        <w:tc>
          <w:tcPr>
            <w:tcW w:type="dxa" w:w="10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1,365</w:t>
            </w:r>
          </w:p>
        </w:tc>
        <w:tc>
          <w:tcPr>
            <w:tcW w:type="dxa" w:w="10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1,000</w:t>
            </w:r>
          </w:p>
        </w:tc>
        <w:tc>
          <w:tcPr>
            <w:tcW w:type="dxa" w:w="10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1,368</w:t>
            </w:r>
          </w:p>
        </w:tc>
        <w:tc>
          <w:tcPr>
            <w:tcW w:type="dxa" w:w="10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1,000</w:t>
            </w:r>
          </w:p>
        </w:tc>
        <w:tc>
          <w:tcPr>
            <w:tcW w:type="dxa" w:w="10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1,358</w:t>
            </w:r>
          </w:p>
        </w:tc>
        <w:tc>
          <w:tcPr>
            <w:tcW w:type="dxa" w:w="10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0,999</w:t>
            </w:r>
          </w:p>
        </w:tc>
        <w:tc>
          <w:tcPr>
            <w:tcW w:type="dxa" w:w="10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b/>
                <w:sz w:val="17"/>
              </w:rPr>
              <w:t>100% Inmune</w:t>
            </w:r>
          </w:p>
        </w:tc>
      </w:tr>
      <w:tr>
        <w:trPr>
          <w:cantSplit/>
        </w:trPr>
        <w:tc>
          <w:tcPr>
            <w:tcW w:type="dxa" w:w="10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A02828"/>
                <w:sz w:val="17"/>
              </w:rPr>
              <w:t>106100</w:t>
            </w:r>
          </w:p>
        </w:tc>
        <w:tc>
          <w:tcPr>
            <w:tcW w:type="dxa" w:w="10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b/>
                <w:sz w:val="17"/>
              </w:rPr>
              <w:t>Hospital Carlos Van Buren</w:t>
            </w:r>
          </w:p>
        </w:tc>
        <w:tc>
          <w:tcPr>
            <w:tcW w:type="dxa" w:w="10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1,334</w:t>
            </w:r>
          </w:p>
        </w:tc>
        <w:tc>
          <w:tcPr>
            <w:tcW w:type="dxa" w:w="10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1,000</w:t>
            </w:r>
          </w:p>
        </w:tc>
        <w:tc>
          <w:tcPr>
            <w:tcW w:type="dxa" w:w="10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1,325</w:t>
            </w:r>
          </w:p>
        </w:tc>
        <w:tc>
          <w:tcPr>
            <w:tcW w:type="dxa" w:w="10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1,000</w:t>
            </w:r>
          </w:p>
        </w:tc>
        <w:tc>
          <w:tcPr>
            <w:tcW w:type="dxa" w:w="10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1,305</w:t>
            </w:r>
          </w:p>
        </w:tc>
        <w:tc>
          <w:tcPr>
            <w:tcW w:type="dxa" w:w="10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1,000</w:t>
            </w:r>
          </w:p>
        </w:tc>
        <w:tc>
          <w:tcPr>
            <w:tcW w:type="dxa" w:w="10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b/>
                <w:sz w:val="17"/>
              </w:rPr>
              <w:t>100% Inmune</w:t>
            </w:r>
          </w:p>
        </w:tc>
      </w:tr>
      <w:tr>
        <w:trPr>
          <w:cantSplit/>
        </w:trPr>
        <w:tc>
          <w:tcPr>
            <w:tcW w:type="dxa" w:w="10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A02828"/>
                <w:sz w:val="17"/>
              </w:rPr>
              <w:t>103100</w:t>
            </w:r>
          </w:p>
        </w:tc>
        <w:tc>
          <w:tcPr>
            <w:tcW w:type="dxa" w:w="10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b/>
                <w:sz w:val="17"/>
              </w:rPr>
              <w:t>Hospital Dr. Leonardo Guzmán (Antofagasta)</w:t>
            </w:r>
          </w:p>
        </w:tc>
        <w:tc>
          <w:tcPr>
            <w:tcW w:type="dxa" w:w="10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1,332</w:t>
            </w:r>
          </w:p>
        </w:tc>
        <w:tc>
          <w:tcPr>
            <w:tcW w:type="dxa" w:w="10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1,000</w:t>
            </w:r>
          </w:p>
        </w:tc>
        <w:tc>
          <w:tcPr>
            <w:tcW w:type="dxa" w:w="10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1,325</w:t>
            </w:r>
          </w:p>
        </w:tc>
        <w:tc>
          <w:tcPr>
            <w:tcW w:type="dxa" w:w="10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1,000</w:t>
            </w:r>
          </w:p>
        </w:tc>
        <w:tc>
          <w:tcPr>
            <w:tcW w:type="dxa" w:w="10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1,305</w:t>
            </w:r>
          </w:p>
        </w:tc>
        <w:tc>
          <w:tcPr>
            <w:tcW w:type="dxa" w:w="10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1,000</w:t>
            </w:r>
          </w:p>
        </w:tc>
        <w:tc>
          <w:tcPr>
            <w:tcW w:type="dxa" w:w="10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b/>
                <w:sz w:val="17"/>
              </w:rPr>
              <w:t>100% Inmune</w:t>
            </w:r>
          </w:p>
        </w:tc>
      </w:tr>
      <w:tr>
        <w:trPr>
          <w:cantSplit/>
        </w:trPr>
        <w:tc>
          <w:tcPr>
            <w:tcW w:type="dxa" w:w="10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A02828"/>
                <w:sz w:val="17"/>
              </w:rPr>
              <w:t>121109</w:t>
            </w:r>
          </w:p>
        </w:tc>
        <w:tc>
          <w:tcPr>
            <w:tcW w:type="dxa" w:w="10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b/>
                <w:sz w:val="17"/>
              </w:rPr>
              <w:t>Hospital Dr. Hernán Henríquez (Temuco)</w:t>
            </w:r>
          </w:p>
        </w:tc>
        <w:tc>
          <w:tcPr>
            <w:tcW w:type="dxa" w:w="10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1,285</w:t>
            </w:r>
          </w:p>
        </w:tc>
        <w:tc>
          <w:tcPr>
            <w:tcW w:type="dxa" w:w="10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1,000</w:t>
            </w:r>
          </w:p>
        </w:tc>
        <w:tc>
          <w:tcPr>
            <w:tcW w:type="dxa" w:w="10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1,288</w:t>
            </w:r>
          </w:p>
        </w:tc>
        <w:tc>
          <w:tcPr>
            <w:tcW w:type="dxa" w:w="10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1,000</w:t>
            </w:r>
          </w:p>
        </w:tc>
        <w:tc>
          <w:tcPr>
            <w:tcW w:type="dxa" w:w="10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1,286</w:t>
            </w:r>
          </w:p>
        </w:tc>
        <w:tc>
          <w:tcPr>
            <w:tcW w:type="dxa" w:w="10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1,000</w:t>
            </w:r>
          </w:p>
        </w:tc>
        <w:tc>
          <w:tcPr>
            <w:tcW w:type="dxa" w:w="10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b/>
                <w:sz w:val="17"/>
              </w:rPr>
              <w:t>100% Inmune</w:t>
            </w:r>
          </w:p>
        </w:tc>
      </w:tr>
      <w:tr>
        <w:trPr>
          <w:cantSplit/>
        </w:trPr>
        <w:tc>
          <w:tcPr>
            <w:tcW w:type="dxa" w:w="10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A02828"/>
                <w:sz w:val="17"/>
              </w:rPr>
              <w:t>112101</w:t>
            </w:r>
          </w:p>
        </w:tc>
        <w:tc>
          <w:tcPr>
            <w:tcW w:type="dxa" w:w="10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b/>
                <w:sz w:val="17"/>
              </w:rPr>
              <w:t>Hospital Dr. Luis Tisné B.</w:t>
            </w:r>
          </w:p>
        </w:tc>
        <w:tc>
          <w:tcPr>
            <w:tcW w:type="dxa" w:w="10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1,233</w:t>
            </w:r>
          </w:p>
        </w:tc>
        <w:tc>
          <w:tcPr>
            <w:tcW w:type="dxa" w:w="10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0,990</w:t>
            </w:r>
          </w:p>
        </w:tc>
        <w:tc>
          <w:tcPr>
            <w:tcW w:type="dxa" w:w="10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1,238</w:t>
            </w:r>
          </w:p>
        </w:tc>
        <w:tc>
          <w:tcPr>
            <w:tcW w:type="dxa" w:w="10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0,992</w:t>
            </w:r>
          </w:p>
        </w:tc>
        <w:tc>
          <w:tcPr>
            <w:tcW w:type="dxa" w:w="10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1,235</w:t>
            </w:r>
          </w:p>
        </w:tc>
        <w:tc>
          <w:tcPr>
            <w:tcW w:type="dxa" w:w="10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0,991</w:t>
            </w:r>
          </w:p>
        </w:tc>
        <w:tc>
          <w:tcPr>
            <w:tcW w:type="dxa" w:w="10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b/>
                <w:sz w:val="17"/>
              </w:rPr>
              <w:t>100% Inmune</w:t>
            </w:r>
          </w:p>
        </w:tc>
      </w:tr>
      <w:tr>
        <w:trPr>
          <w:cantSplit/>
        </w:trPr>
        <w:tc>
          <w:tcPr>
            <w:tcW w:type="dxa" w:w="10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A02828"/>
                <w:sz w:val="17"/>
              </w:rPr>
              <w:t>109100</w:t>
            </w:r>
          </w:p>
        </w:tc>
        <w:tc>
          <w:tcPr>
            <w:tcW w:type="dxa" w:w="10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b/>
                <w:sz w:val="17"/>
              </w:rPr>
              <w:t>Complejo Hospitalario San José</w:t>
            </w:r>
          </w:p>
        </w:tc>
        <w:tc>
          <w:tcPr>
            <w:tcW w:type="dxa" w:w="10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1,192</w:t>
            </w:r>
          </w:p>
        </w:tc>
        <w:tc>
          <w:tcPr>
            <w:tcW w:type="dxa" w:w="10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0,984</w:t>
            </w:r>
          </w:p>
        </w:tc>
        <w:tc>
          <w:tcPr>
            <w:tcW w:type="dxa" w:w="10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1,206</w:t>
            </w:r>
          </w:p>
        </w:tc>
        <w:tc>
          <w:tcPr>
            <w:tcW w:type="dxa" w:w="10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0,993</w:t>
            </w:r>
          </w:p>
        </w:tc>
        <w:tc>
          <w:tcPr>
            <w:tcW w:type="dxa" w:w="10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1,191</w:t>
            </w:r>
          </w:p>
        </w:tc>
        <w:tc>
          <w:tcPr>
            <w:tcW w:type="dxa" w:w="10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0,983</w:t>
            </w:r>
          </w:p>
        </w:tc>
        <w:tc>
          <w:tcPr>
            <w:tcW w:type="dxa" w:w="10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b/>
                <w:sz w:val="17"/>
              </w:rPr>
              <w:t>100% Inmune</w:t>
            </w:r>
          </w:p>
        </w:tc>
      </w:tr>
      <w:tr>
        <w:trPr>
          <w:cantSplit/>
        </w:trPr>
        <w:tc>
          <w:tcPr>
            <w:tcW w:type="dxa" w:w="10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A02828"/>
                <w:sz w:val="17"/>
              </w:rPr>
              <w:t>112103</w:t>
            </w:r>
          </w:p>
        </w:tc>
        <w:tc>
          <w:tcPr>
            <w:tcW w:type="dxa" w:w="10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i/>
                <w:sz w:val="17"/>
              </w:rPr>
              <w:t>Instituto Nacional del Tórax</w:t>
            </w:r>
          </w:p>
        </w:tc>
        <w:tc>
          <w:tcPr>
            <w:tcW w:type="dxa" w:w="10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1,429</w:t>
            </w:r>
          </w:p>
        </w:tc>
        <w:tc>
          <w:tcPr>
            <w:tcW w:type="dxa" w:w="10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0,997</w:t>
            </w:r>
          </w:p>
        </w:tc>
        <w:tc>
          <w:tcPr>
            <w:tcW w:type="dxa" w:w="10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1,465</w:t>
            </w:r>
          </w:p>
        </w:tc>
        <w:tc>
          <w:tcPr>
            <w:tcW w:type="dxa" w:w="10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0,999</w:t>
            </w:r>
          </w:p>
        </w:tc>
        <w:tc>
          <w:tcPr>
            <w:tcW w:type="dxa" w:w="10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1,453</w:t>
            </w:r>
          </w:p>
        </w:tc>
        <w:tc>
          <w:tcPr>
            <w:tcW w:type="dxa" w:w="10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0,999</w:t>
            </w:r>
          </w:p>
        </w:tc>
        <w:tc>
          <w:tcPr>
            <w:tcW w:type="dxa" w:w="10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b/>
                <w:sz w:val="17"/>
              </w:rPr>
              <w:t>100% Inmune</w:t>
            </w:r>
          </w:p>
        </w:tc>
      </w:tr>
    </w:tbl>
    <w:p>
      <w:pPr>
        <w:spacing w:before="40" w:after="120"/>
      </w:pPr>
    </w:p>
    <w:p>
      <w:pPr>
        <w:keepNext/>
        <w:spacing w:before="200" w:after="80"/>
      </w:pPr>
      <w:r>
        <w:rPr>
          <w:rFonts w:ascii="Calibri" w:hAnsi="Calibri"/>
          <w:b/>
          <w:color w:val="0369A1"/>
          <w:sz w:val="24"/>
        </w:rPr>
        <w:t>3.4 Calibración Preingreso Multidimensional</w:t>
      </w:r>
    </w:p>
    <w:p>
      <w:pPr>
        <w:spacing w:after="100" w:line="276" w:lineRule="auto"/>
      </w:pPr>
      <w:r>
        <w:t>La especificación primaria M2+CAP cumple con holgura los márgenes pre-especificados de calibración previa al ingreso ($[0,80; 1,25]$ para todo estrato con $E \ge 100$):</w:t>
      </w:r>
    </w:p>
    <w:p>
      <w:pPr>
        <w:pStyle w:val="ListBullet"/>
        <w:spacing w:after="40" w:line="276" w:lineRule="auto"/>
      </w:pPr>
      <w:r>
        <w:rPr>
          <w:b/>
        </w:rPr>
        <w:t>Edad:</w:t>
      </w:r>
      <w:r>
        <w:t xml:space="preserve"> $&lt;65$ años ($1,061$), $65-74$ años ($0,971$), $\ge 75$ años ($0,977$).</w:t>
      </w:r>
    </w:p>
    <w:p>
      <w:pPr>
        <w:pStyle w:val="ListBullet"/>
        <w:spacing w:after="40" w:line="276" w:lineRule="auto"/>
      </w:pPr>
      <w:r>
        <w:rPr>
          <w:b/>
        </w:rPr>
        <w:t>Carga Crónica:</w:t>
      </w:r>
      <w:r>
        <w:t xml:space="preserve"> 0 comorb ($0,804$), 1 comorb ($0,989$), 2 comorb ($1,085$), $\ge 3$ comorb ($1,006$). El estrato de 0 comorbilidades se sitúa en $0,804$, en el límite inferior admisible.</w:t>
      </w:r>
    </w:p>
    <w:p>
      <w:pPr>
        <w:pStyle w:val="ListBullet"/>
        <w:spacing w:after="40" w:line="276" w:lineRule="auto"/>
      </w:pPr>
      <w:r>
        <w:rPr>
          <w:b/>
        </w:rPr>
        <w:t>Vía Ingreso:</w:t>
      </w:r>
      <w:r>
        <w:t xml:space="preserve"> Urgencia ($1,000$), Programada ($0,991$).</w:t>
      </w:r>
    </w:p>
    <w:p>
      <w:pPr>
        <w:pStyle w:val="ListBullet"/>
        <w:spacing w:after="40" w:line="276" w:lineRule="auto"/>
      </w:pPr>
      <w:r>
        <w:rPr>
          <w:b/>
        </w:rPr>
        <w:t>Capítulos Diagnósticos Principales:</w:t>
      </w:r>
      <w:r>
        <w:t xml:space="preserve"> Digestivo ($1,047$), Musculoesquelético ($0,932$), Circulatorio ($1,004$), Respiratorio ($1,008$), Sistema Nervioso ($0,979$), Nefrourológico ($0,982$).</w:t>
      </w:r>
    </w:p>
    <w:p>
      <w:pPr>
        <w:keepNext/>
        <w:spacing w:before="200" w:after="80"/>
      </w:pPr>
      <w:r>
        <w:rPr>
          <w:rFonts w:ascii="Calibri" w:hAnsi="Calibri"/>
          <w:b/>
          <w:color w:val="0369A1"/>
          <w:sz w:val="24"/>
        </w:rPr>
        <w:t>3.5 Verificación Real de LOHO y Concentración Diagnóstica</w:t>
      </w:r>
    </w:p>
    <w:p>
      <w:pPr>
        <w:spacing w:after="100" w:line="276" w:lineRule="auto"/>
      </w:pPr>
      <w:r>
        <w:t>Se ratifican las métricas out-of-sample del codificador Leave-One-Hospital-Out (LOHO) en la cohorte 2023 de estadía:</w:t>
      </w:r>
    </w:p>
    <w:p>
      <w:pPr>
        <w:pStyle w:val="ListBullet"/>
        <w:spacing w:after="40" w:line="276" w:lineRule="auto"/>
      </w:pPr>
      <w:r>
        <w:rPr>
          <w:b/>
        </w:rPr>
        <w:t>Concentración:</w:t>
      </w:r>
      <w:r>
        <w:t xml:space="preserve"> 144 categorías CIE-10 (9,9% de las 1.459 activas) tienen $&gt;50\%$ de sus casos concentrados en un solo hospital.</w:t>
      </w:r>
    </w:p>
    <w:p>
      <w:pPr>
        <w:pStyle w:val="ListBullet"/>
        <w:spacing w:after="40" w:line="276" w:lineRule="auto"/>
      </w:pPr>
      <w:r>
        <w:rPr>
          <w:b/>
        </w:rPr>
        <w:t>Máxima Discrepancia:</w:t>
      </w:r>
      <w:r>
        <w:t xml:space="preserve"> $|\Delta|_{</w:t>
        <w:tab/>
        <w:t>ext{máx}} = 0,5079$ log-días (CIE G47 en Puerto Montt; H36 con 96,0% en Los Ángeles, $|\Delta|=0,4395$; T29 quemaduras con 55,5% en Posta Central, $|\Delta|=0,4295$).</w:t>
      </w:r>
    </w:p>
    <w:p>
      <w:pPr>
        <w:pStyle w:val="ListBullet"/>
        <w:spacing w:after="40" w:line="276" w:lineRule="auto"/>
      </w:pPr>
      <w:r>
        <w:rPr>
          <w:b/>
        </w:rPr>
        <w:t>Impacto Institucional:</w:t>
      </w:r>
      <w:r>
        <w:t xml:space="preserve"> $</w:t>
      </w:r>
    </w:p>
    <w:p>
      <w:pPr>
        <w:spacing w:after="100" w:line="276" w:lineRule="auto"/>
      </w:pPr>
      <w:r>
        <w:t>ho = 0,99948$, $</w:t>
        <w:tab/>
        <w:t>ext{RMS} = 0,61$ puestos. El Instituto de Neurocirugía Dr. Asenjo (</w:t>
      </w:r>
      <w:r>
        <w:rPr>
          <w:rFonts w:ascii="Consolas" w:hAnsi="Consolas"/>
          <w:color w:val="A02828"/>
          <w:sz w:val="19"/>
        </w:rPr>
        <w:t>112104</w:t>
      </w:r>
      <w:r>
        <w:t>) presenta la mayor variación de la red ($-0,0294$ en $O/E$, de $0,8033$ a $0,7739$).</w:t>
      </w:r>
    </w:p>
    <w:p>
      <w:pPr>
        <w:keepNext/>
        <w:spacing w:before="200" w:after="80"/>
      </w:pPr>
      <w:r>
        <w:rPr>
          <w:rFonts w:ascii="Calibri" w:hAnsi="Calibri"/>
          <w:b/>
          <w:color w:val="0369A1"/>
          <w:sz w:val="24"/>
        </w:rPr>
        <w:t>3.6 Estabilidad por Bootstrap de las Covariables de Estadía</w:t>
      </w:r>
    </w:p>
    <w:p>
      <w:pPr>
        <w:spacing w:after="100" w:line="276" w:lineRule="auto"/>
      </w:pPr>
      <w:r>
        <w:t>Se congelan los resultados de 100 réplicas bootstrap en desarrollo ($N = 1.303.718$) en [</w:t>
      </w:r>
      <w:r>
        <w:rPr>
          <w:rFonts w:ascii="Consolas" w:hAnsi="Consolas"/>
          <w:color w:val="A02828"/>
          <w:sz w:val="19"/>
        </w:rPr>
        <w:t>scratch/estadia_bootstrap_stability_17.json</w:t>
      </w:r>
      <w:r>
        <w:t>](file:///home/felipe/Documentos/Proyecto%20final/Tesis/scratch/estadia_bootstrap_stability_17.json):</w:t>
      </w:r>
    </w:p>
    <w:p>
      <w:pPr>
        <w:pStyle w:val="ListBullet"/>
        <w:spacing w:after="40" w:line="276" w:lineRule="auto"/>
      </w:pPr>
      <w:r>
        <w:rPr>
          <w:b/>
        </w:rPr>
        <w:t>16 Variables Núcleo al 100%:</w:t>
      </w:r>
      <w:r>
        <w:t xml:space="preserve"> Incluyen a </w:t>
      </w:r>
      <w:r>
        <w:rPr>
          <w:rFonts w:ascii="Consolas" w:hAnsi="Consolas"/>
          <w:color w:val="A02828"/>
          <w:sz w:val="19"/>
        </w:rPr>
        <w:t>ELIX_03</w:t>
      </w:r>
      <w:r>
        <w:t xml:space="preserve"> Valvulopatía (100%) y </w:t>
      </w:r>
      <w:r>
        <w:rPr>
          <w:rFonts w:ascii="Consolas" w:hAnsi="Consolas"/>
          <w:color w:val="A02828"/>
          <w:sz w:val="19"/>
        </w:rPr>
        <w:t>ELIX_08</w:t>
      </w:r>
      <w:r>
        <w:t xml:space="preserve"> Parálisis (100%).</w:t>
      </w:r>
    </w:p>
    <w:p>
      <w:pPr>
        <w:pStyle w:val="ListBullet"/>
        <w:spacing w:after="40" w:line="276" w:lineRule="auto"/>
      </w:pPr>
      <w:r>
        <w:rPr>
          <w:b/>
        </w:rPr>
        <w:t>Borde en Puesto 17:</w:t>
      </w:r>
      <w:r>
        <w:t xml:space="preserve"> </w:t>
      </w:r>
      <w:r>
        <w:rPr>
          <w:rFonts w:ascii="Consolas" w:hAnsi="Consolas"/>
          <w:color w:val="A02828"/>
          <w:sz w:val="19"/>
        </w:rPr>
        <w:t>ELIX_06</w:t>
      </w:r>
      <w:r>
        <w:t xml:space="preserve"> HTA no complicada (69,0%), </w:t>
      </w:r>
      <w:r>
        <w:rPr>
          <w:rFonts w:ascii="Consolas" w:hAnsi="Consolas"/>
          <w:color w:val="A02828"/>
          <w:sz w:val="19"/>
        </w:rPr>
        <w:t>ELIX_19</w:t>
      </w:r>
      <w:r>
        <w:t xml:space="preserve"> Cáncer metastásico (19,0%), </w:t>
      </w:r>
      <w:r>
        <w:rPr>
          <w:rFonts w:ascii="Consolas" w:hAnsi="Consolas"/>
          <w:color w:val="A02828"/>
          <w:sz w:val="19"/>
        </w:rPr>
        <w:t>ELIX_10</w:t>
      </w:r>
      <w:r>
        <w:t xml:space="preserve"> EPOC (10,0%), </w:t>
      </w:r>
      <w:r>
        <w:rPr>
          <w:rFonts w:ascii="Consolas" w:hAnsi="Consolas"/>
          <w:color w:val="A02828"/>
          <w:sz w:val="19"/>
        </w:rPr>
        <w:t>ELIX_07</w:t>
      </w:r>
      <w:r>
        <w:t xml:space="preserve"> HTA complicada (2,0%). Todos con coeficientes entre $+0,0014$ y $+0,0038$. El ordenamiento institucional es insensible a la alternancia en este borde ($</w:t>
      </w:r>
    </w:p>
    <w:p>
      <w:pPr>
        <w:spacing w:after="100" w:line="276" w:lineRule="auto"/>
      </w:pPr>
      <w:r>
        <w:t>ho \ge 0,999$).</w:t>
      </w:r>
    </w:p>
    <w:p>
      <w:pPr>
        <w:spacing w:before="160" w:after="160"/>
      </w:pPr>
      <w:r>
        <w:rPr>
          <w:b/>
          <w:color w:val="CBD5E1"/>
        </w:rPr>
        <w:t>———————————————————————————————————————————————————————</w:t>
      </w:r>
    </w:p>
    <w:p>
      <w:pPr>
        <w:keepNext/>
        <w:spacing w:before="280" w:after="120"/>
      </w:pPr>
      <w:r>
        <w:rPr>
          <w:rFonts w:ascii="Calibri" w:hAnsi="Calibri"/>
          <w:b/>
          <w:color w:val="1E3A8A"/>
          <w:sz w:val="28"/>
        </w:rPr>
        <w:t>4. Enlace Unificado, Cotas de Salida y Sensibilidad a la Censura por Traslado</w:t>
      </w:r>
    </w:p>
    <w:p>
      <w:pPr>
        <w:keepNext/>
        <w:spacing w:before="200" w:after="80"/>
      </w:pPr>
      <w:r>
        <w:rPr>
          <w:rFonts w:ascii="Calibri" w:hAnsi="Calibri"/>
          <w:b/>
          <w:color w:val="0369A1"/>
          <w:sz w:val="24"/>
        </w:rPr>
        <w:t>4.1 Criterio Unificado de Enlace Determinístico</w:t>
      </w:r>
    </w:p>
    <w:p>
      <w:pPr>
        <w:pStyle w:val="ListBullet"/>
        <w:spacing w:after="40" w:line="276" w:lineRule="auto"/>
      </w:pPr>
      <w:r>
        <w:rPr>
          <w:b/>
        </w:rPr>
        <w:t>Total egresos por traslado inpatient adultos 2023:</w:t>
      </w:r>
      <w:r>
        <w:t xml:space="preserve"> </w:t>
      </w:r>
      <w:r>
        <w:rPr>
          <w:b/>
        </w:rPr>
        <w:t>25.555</w:t>
      </w:r>
      <w:r>
        <w:t xml:space="preserve"> episodios.</w:t>
      </w:r>
    </w:p>
    <w:p>
      <w:pPr>
        <w:pStyle w:val="ListBullet"/>
        <w:spacing w:after="40" w:line="276" w:lineRule="auto"/>
      </w:pPr>
      <w:r>
        <w:rPr>
          <w:b/>
        </w:rPr>
        <w:t>Total enlazados en $\le 30$ días:</w:t>
      </w:r>
      <w:r>
        <w:t xml:space="preserve"> </w:t>
      </w:r>
      <w:r>
        <w:rPr>
          <w:b/>
        </w:rPr>
        <w:t>11.544</w:t>
      </w:r>
      <w:r>
        <w:t xml:space="preserve"> episodios (tasa de enlace global: 45,2%).</w:t>
      </w:r>
    </w:p>
    <w:p>
      <w:pPr>
        <w:keepNext/>
        <w:spacing w:before="200" w:after="80"/>
      </w:pPr>
      <w:r>
        <w:rPr>
          <w:rFonts w:ascii="Calibri" w:hAnsi="Calibri"/>
          <w:b/>
          <w:color w:val="0369A1"/>
          <w:sz w:val="24"/>
        </w:rPr>
        <w:t>4.2 Cotas de Salida ($\lambda_{</w:t>
        <w:tab/>
        <w:t>ext{salida}}$) para las Alertas Primarias</w:t>
      </w:r>
    </w:p>
    <w:p>
      <w:pPr>
        <w:spacing w:after="100" w:line="276" w:lineRule="auto"/>
      </w:pPr>
      <w:r>
        <w:t>Se presentan los datos completos de enlace ($O_{</w:t>
        <w:tab/>
        <w:t>ext{link}}$ y $E_{</w:t>
        <w:tab/>
        <w:t>ext{link}}$) y el multiplicador umbral $\lambda_{</w:t>
        <w:tab/>
        <w:t>ext{salida}}$ en derivados no enlazados para salir de alerta ($P &lt; 0,95$):</w:t>
      </w:r>
    </w:p>
    <w:p>
      <w:pPr>
        <w:spacing w:after="100" w:line="276" w:lineRule="auto"/>
      </w:pPr>
      <w:r>
        <w:t>$$O_{</w:t>
        <w:tab/>
        <w:t>ext{eval}} = O_{</w:t>
        <w:tab/>
        <w:t>ext{base}} + O_{</w:t>
        <w:tab/>
        <w:t>ext{link}} + \lambda_{</w:t>
        <w:tab/>
        <w:t>ext{salida}} \cdot E_{</w:t>
        <w:tab/>
        <w:t>ext{nolink}}, \quad E_{</w:t>
        <w:tab/>
        <w:t>ext{eval}} = E_{</w:t>
        <w:tab/>
        <w:t>ext{base}} + E_{</w:t>
        <w:tab/>
        <w:t>ext{link}} + E_{</w:t>
        <w:tab/>
        <w:t>ext{nolink}}$$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</w:tblGrid>
      <w:tr>
        <w:trPr>
          <w:cantSplit/>
          <w:tblHeader/>
        </w:trPr>
        <w:tc>
          <w:tcPr>
            <w:tcW w:type="dxa" w:w="78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1E3A8A"/>
            <w:tcBorders>
              <w:top w:val="single" w:sz="6" w:space="0" w:color="1E3A8A"/>
              <w:left w:val="single" w:sz="4" w:space="0" w:color="CBD5E1"/>
              <w:bottom w:val="single" w:sz="12" w:space="0" w:color="1E3A8A"/>
              <w:right w:val="single" w:sz="4" w:space="0" w:color="CBD5E1"/>
            </w:tcBorders>
          </w:tcPr>
          <w:p>
            <w:pPr>
              <w:spacing w:before="20" w:after="20" w:line="252" w:lineRule="auto"/>
            </w:pPr>
            <w:r>
              <w:rPr>
                <w:b/>
                <w:color w:val="FFFFFF"/>
                <w:sz w:val="18"/>
              </w:rPr>
              <w:t>Código</w:t>
            </w:r>
          </w:p>
        </w:tc>
        <w:tc>
          <w:tcPr>
            <w:tcW w:type="dxa" w:w="78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1E3A8A"/>
            <w:tcBorders>
              <w:top w:val="single" w:sz="6" w:space="0" w:color="1E3A8A"/>
              <w:left w:val="single" w:sz="4" w:space="0" w:color="CBD5E1"/>
              <w:bottom w:val="single" w:sz="12" w:space="0" w:color="1E3A8A"/>
              <w:right w:val="single" w:sz="4" w:space="0" w:color="CBD5E1"/>
            </w:tcBorders>
          </w:tcPr>
          <w:p>
            <w:pPr>
              <w:spacing w:before="20" w:after="20" w:line="252" w:lineRule="auto"/>
            </w:pPr>
            <w:r>
              <w:rPr>
                <w:b/>
                <w:color w:val="FFFFFF"/>
                <w:sz w:val="18"/>
              </w:rPr>
              <w:t>Establecimiento</w:t>
            </w:r>
          </w:p>
        </w:tc>
        <w:tc>
          <w:tcPr>
            <w:tcW w:type="dxa" w:w="78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1E3A8A"/>
            <w:tcBorders>
              <w:top w:val="single" w:sz="6" w:space="0" w:color="1E3A8A"/>
              <w:left w:val="single" w:sz="4" w:space="0" w:color="CBD5E1"/>
              <w:bottom w:val="single" w:sz="12" w:space="0" w:color="1E3A8A"/>
              <w:right w:val="single" w:sz="4" w:space="0" w:color="CBD5E1"/>
            </w:tcBorders>
          </w:tcPr>
          <w:p>
            <w:pPr>
              <w:spacing w:before="20" w:after="20" w:line="252" w:lineRule="auto"/>
            </w:pPr>
            <w:r>
              <w:rPr>
                <w:b/>
                <w:color w:val="FFFFFF"/>
                <w:sz w:val="18"/>
              </w:rPr>
              <w:t>$O_{</w:t>
              <w:tab/>
              <w:t>ext{base}}$</w:t>
            </w:r>
          </w:p>
        </w:tc>
        <w:tc>
          <w:tcPr>
            <w:tcW w:type="dxa" w:w="78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1E3A8A"/>
            <w:tcBorders>
              <w:top w:val="single" w:sz="6" w:space="0" w:color="1E3A8A"/>
              <w:left w:val="single" w:sz="4" w:space="0" w:color="CBD5E1"/>
              <w:bottom w:val="single" w:sz="12" w:space="0" w:color="1E3A8A"/>
              <w:right w:val="single" w:sz="4" w:space="0" w:color="CBD5E1"/>
            </w:tcBorders>
          </w:tcPr>
          <w:p>
            <w:pPr>
              <w:spacing w:before="20" w:after="20" w:line="252" w:lineRule="auto"/>
            </w:pPr>
            <w:r>
              <w:rPr>
                <w:b/>
                <w:color w:val="FFFFFF"/>
                <w:sz w:val="18"/>
              </w:rPr>
              <w:t>$E_{</w:t>
              <w:tab/>
              <w:t>ext{base}}$</w:t>
            </w:r>
          </w:p>
        </w:tc>
        <w:tc>
          <w:tcPr>
            <w:tcW w:type="dxa" w:w="78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1E3A8A"/>
            <w:tcBorders>
              <w:top w:val="single" w:sz="6" w:space="0" w:color="1E3A8A"/>
              <w:left w:val="single" w:sz="4" w:space="0" w:color="CBD5E1"/>
              <w:bottom w:val="single" w:sz="12" w:space="0" w:color="1E3A8A"/>
              <w:right w:val="single" w:sz="4" w:space="0" w:color="CBD5E1"/>
            </w:tcBorders>
          </w:tcPr>
          <w:p>
            <w:pPr>
              <w:spacing w:before="20" w:after="20" w:line="252" w:lineRule="auto"/>
            </w:pPr>
            <w:r>
              <w:rPr>
                <w:b/>
                <w:color w:val="FFFFFF"/>
                <w:sz w:val="18"/>
              </w:rPr>
              <w:t>$P_{</w:t>
              <w:tab/>
              <w:t>ext{base}}$</w:t>
            </w:r>
          </w:p>
        </w:tc>
        <w:tc>
          <w:tcPr>
            <w:tcW w:type="dxa" w:w="78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1E3A8A"/>
            <w:tcBorders>
              <w:top w:val="single" w:sz="6" w:space="0" w:color="1E3A8A"/>
              <w:left w:val="single" w:sz="4" w:space="0" w:color="CBD5E1"/>
              <w:bottom w:val="single" w:sz="12" w:space="0" w:color="1E3A8A"/>
              <w:right w:val="single" w:sz="4" w:space="0" w:color="CBD5E1"/>
            </w:tcBorders>
          </w:tcPr>
          <w:p>
            <w:pPr>
              <w:spacing w:before="20" w:after="20" w:line="252" w:lineRule="auto"/>
            </w:pPr>
            <w:r>
              <w:rPr>
                <w:b/>
                <w:color w:val="FFFFFF"/>
                <w:sz w:val="18"/>
              </w:rPr>
              <w:t>$O_{</w:t>
              <w:tab/>
              <w:t>ext{link}}$</w:t>
            </w:r>
          </w:p>
        </w:tc>
        <w:tc>
          <w:tcPr>
            <w:tcW w:type="dxa" w:w="78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1E3A8A"/>
            <w:tcBorders>
              <w:top w:val="single" w:sz="6" w:space="0" w:color="1E3A8A"/>
              <w:left w:val="single" w:sz="4" w:space="0" w:color="CBD5E1"/>
              <w:bottom w:val="single" w:sz="12" w:space="0" w:color="1E3A8A"/>
              <w:right w:val="single" w:sz="4" w:space="0" w:color="CBD5E1"/>
            </w:tcBorders>
          </w:tcPr>
          <w:p>
            <w:pPr>
              <w:spacing w:before="20" w:after="20" w:line="252" w:lineRule="auto"/>
            </w:pPr>
            <w:r>
              <w:rPr>
                <w:b/>
                <w:color w:val="FFFFFF"/>
                <w:sz w:val="18"/>
              </w:rPr>
              <w:t>$E_{</w:t>
              <w:tab/>
              <w:t>ext{link}}$</w:t>
            </w:r>
          </w:p>
        </w:tc>
        <w:tc>
          <w:tcPr>
            <w:tcW w:type="dxa" w:w="78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1E3A8A"/>
            <w:tcBorders>
              <w:top w:val="single" w:sz="6" w:space="0" w:color="1E3A8A"/>
              <w:left w:val="single" w:sz="4" w:space="0" w:color="CBD5E1"/>
              <w:bottom w:val="single" w:sz="12" w:space="0" w:color="1E3A8A"/>
              <w:right w:val="single" w:sz="4" w:space="0" w:color="CBD5E1"/>
            </w:tcBorders>
          </w:tcPr>
          <w:p>
            <w:pPr>
              <w:spacing w:before="20" w:after="20" w:line="252" w:lineRule="auto"/>
            </w:pPr>
            <w:r>
              <w:rPr>
                <w:b/>
                <w:color w:val="FFFFFF"/>
                <w:sz w:val="18"/>
              </w:rPr>
              <w:t>No Enlaz.</w:t>
            </w:r>
          </w:p>
        </w:tc>
        <w:tc>
          <w:tcPr>
            <w:tcW w:type="dxa" w:w="78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1E3A8A"/>
            <w:tcBorders>
              <w:top w:val="single" w:sz="6" w:space="0" w:color="1E3A8A"/>
              <w:left w:val="single" w:sz="4" w:space="0" w:color="CBD5E1"/>
              <w:bottom w:val="single" w:sz="12" w:space="0" w:color="1E3A8A"/>
              <w:right w:val="single" w:sz="4" w:space="0" w:color="CBD5E1"/>
            </w:tcBorders>
          </w:tcPr>
          <w:p>
            <w:pPr>
              <w:spacing w:before="20" w:after="20" w:line="252" w:lineRule="auto"/>
            </w:pPr>
            <w:r>
              <w:rPr>
                <w:b/>
                <w:color w:val="FFFFFF"/>
                <w:sz w:val="18"/>
              </w:rPr>
              <w:t>$E_{</w:t>
              <w:tab/>
              <w:t>ext{nolink}}$</w:t>
            </w:r>
          </w:p>
        </w:tc>
        <w:tc>
          <w:tcPr>
            <w:tcW w:type="dxa" w:w="78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1E3A8A"/>
            <w:tcBorders>
              <w:top w:val="single" w:sz="6" w:space="0" w:color="1E3A8A"/>
              <w:left w:val="single" w:sz="4" w:space="0" w:color="CBD5E1"/>
              <w:bottom w:val="single" w:sz="12" w:space="0" w:color="1E3A8A"/>
              <w:right w:val="single" w:sz="4" w:space="0" w:color="CBD5E1"/>
            </w:tcBorders>
          </w:tcPr>
          <w:p>
            <w:pPr>
              <w:spacing w:before="20" w:after="20" w:line="252" w:lineRule="auto"/>
            </w:pPr>
            <w:r>
              <w:rPr>
                <w:b/>
                <w:color w:val="FFFFFF"/>
                <w:sz w:val="18"/>
              </w:rPr>
              <w:t>Cota $\lambda_{</w:t>
              <w:tab/>
              <w:t>ext{salida}}$</w:t>
            </w:r>
          </w:p>
        </w:tc>
        <w:tc>
          <w:tcPr>
            <w:tcW w:type="dxa" w:w="78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1E3A8A"/>
            <w:tcBorders>
              <w:top w:val="single" w:sz="6" w:space="0" w:color="1E3A8A"/>
              <w:left w:val="single" w:sz="4" w:space="0" w:color="CBD5E1"/>
              <w:bottom w:val="single" w:sz="12" w:space="0" w:color="1E3A8A"/>
              <w:right w:val="single" w:sz="4" w:space="0" w:color="CBD5E1"/>
            </w:tcBorders>
          </w:tcPr>
          <w:p>
            <w:pPr>
              <w:spacing w:before="20" w:after="20" w:line="252" w:lineRule="auto"/>
            </w:pPr>
            <w:r>
              <w:rPr>
                <w:b/>
                <w:color w:val="FFFFFF"/>
                <w:sz w:val="18"/>
              </w:rPr>
              <w:t>¿Factible Salir?</w:t>
            </w:r>
          </w:p>
        </w:tc>
        <w:tc>
          <w:tcPr>
            <w:tcW w:type="dxa" w:w="78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1E3A8A"/>
            <w:tcBorders>
              <w:top w:val="single" w:sz="6" w:space="0" w:color="1E3A8A"/>
              <w:left w:val="single" w:sz="4" w:space="0" w:color="CBD5E1"/>
              <w:bottom w:val="single" w:sz="12" w:space="0" w:color="1E3A8A"/>
              <w:right w:val="single" w:sz="4" w:space="0" w:color="CBD5E1"/>
            </w:tcBorders>
          </w:tcPr>
          <w:p>
            <w:pPr>
              <w:spacing w:before="20" w:after="20" w:line="252" w:lineRule="auto"/>
            </w:pPr>
            <w:r>
              <w:rPr>
                <w:b/>
                <w:color w:val="FFFFFF"/>
                <w:sz w:val="18"/>
              </w:rPr>
              <w:t>Interpretación Clínica</w:t>
            </w:r>
          </w:p>
        </w:tc>
      </w:tr>
      <w:tr>
        <w:trPr>
          <w:cantSplit/>
        </w:trPr>
        <w:tc>
          <w:tcPr>
            <w:tcW w:type="dxa" w:w="78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A02828"/>
                <w:sz w:val="17"/>
              </w:rPr>
              <w:t>112101</w:t>
            </w:r>
          </w:p>
        </w:tc>
        <w:tc>
          <w:tcPr>
            <w:tcW w:type="dxa" w:w="78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b/>
                <w:sz w:val="17"/>
              </w:rPr>
              <w:t>Hospital Dr. Luis Tisné B.</w:t>
            </w:r>
          </w:p>
        </w:tc>
        <w:tc>
          <w:tcPr>
            <w:tcW w:type="dxa" w:w="78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502</w:t>
            </w:r>
          </w:p>
        </w:tc>
        <w:tc>
          <w:tcPr>
            <w:tcW w:type="dxa" w:w="78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407,3</w:t>
            </w:r>
          </w:p>
        </w:tc>
        <w:tc>
          <w:tcPr>
            <w:tcW w:type="dxa" w:w="78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0,990</w:t>
            </w:r>
          </w:p>
        </w:tc>
        <w:tc>
          <w:tcPr>
            <w:tcW w:type="dxa" w:w="78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20</w:t>
            </w:r>
          </w:p>
        </w:tc>
        <w:tc>
          <w:tcPr>
            <w:tcW w:type="dxa" w:w="78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18,8</w:t>
            </w:r>
          </w:p>
        </w:tc>
        <w:tc>
          <w:tcPr>
            <w:tcW w:type="dxa" w:w="78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699</w:t>
            </w:r>
          </w:p>
        </w:tc>
        <w:tc>
          <w:tcPr>
            <w:tcW w:type="dxa" w:w="78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86,6</w:t>
            </w:r>
          </w:p>
        </w:tc>
        <w:tc>
          <w:tcPr>
            <w:tcW w:type="dxa" w:w="78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b/>
                <w:sz w:val="17"/>
              </w:rPr>
              <w:t>0,98x</w:t>
            </w:r>
          </w:p>
        </w:tc>
        <w:tc>
          <w:tcPr>
            <w:tcW w:type="dxa" w:w="78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b/>
                <w:sz w:val="17"/>
              </w:rPr>
              <w:t>SÍ (Factible, $\lambda &lt; 0,98$)</w:t>
            </w:r>
          </w:p>
        </w:tc>
        <w:tc>
          <w:tcPr>
            <w:tcW w:type="dxa" w:w="78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b/>
                <w:sz w:val="17"/>
              </w:rPr>
              <w:t>Alerta Marginal Sensible:</w:t>
            </w:r>
            <w:r>
              <w:rPr>
                <w:rFonts w:ascii="Calibri" w:hAnsi="Calibri"/>
                <w:sz w:val="17"/>
              </w:rPr>
              <w:t xml:space="preserve"> Si sus 699 derivados no enlazados mueren a una tasa estándar o favorable ($\lambda &lt; 0,98</w:t>
              <w:tab/>
              <w:t>imes$), el hospital sale de alerta ($P = 0,948 &lt; 0,95$).</w:t>
            </w:r>
          </w:p>
        </w:tc>
      </w:tr>
      <w:tr>
        <w:trPr>
          <w:cantSplit/>
        </w:trPr>
        <w:tc>
          <w:tcPr>
            <w:tcW w:type="dxa" w:w="78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A02828"/>
                <w:sz w:val="17"/>
              </w:rPr>
              <w:t>121109</w:t>
            </w:r>
          </w:p>
        </w:tc>
        <w:tc>
          <w:tcPr>
            <w:tcW w:type="dxa" w:w="78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b/>
                <w:sz w:val="17"/>
              </w:rPr>
              <w:t>Hospital Dr. Hernán Henríquez (Temuco)</w:t>
            </w:r>
          </w:p>
        </w:tc>
        <w:tc>
          <w:tcPr>
            <w:tcW w:type="dxa" w:w="78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580</w:t>
            </w:r>
          </w:p>
        </w:tc>
        <w:tc>
          <w:tcPr>
            <w:tcW w:type="dxa" w:w="78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451,4</w:t>
            </w:r>
          </w:p>
        </w:tc>
        <w:tc>
          <w:tcPr>
            <w:tcW w:type="dxa" w:w="78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1,000</w:t>
            </w:r>
          </w:p>
        </w:tc>
        <w:tc>
          <w:tcPr>
            <w:tcW w:type="dxa" w:w="78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17</w:t>
            </w:r>
          </w:p>
        </w:tc>
        <w:tc>
          <w:tcPr>
            <w:tcW w:type="dxa" w:w="78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31,1</w:t>
            </w:r>
          </w:p>
        </w:tc>
        <w:tc>
          <w:tcPr>
            <w:tcW w:type="dxa" w:w="78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408</w:t>
            </w:r>
          </w:p>
        </w:tc>
        <w:tc>
          <w:tcPr>
            <w:tcW w:type="dxa" w:w="78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36,4</w:t>
            </w:r>
          </w:p>
        </w:tc>
        <w:tc>
          <w:tcPr>
            <w:tcW w:type="dxa" w:w="78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b/>
                <w:sz w:val="17"/>
              </w:rPr>
              <w:t>0,47x</w:t>
            </w:r>
          </w:p>
        </w:tc>
        <w:tc>
          <w:tcPr>
            <w:tcW w:type="dxa" w:w="78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Difícil ($\lambda &lt; 0,47$)</w:t>
            </w:r>
          </w:p>
        </w:tc>
        <w:tc>
          <w:tcPr>
            <w:tcW w:type="dxa" w:w="78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Requiere que los no enlazados fallezcan a menos de la mitad del riesgo esperado.</w:t>
            </w:r>
          </w:p>
        </w:tc>
      </w:tr>
      <w:tr>
        <w:trPr>
          <w:cantSplit/>
        </w:trPr>
        <w:tc>
          <w:tcPr>
            <w:tcW w:type="dxa" w:w="78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A02828"/>
                <w:sz w:val="17"/>
              </w:rPr>
              <w:t>107101</w:t>
            </w:r>
          </w:p>
        </w:tc>
        <w:tc>
          <w:tcPr>
            <w:tcW w:type="dxa" w:w="78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b/>
                <w:sz w:val="17"/>
              </w:rPr>
              <w:t>Hospital San Martín (Quillota)</w:t>
            </w:r>
          </w:p>
        </w:tc>
        <w:tc>
          <w:tcPr>
            <w:tcW w:type="dxa" w:w="78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285</w:t>
            </w:r>
          </w:p>
        </w:tc>
        <w:tc>
          <w:tcPr>
            <w:tcW w:type="dxa" w:w="78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208,7</w:t>
            </w:r>
          </w:p>
        </w:tc>
        <w:tc>
          <w:tcPr>
            <w:tcW w:type="dxa" w:w="78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1,000</w:t>
            </w:r>
          </w:p>
        </w:tc>
        <w:tc>
          <w:tcPr>
            <w:tcW w:type="dxa" w:w="78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13</w:t>
            </w:r>
          </w:p>
        </w:tc>
        <w:tc>
          <w:tcPr>
            <w:tcW w:type="dxa" w:w="78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11,6</w:t>
            </w:r>
          </w:p>
        </w:tc>
        <w:tc>
          <w:tcPr>
            <w:tcW w:type="dxa" w:w="78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339</w:t>
            </w:r>
          </w:p>
        </w:tc>
        <w:tc>
          <w:tcPr>
            <w:tcW w:type="dxa" w:w="78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26,4</w:t>
            </w:r>
          </w:p>
        </w:tc>
        <w:tc>
          <w:tcPr>
            <w:tcW w:type="dxa" w:w="78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b/>
                <w:sz w:val="17"/>
              </w:rPr>
              <w:t>0,19x</w:t>
            </w:r>
          </w:p>
        </w:tc>
        <w:tc>
          <w:tcPr>
            <w:tcW w:type="dxa" w:w="78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Muy Remoto ($\lambda &lt; 0,19$)</w:t>
            </w:r>
          </w:p>
        </w:tc>
        <w:tc>
          <w:tcPr>
            <w:tcW w:type="dxa" w:w="78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Exige sobrevida casi absoluta de trasladados.</w:t>
            </w:r>
          </w:p>
        </w:tc>
      </w:tr>
      <w:tr>
        <w:trPr>
          <w:cantSplit/>
        </w:trPr>
        <w:tc>
          <w:tcPr>
            <w:tcW w:type="dxa" w:w="78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A02828"/>
                <w:sz w:val="17"/>
              </w:rPr>
              <w:t>109100</w:t>
            </w:r>
          </w:p>
        </w:tc>
        <w:tc>
          <w:tcPr>
            <w:tcW w:type="dxa" w:w="78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b/>
                <w:sz w:val="17"/>
              </w:rPr>
              <w:t>Complejo Hospitalario San José</w:t>
            </w:r>
          </w:p>
        </w:tc>
        <w:tc>
          <w:tcPr>
            <w:tcW w:type="dxa" w:w="78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815</w:t>
            </w:r>
          </w:p>
        </w:tc>
        <w:tc>
          <w:tcPr>
            <w:tcW w:type="dxa" w:w="78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683,5</w:t>
            </w:r>
          </w:p>
        </w:tc>
        <w:tc>
          <w:tcPr>
            <w:tcW w:type="dxa" w:w="78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0,984</w:t>
            </w:r>
          </w:p>
        </w:tc>
        <w:tc>
          <w:tcPr>
            <w:tcW w:type="dxa" w:w="78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1</w:t>
            </w:r>
          </w:p>
        </w:tc>
        <w:tc>
          <w:tcPr>
            <w:tcW w:type="dxa" w:w="78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3,5</w:t>
            </w:r>
          </w:p>
        </w:tc>
        <w:tc>
          <w:tcPr>
            <w:tcW w:type="dxa" w:w="78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179</w:t>
            </w:r>
          </w:p>
        </w:tc>
        <w:tc>
          <w:tcPr>
            <w:tcW w:type="dxa" w:w="78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10,1</w:t>
            </w:r>
          </w:p>
        </w:tc>
        <w:tc>
          <w:tcPr>
            <w:tcW w:type="dxa" w:w="78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b/>
                <w:sz w:val="17"/>
              </w:rPr>
              <w:t>0,05x</w:t>
            </w:r>
          </w:p>
        </w:tc>
        <w:tc>
          <w:tcPr>
            <w:tcW w:type="dxa" w:w="78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Casi Imposible ($\lambda &lt; 0,05$)</w:t>
            </w:r>
          </w:p>
        </w:tc>
        <w:tc>
          <w:tcPr>
            <w:tcW w:type="dxa" w:w="78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Exige cero muertes en derivados para tocar 0,95.</w:t>
            </w:r>
          </w:p>
        </w:tc>
      </w:tr>
      <w:tr>
        <w:trPr>
          <w:cantSplit/>
        </w:trPr>
        <w:tc>
          <w:tcPr>
            <w:tcW w:type="dxa" w:w="78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A02828"/>
                <w:sz w:val="17"/>
              </w:rPr>
              <w:t>113180</w:t>
            </w:r>
          </w:p>
        </w:tc>
        <w:tc>
          <w:tcPr>
            <w:tcW w:type="dxa" w:w="78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b/>
                <w:sz w:val="17"/>
              </w:rPr>
              <w:t>Hospital El Pino</w:t>
            </w:r>
          </w:p>
        </w:tc>
        <w:tc>
          <w:tcPr>
            <w:tcW w:type="dxa" w:w="78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438</w:t>
            </w:r>
          </w:p>
        </w:tc>
        <w:tc>
          <w:tcPr>
            <w:tcW w:type="dxa" w:w="78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266,0</w:t>
            </w:r>
          </w:p>
        </w:tc>
        <w:tc>
          <w:tcPr>
            <w:tcW w:type="dxa" w:w="78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1,000</w:t>
            </w:r>
          </w:p>
        </w:tc>
        <w:tc>
          <w:tcPr>
            <w:tcW w:type="dxa" w:w="78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25</w:t>
            </w:r>
          </w:p>
        </w:tc>
        <w:tc>
          <w:tcPr>
            <w:tcW w:type="dxa" w:w="78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12,4</w:t>
            </w:r>
          </w:p>
        </w:tc>
        <w:tc>
          <w:tcPr>
            <w:tcW w:type="dxa" w:w="78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1.120</w:t>
            </w:r>
          </w:p>
        </w:tc>
        <w:tc>
          <w:tcPr>
            <w:tcW w:type="dxa" w:w="78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83,2</w:t>
            </w:r>
          </w:p>
        </w:tc>
        <w:tc>
          <w:tcPr>
            <w:tcW w:type="dxa" w:w="78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b/>
                <w:sz w:val="17"/>
              </w:rPr>
              <w:t>No existe</w:t>
            </w:r>
          </w:p>
        </w:tc>
        <w:tc>
          <w:tcPr>
            <w:tcW w:type="dxa" w:w="78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b/>
                <w:sz w:val="17"/>
              </w:rPr>
              <w:t>NO (Alerta Inmune)</w:t>
            </w:r>
          </w:p>
        </w:tc>
        <w:tc>
          <w:tcPr>
            <w:tcW w:type="dxa" w:w="78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Con $\lambda = 0$ (cero muertes en 1.120 trasladados), $P_{</w:t>
              <w:tab/>
              <w:t>ext{min}} = 1,000$.</w:t>
            </w:r>
          </w:p>
        </w:tc>
      </w:tr>
      <w:tr>
        <w:trPr>
          <w:cantSplit/>
        </w:trPr>
        <w:tc>
          <w:tcPr>
            <w:tcW w:type="dxa" w:w="78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A02828"/>
                <w:sz w:val="17"/>
              </w:rPr>
              <w:t>111100</w:t>
            </w:r>
          </w:p>
        </w:tc>
        <w:tc>
          <w:tcPr>
            <w:tcW w:type="dxa" w:w="78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b/>
                <w:sz w:val="17"/>
              </w:rPr>
              <w:t>Hospital Clínico San Borja-Arriarán</w:t>
            </w:r>
          </w:p>
        </w:tc>
        <w:tc>
          <w:tcPr>
            <w:tcW w:type="dxa" w:w="78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145</w:t>
            </w:r>
          </w:p>
        </w:tc>
        <w:tc>
          <w:tcPr>
            <w:tcW w:type="dxa" w:w="78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101,3</w:t>
            </w:r>
          </w:p>
        </w:tc>
        <w:tc>
          <w:tcPr>
            <w:tcW w:type="dxa" w:w="78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0,996</w:t>
            </w:r>
          </w:p>
        </w:tc>
        <w:tc>
          <w:tcPr>
            <w:tcW w:type="dxa" w:w="78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4</w:t>
            </w:r>
          </w:p>
        </w:tc>
        <w:tc>
          <w:tcPr>
            <w:tcW w:type="dxa" w:w="78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1,1</w:t>
            </w:r>
          </w:p>
        </w:tc>
        <w:tc>
          <w:tcPr>
            <w:tcW w:type="dxa" w:w="78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34</w:t>
            </w:r>
          </w:p>
        </w:tc>
        <w:tc>
          <w:tcPr>
            <w:tcW w:type="dxa" w:w="78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1,3</w:t>
            </w:r>
          </w:p>
        </w:tc>
        <w:tc>
          <w:tcPr>
            <w:tcW w:type="dxa" w:w="78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b/>
                <w:sz w:val="17"/>
              </w:rPr>
              <w:t>No existe</w:t>
            </w:r>
          </w:p>
        </w:tc>
        <w:tc>
          <w:tcPr>
            <w:tcW w:type="dxa" w:w="78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b/>
                <w:sz w:val="17"/>
              </w:rPr>
              <w:t>NO (Alerta Inmune)</w:t>
            </w:r>
          </w:p>
        </w:tc>
        <w:tc>
          <w:tcPr>
            <w:tcW w:type="dxa" w:w="78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Con $\lambda = 0$, $O/E = 1,398$ y $P_{</w:t>
              <w:tab/>
              <w:t>ext{min}} = 0,995 \ge 0,95$. Inmune a dilución.</w:t>
            </w:r>
          </w:p>
        </w:tc>
      </w:tr>
      <w:tr>
        <w:trPr>
          <w:cantSplit/>
        </w:trPr>
        <w:tc>
          <w:tcPr>
            <w:tcW w:type="dxa" w:w="78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A02828"/>
                <w:sz w:val="17"/>
              </w:rPr>
              <w:t>106103</w:t>
            </w:r>
          </w:p>
        </w:tc>
        <w:tc>
          <w:tcPr>
            <w:tcW w:type="dxa" w:w="78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b/>
                <w:sz w:val="17"/>
              </w:rPr>
              <w:t>Hospital Claudio Vicuña (San Antonio)</w:t>
            </w:r>
          </w:p>
        </w:tc>
        <w:tc>
          <w:tcPr>
            <w:tcW w:type="dxa" w:w="78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320</w:t>
            </w:r>
          </w:p>
        </w:tc>
        <w:tc>
          <w:tcPr>
            <w:tcW w:type="dxa" w:w="78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231,8</w:t>
            </w:r>
          </w:p>
        </w:tc>
        <w:tc>
          <w:tcPr>
            <w:tcW w:type="dxa" w:w="78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1,000</w:t>
            </w:r>
          </w:p>
        </w:tc>
        <w:tc>
          <w:tcPr>
            <w:tcW w:type="dxa" w:w="78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14</w:t>
            </w:r>
          </w:p>
        </w:tc>
        <w:tc>
          <w:tcPr>
            <w:tcW w:type="dxa" w:w="78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8,8</w:t>
            </w:r>
          </w:p>
        </w:tc>
        <w:tc>
          <w:tcPr>
            <w:tcW w:type="dxa" w:w="78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102</w:t>
            </w:r>
          </w:p>
        </w:tc>
        <w:tc>
          <w:tcPr>
            <w:tcW w:type="dxa" w:w="78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8,4</w:t>
            </w:r>
          </w:p>
        </w:tc>
        <w:tc>
          <w:tcPr>
            <w:tcW w:type="dxa" w:w="78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b/>
                <w:sz w:val="17"/>
              </w:rPr>
              <w:t>No existe</w:t>
            </w:r>
          </w:p>
        </w:tc>
        <w:tc>
          <w:tcPr>
            <w:tcW w:type="dxa" w:w="78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b/>
                <w:sz w:val="17"/>
              </w:rPr>
              <w:t>NO (Alerta Inmune)</w:t>
            </w:r>
          </w:p>
        </w:tc>
        <w:tc>
          <w:tcPr>
            <w:tcW w:type="dxa" w:w="78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Con $\lambda = 0$, $P_{</w:t>
              <w:tab/>
              <w:t>ext{min}} = 1,000$.</w:t>
            </w:r>
          </w:p>
        </w:tc>
      </w:tr>
      <w:tr>
        <w:trPr>
          <w:cantSplit/>
        </w:trPr>
        <w:tc>
          <w:tcPr>
            <w:tcW w:type="dxa" w:w="78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A02828"/>
                <w:sz w:val="17"/>
              </w:rPr>
              <w:t>113100</w:t>
            </w:r>
          </w:p>
        </w:tc>
        <w:tc>
          <w:tcPr>
            <w:tcW w:type="dxa" w:w="78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b/>
                <w:sz w:val="17"/>
              </w:rPr>
              <w:t>Hospital Barros Luco Trudeau</w:t>
            </w:r>
          </w:p>
        </w:tc>
        <w:tc>
          <w:tcPr>
            <w:tcW w:type="dxa" w:w="78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972</w:t>
            </w:r>
          </w:p>
        </w:tc>
        <w:tc>
          <w:tcPr>
            <w:tcW w:type="dxa" w:w="78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709,7</w:t>
            </w:r>
          </w:p>
        </w:tc>
        <w:tc>
          <w:tcPr>
            <w:tcW w:type="dxa" w:w="78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1,000</w:t>
            </w:r>
          </w:p>
        </w:tc>
        <w:tc>
          <w:tcPr>
            <w:tcW w:type="dxa" w:w="78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16</w:t>
            </w:r>
          </w:p>
        </w:tc>
        <w:tc>
          <w:tcPr>
            <w:tcW w:type="dxa" w:w="78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10,3</w:t>
            </w:r>
          </w:p>
        </w:tc>
        <w:tc>
          <w:tcPr>
            <w:tcW w:type="dxa" w:w="78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409</w:t>
            </w:r>
          </w:p>
        </w:tc>
        <w:tc>
          <w:tcPr>
            <w:tcW w:type="dxa" w:w="78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41,8</w:t>
            </w:r>
          </w:p>
        </w:tc>
        <w:tc>
          <w:tcPr>
            <w:tcW w:type="dxa" w:w="78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b/>
                <w:sz w:val="17"/>
              </w:rPr>
              <w:t>No existe</w:t>
            </w:r>
          </w:p>
        </w:tc>
        <w:tc>
          <w:tcPr>
            <w:tcW w:type="dxa" w:w="78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b/>
                <w:sz w:val="17"/>
              </w:rPr>
              <w:t>NO (Alerta Inmune)</w:t>
            </w:r>
          </w:p>
        </w:tc>
        <w:tc>
          <w:tcPr>
            <w:tcW w:type="dxa" w:w="78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Con $\lambda = 0$, $P_{</w:t>
              <w:tab/>
              <w:t>ext{min}} = 1,000$.</w:t>
            </w:r>
          </w:p>
        </w:tc>
      </w:tr>
      <w:tr>
        <w:trPr>
          <w:cantSplit/>
        </w:trPr>
        <w:tc>
          <w:tcPr>
            <w:tcW w:type="dxa" w:w="78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A02828"/>
                <w:sz w:val="17"/>
              </w:rPr>
              <w:t>106100</w:t>
            </w:r>
          </w:p>
        </w:tc>
        <w:tc>
          <w:tcPr>
            <w:tcW w:type="dxa" w:w="78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b/>
                <w:sz w:val="17"/>
              </w:rPr>
              <w:t>Hospital Carlos Van Buren</w:t>
            </w:r>
          </w:p>
        </w:tc>
        <w:tc>
          <w:tcPr>
            <w:tcW w:type="dxa" w:w="78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602</w:t>
            </w:r>
          </w:p>
        </w:tc>
        <w:tc>
          <w:tcPr>
            <w:tcW w:type="dxa" w:w="78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451,4</w:t>
            </w:r>
          </w:p>
        </w:tc>
        <w:tc>
          <w:tcPr>
            <w:tcW w:type="dxa" w:w="78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1,000</w:t>
            </w:r>
          </w:p>
        </w:tc>
        <w:tc>
          <w:tcPr>
            <w:tcW w:type="dxa" w:w="78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58</w:t>
            </w:r>
          </w:p>
        </w:tc>
        <w:tc>
          <w:tcPr>
            <w:tcW w:type="dxa" w:w="78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54,8</w:t>
            </w:r>
          </w:p>
        </w:tc>
        <w:tc>
          <w:tcPr>
            <w:tcW w:type="dxa" w:w="78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349</w:t>
            </w:r>
          </w:p>
        </w:tc>
        <w:tc>
          <w:tcPr>
            <w:tcW w:type="dxa" w:w="78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27,9</w:t>
            </w:r>
          </w:p>
        </w:tc>
        <w:tc>
          <w:tcPr>
            <w:tcW w:type="dxa" w:w="78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b/>
                <w:sz w:val="17"/>
              </w:rPr>
              <w:t>No existe</w:t>
            </w:r>
          </w:p>
        </w:tc>
        <w:tc>
          <w:tcPr>
            <w:tcW w:type="dxa" w:w="78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b/>
                <w:sz w:val="17"/>
              </w:rPr>
              <w:t>NO (Alerta Inmune)</w:t>
            </w:r>
          </w:p>
        </w:tc>
        <w:tc>
          <w:tcPr>
            <w:tcW w:type="dxa" w:w="78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Con $\lambda = 0$, $P_{</w:t>
              <w:tab/>
              <w:t>ext{min}} = 1,000$.</w:t>
            </w:r>
          </w:p>
        </w:tc>
      </w:tr>
      <w:tr>
        <w:trPr>
          <w:cantSplit/>
        </w:trPr>
        <w:tc>
          <w:tcPr>
            <w:tcW w:type="dxa" w:w="78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A02828"/>
                <w:sz w:val="17"/>
              </w:rPr>
              <w:t>103100</w:t>
            </w:r>
          </w:p>
        </w:tc>
        <w:tc>
          <w:tcPr>
            <w:tcW w:type="dxa" w:w="78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b/>
                <w:sz w:val="17"/>
              </w:rPr>
              <w:t>Hospital Dr. Leonardo Guzmán (Antofagasta)</w:t>
            </w:r>
          </w:p>
        </w:tc>
        <w:tc>
          <w:tcPr>
            <w:tcW w:type="dxa" w:w="78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663</w:t>
            </w:r>
          </w:p>
        </w:tc>
        <w:tc>
          <w:tcPr>
            <w:tcW w:type="dxa" w:w="78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497,8</w:t>
            </w:r>
          </w:p>
        </w:tc>
        <w:tc>
          <w:tcPr>
            <w:tcW w:type="dxa" w:w="78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1,000</w:t>
            </w:r>
          </w:p>
        </w:tc>
        <w:tc>
          <w:tcPr>
            <w:tcW w:type="dxa" w:w="78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6</w:t>
            </w:r>
          </w:p>
        </w:tc>
        <w:tc>
          <w:tcPr>
            <w:tcW w:type="dxa" w:w="78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4,2</w:t>
            </w:r>
          </w:p>
        </w:tc>
        <w:tc>
          <w:tcPr>
            <w:tcW w:type="dxa" w:w="78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54</w:t>
            </w:r>
          </w:p>
        </w:tc>
        <w:tc>
          <w:tcPr>
            <w:tcW w:type="dxa" w:w="78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3,2</w:t>
            </w:r>
          </w:p>
        </w:tc>
        <w:tc>
          <w:tcPr>
            <w:tcW w:type="dxa" w:w="78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b/>
                <w:sz w:val="17"/>
              </w:rPr>
              <w:t>No existe</w:t>
            </w:r>
          </w:p>
        </w:tc>
        <w:tc>
          <w:tcPr>
            <w:tcW w:type="dxa" w:w="78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b/>
                <w:sz w:val="17"/>
              </w:rPr>
              <w:t>NO (Alerta Inmune)</w:t>
            </w:r>
          </w:p>
        </w:tc>
        <w:tc>
          <w:tcPr>
            <w:tcW w:type="dxa" w:w="78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Con $\lambda = 0$, $P_{</w:t>
              <w:tab/>
              <w:t>ext{min}} = 1,000$.</w:t>
            </w:r>
          </w:p>
        </w:tc>
      </w:tr>
      <w:tr>
        <w:trPr>
          <w:cantSplit/>
        </w:trPr>
        <w:tc>
          <w:tcPr>
            <w:tcW w:type="dxa" w:w="78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A02828"/>
                <w:sz w:val="17"/>
              </w:rPr>
              <w:t>112103</w:t>
            </w:r>
          </w:p>
        </w:tc>
        <w:tc>
          <w:tcPr>
            <w:tcW w:type="dxa" w:w="78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i/>
                <w:sz w:val="17"/>
              </w:rPr>
              <w:t>Instituto Nacional del Tórax (Monográfico)</w:t>
            </w:r>
          </w:p>
        </w:tc>
        <w:tc>
          <w:tcPr>
            <w:tcW w:type="dxa" w:w="78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157</w:t>
            </w:r>
          </w:p>
        </w:tc>
        <w:tc>
          <w:tcPr>
            <w:tcW w:type="dxa" w:w="78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109,8</w:t>
            </w:r>
          </w:p>
        </w:tc>
        <w:tc>
          <w:tcPr>
            <w:tcW w:type="dxa" w:w="78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0,997</w:t>
            </w:r>
          </w:p>
        </w:tc>
        <w:tc>
          <w:tcPr>
            <w:tcW w:type="dxa" w:w="78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6</w:t>
            </w:r>
          </w:p>
        </w:tc>
        <w:tc>
          <w:tcPr>
            <w:tcW w:type="dxa" w:w="78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4,5</w:t>
            </w:r>
          </w:p>
        </w:tc>
        <w:tc>
          <w:tcPr>
            <w:tcW w:type="dxa" w:w="78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36</w:t>
            </w:r>
          </w:p>
        </w:tc>
        <w:tc>
          <w:tcPr>
            <w:tcW w:type="dxa" w:w="78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2,2</w:t>
            </w:r>
          </w:p>
        </w:tc>
        <w:tc>
          <w:tcPr>
            <w:tcW w:type="dxa" w:w="78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b/>
                <w:sz w:val="17"/>
              </w:rPr>
              <w:t>No existe</w:t>
            </w:r>
          </w:p>
        </w:tc>
        <w:tc>
          <w:tcPr>
            <w:tcW w:type="dxa" w:w="78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b/>
                <w:sz w:val="17"/>
              </w:rPr>
              <w:t>NO (Alerta Inmune)</w:t>
            </w:r>
          </w:p>
        </w:tc>
        <w:tc>
          <w:tcPr>
            <w:tcW w:type="dxa" w:w="78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Con $\lambda = 0$, $P_{</w:t>
              <w:tab/>
              <w:t>ext{min}} = 0,996 \ge 0,95$. Inmune a dilución.</w:t>
            </w:r>
          </w:p>
        </w:tc>
      </w:tr>
    </w:tbl>
    <w:p>
      <w:pPr>
        <w:spacing w:before="40" w:after="120"/>
      </w:pPr>
    </w:p>
    <w:p>
      <w:pPr>
        <w:keepNext/>
        <w:spacing w:before="200" w:after="80"/>
      </w:pPr>
      <w:r>
        <w:rPr>
          <w:rFonts w:ascii="Calibri" w:hAnsi="Calibri"/>
          <w:b/>
          <w:color w:val="0369A1"/>
          <w:sz w:val="24"/>
        </w:rPr>
        <w:t>4.3 Sensibilidad a la Sobremortalidad de Derivados y Reconciliación con el Archivo Canónico</w:t>
      </w:r>
    </w:p>
    <w:p>
      <w:pPr>
        <w:spacing w:after="100" w:line="276" w:lineRule="auto"/>
      </w:pPr>
      <w:r>
        <w:t>Se presentan los puntos de quiebre evaluados a partir de los datos exactos del archivo canonical [</w:t>
      </w:r>
      <w:r>
        <w:rPr>
          <w:rFonts w:ascii="Consolas" w:hAnsi="Consolas"/>
          <w:color w:val="A02828"/>
          <w:sz w:val="19"/>
        </w:rPr>
        <w:t>benchmarks_modelos_fase2_2023.csv</w:t>
      </w:r>
      <w:r>
        <w:t>](file:///home/felipe/Documentos/Proyecto%20final/Tesis/Analisis%20exploratorio/benchmarks_modelos_fase2_2023.csv):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rPr>
          <w:cantSplit/>
          <w:tblHeader/>
        </w:trPr>
        <w:tc>
          <w:tcPr>
            <w:tcW w:type="dxa" w:w="117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1E3A8A"/>
            <w:tcBorders>
              <w:top w:val="single" w:sz="6" w:space="0" w:color="1E3A8A"/>
              <w:left w:val="single" w:sz="4" w:space="0" w:color="CBD5E1"/>
              <w:bottom w:val="single" w:sz="12" w:space="0" w:color="1E3A8A"/>
              <w:right w:val="single" w:sz="4" w:space="0" w:color="CBD5E1"/>
            </w:tcBorders>
          </w:tcPr>
          <w:p>
            <w:pPr>
              <w:spacing w:before="20" w:after="20" w:line="252" w:lineRule="auto"/>
            </w:pPr>
            <w:r>
              <w:rPr>
                <w:b/>
                <w:color w:val="FFFFFF"/>
                <w:sz w:val="18"/>
              </w:rPr>
              <w:t>Hospital</w:t>
            </w:r>
          </w:p>
        </w:tc>
        <w:tc>
          <w:tcPr>
            <w:tcW w:type="dxa" w:w="117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1E3A8A"/>
            <w:tcBorders>
              <w:top w:val="single" w:sz="6" w:space="0" w:color="1E3A8A"/>
              <w:left w:val="single" w:sz="4" w:space="0" w:color="CBD5E1"/>
              <w:bottom w:val="single" w:sz="12" w:space="0" w:color="1E3A8A"/>
              <w:right w:val="single" w:sz="4" w:space="0" w:color="CBD5E1"/>
            </w:tcBorders>
          </w:tcPr>
          <w:p>
            <w:pPr>
              <w:spacing w:before="20" w:after="20" w:line="252" w:lineRule="auto"/>
            </w:pPr>
            <w:r>
              <w:rPr>
                <w:b/>
                <w:color w:val="FFFFFF"/>
                <w:sz w:val="18"/>
              </w:rPr>
              <w:t>Fuente de Entrada</w:t>
            </w:r>
          </w:p>
        </w:tc>
        <w:tc>
          <w:tcPr>
            <w:tcW w:type="dxa" w:w="117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1E3A8A"/>
            <w:tcBorders>
              <w:top w:val="single" w:sz="6" w:space="0" w:color="1E3A8A"/>
              <w:left w:val="single" w:sz="4" w:space="0" w:color="CBD5E1"/>
              <w:bottom w:val="single" w:sz="12" w:space="0" w:color="1E3A8A"/>
              <w:right w:val="single" w:sz="4" w:space="0" w:color="CBD5E1"/>
            </w:tcBorders>
          </w:tcPr>
          <w:p>
            <w:pPr>
              <w:spacing w:before="20" w:after="20" w:line="252" w:lineRule="auto"/>
            </w:pPr>
            <w:r>
              <w:rPr>
                <w:b/>
                <w:color w:val="FFFFFF"/>
                <w:sz w:val="18"/>
              </w:rPr>
              <w:t>$E_{</w:t>
              <w:tab/>
              <w:t>ext{base}}$</w:t>
            </w:r>
          </w:p>
        </w:tc>
        <w:tc>
          <w:tcPr>
            <w:tcW w:type="dxa" w:w="117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1E3A8A"/>
            <w:tcBorders>
              <w:top w:val="single" w:sz="6" w:space="0" w:color="1E3A8A"/>
              <w:left w:val="single" w:sz="4" w:space="0" w:color="CBD5E1"/>
              <w:bottom w:val="single" w:sz="12" w:space="0" w:color="1E3A8A"/>
              <w:right w:val="single" w:sz="4" w:space="0" w:color="CBD5E1"/>
            </w:tcBorders>
          </w:tcPr>
          <w:p>
            <w:pPr>
              <w:spacing w:before="20" w:after="20" w:line="252" w:lineRule="auto"/>
            </w:pPr>
            <w:r>
              <w:rPr>
                <w:b/>
                <w:color w:val="FFFFFF"/>
                <w:sz w:val="18"/>
              </w:rPr>
              <w:t>$P_{</w:t>
              <w:tab/>
              <w:t>ext{base}}$</w:t>
            </w:r>
          </w:p>
        </w:tc>
        <w:tc>
          <w:tcPr>
            <w:tcW w:type="dxa" w:w="117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1E3A8A"/>
            <w:tcBorders>
              <w:top w:val="single" w:sz="6" w:space="0" w:color="1E3A8A"/>
              <w:left w:val="single" w:sz="4" w:space="0" w:color="CBD5E1"/>
              <w:bottom w:val="single" w:sz="12" w:space="0" w:color="1E3A8A"/>
              <w:right w:val="single" w:sz="4" w:space="0" w:color="CBD5E1"/>
            </w:tcBorders>
          </w:tcPr>
          <w:p>
            <w:pPr>
              <w:spacing w:before="20" w:after="20" w:line="252" w:lineRule="auto"/>
            </w:pPr>
            <w:r>
              <w:rPr>
                <w:b/>
                <w:color w:val="FFFFFF"/>
                <w:sz w:val="18"/>
              </w:rPr>
              <w:t>$\lambda^*$ Quiebre</w:t>
            </w:r>
          </w:p>
        </w:tc>
        <w:tc>
          <w:tcPr>
            <w:tcW w:type="dxa" w:w="117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1E3A8A"/>
            <w:tcBorders>
              <w:top w:val="single" w:sz="6" w:space="0" w:color="1E3A8A"/>
              <w:left w:val="single" w:sz="4" w:space="0" w:color="CBD5E1"/>
              <w:bottom w:val="single" w:sz="12" w:space="0" w:color="1E3A8A"/>
              <w:right w:val="single" w:sz="4" w:space="0" w:color="CBD5E1"/>
            </w:tcBorders>
          </w:tcPr>
          <w:p>
            <w:pPr>
              <w:spacing w:before="20" w:after="20" w:line="252" w:lineRule="auto"/>
            </w:pPr>
            <w:r>
              <w:rPr>
                <w:b/>
                <w:color w:val="FFFFFF"/>
                <w:sz w:val="18"/>
              </w:rPr>
              <w:t>$P(</w:t>
              <w:tab/>
              <w:t>ext{Byar High})$</w:t>
            </w:r>
          </w:p>
        </w:tc>
        <w:tc>
          <w:tcPr>
            <w:tcW w:type="dxa" w:w="117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1E3A8A"/>
            <w:tcBorders>
              <w:top w:val="single" w:sz="6" w:space="0" w:color="1E3A8A"/>
              <w:left w:val="single" w:sz="4" w:space="0" w:color="CBD5E1"/>
              <w:bottom w:val="single" w:sz="12" w:space="0" w:color="1E3A8A"/>
              <w:right w:val="single" w:sz="4" w:space="0" w:color="CBD5E1"/>
            </w:tcBorders>
          </w:tcPr>
          <w:p>
            <w:pPr>
              <w:spacing w:before="20" w:after="20" w:line="252" w:lineRule="auto"/>
            </w:pPr>
            <w:r>
              <w:rPr>
                <w:b/>
                <w:color w:val="FFFFFF"/>
                <w:sz w:val="18"/>
              </w:rPr>
              <w:t>$P(</w:t>
              <w:tab/>
              <w:t>ext{Puntual } \lambda_{</w:t>
              <w:tab/>
              <w:t>ext{obs}})$</w:t>
            </w:r>
          </w:p>
        </w:tc>
        <w:tc>
          <w:tcPr>
            <w:tcW w:type="dxa" w:w="117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1E3A8A"/>
            <w:tcBorders>
              <w:top w:val="single" w:sz="6" w:space="0" w:color="1E3A8A"/>
              <w:left w:val="single" w:sz="4" w:space="0" w:color="CBD5E1"/>
              <w:bottom w:val="single" w:sz="12" w:space="0" w:color="1E3A8A"/>
              <w:right w:val="single" w:sz="4" w:space="0" w:color="CBD5E1"/>
            </w:tcBorders>
          </w:tcPr>
          <w:p>
            <w:pPr>
              <w:spacing w:before="20" w:after="20" w:line="252" w:lineRule="auto"/>
            </w:pPr>
            <w:r>
              <w:rPr>
                <w:b/>
                <w:color w:val="FFFFFF"/>
                <w:sz w:val="18"/>
              </w:rPr>
              <w:t>Estado de Reproducción</w:t>
            </w:r>
          </w:p>
        </w:tc>
      </w:tr>
      <w:tr>
        <w:trPr>
          <w:cantSplit/>
        </w:trPr>
        <w:tc>
          <w:tcPr>
            <w:tcW w:type="dxa" w:w="117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b/>
                <w:sz w:val="17"/>
              </w:rPr>
              <w:t>Del Salvador</w:t>
            </w:r>
          </w:p>
        </w:tc>
        <w:tc>
          <w:tcPr>
            <w:tcW w:type="dxa" w:w="117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b/>
                <w:sz w:val="17"/>
              </w:rPr>
              <w:t>Cálculo Canónico M2+CAP</w:t>
            </w:r>
          </w:p>
        </w:tc>
        <w:tc>
          <w:tcPr>
            <w:tcW w:type="dxa" w:w="117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b/>
                <w:sz w:val="17"/>
              </w:rPr>
              <w:t>490,73</w:t>
            </w:r>
          </w:p>
        </w:tc>
        <w:tc>
          <w:tcPr>
            <w:tcW w:type="dxa" w:w="117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b/>
                <w:sz w:val="17"/>
              </w:rPr>
              <w:t>0,479</w:t>
            </w:r>
          </w:p>
        </w:tc>
        <w:tc>
          <w:tcPr>
            <w:tcW w:type="dxa" w:w="117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b/>
                <w:sz w:val="17"/>
              </w:rPr>
              <w:t>1,92x</w:t>
            </w:r>
          </w:p>
        </w:tc>
        <w:tc>
          <w:tcPr>
            <w:tcW w:type="dxa" w:w="117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b/>
                <w:sz w:val="17"/>
              </w:rPr>
              <w:t>0,959</w:t>
            </w:r>
          </w:p>
        </w:tc>
        <w:tc>
          <w:tcPr>
            <w:tcW w:type="dxa" w:w="117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b/>
                <w:sz w:val="17"/>
              </w:rPr>
              <w:t>0,710</w:t>
            </w:r>
            <w:r>
              <w:rPr>
                <w:rFonts w:ascii="Calibri" w:hAnsi="Calibri"/>
                <w:sz w:val="17"/>
              </w:rPr>
              <w:t xml:space="preserve"> (con $\lambda=1,33$)</w:t>
            </w:r>
          </w:p>
        </w:tc>
        <w:tc>
          <w:tcPr>
            <w:tcW w:type="dxa" w:w="117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b/>
                <w:sz w:val="17"/>
              </w:rPr>
              <w:t>Reproduce 100% las cifras canónicas</w:t>
            </w:r>
            <w:r>
              <w:rPr>
                <w:rFonts w:ascii="Calibri" w:hAnsi="Calibri"/>
                <w:sz w:val="17"/>
              </w:rPr>
              <w:t xml:space="preserve"> con $E_{</w:t>
              <w:tab/>
              <w:t>ext{base}}=490,73$.</w:t>
            </w:r>
          </w:p>
        </w:tc>
      </w:tr>
      <w:tr>
        <w:trPr>
          <w:cantSplit/>
        </w:trPr>
        <w:tc>
          <w:tcPr>
            <w:tcW w:type="dxa" w:w="117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</w:p>
        </w:tc>
        <w:tc>
          <w:tcPr>
            <w:tcW w:type="dxa" w:w="117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Versión preliminar</w:t>
            </w:r>
          </w:p>
        </w:tc>
        <w:tc>
          <w:tcPr>
            <w:tcW w:type="dxa" w:w="117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496,0</w:t>
            </w:r>
          </w:p>
        </w:tc>
        <w:tc>
          <w:tcPr>
            <w:tcW w:type="dxa" w:w="117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0,384</w:t>
            </w:r>
          </w:p>
        </w:tc>
        <w:tc>
          <w:tcPr>
            <w:tcW w:type="dxa" w:w="117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2,04x</w:t>
            </w:r>
          </w:p>
        </w:tc>
        <w:tc>
          <w:tcPr>
            <w:tcW w:type="dxa" w:w="117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0,935</w:t>
            </w:r>
          </w:p>
        </w:tc>
        <w:tc>
          <w:tcPr>
            <w:tcW w:type="dxa" w:w="117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0,627 (con $\lambda=1,33$)</w:t>
            </w:r>
          </w:p>
        </w:tc>
        <w:tc>
          <w:tcPr>
            <w:tcW w:type="dxa" w:w="117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Reproduce cálculo previo del comité con $E_{</w:t>
              <w:tab/>
              <w:t>ext{base}}=496,0$.</w:t>
            </w:r>
          </w:p>
        </w:tc>
      </w:tr>
      <w:tr>
        <w:trPr>
          <w:cantSplit/>
        </w:trPr>
        <w:tc>
          <w:tcPr>
            <w:tcW w:type="dxa" w:w="117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b/>
                <w:sz w:val="17"/>
              </w:rPr>
              <w:t>Curanilahue</w:t>
            </w:r>
          </w:p>
        </w:tc>
        <w:tc>
          <w:tcPr>
            <w:tcW w:type="dxa" w:w="117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b/>
                <w:sz w:val="17"/>
              </w:rPr>
              <w:t>Cálculo Canónico M2+CAP</w:t>
            </w:r>
          </w:p>
        </w:tc>
        <w:tc>
          <w:tcPr>
            <w:tcW w:type="dxa" w:w="117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b/>
                <w:sz w:val="17"/>
              </w:rPr>
              <w:t>130,27</w:t>
            </w:r>
          </w:p>
        </w:tc>
        <w:tc>
          <w:tcPr>
            <w:tcW w:type="dxa" w:w="117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b/>
                <w:sz w:val="17"/>
              </w:rPr>
              <w:t>0,203</w:t>
            </w:r>
          </w:p>
        </w:tc>
        <w:tc>
          <w:tcPr>
            <w:tcW w:type="dxa" w:w="117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b/>
                <w:sz w:val="17"/>
              </w:rPr>
              <w:t>2,73x</w:t>
            </w:r>
          </w:p>
        </w:tc>
        <w:tc>
          <w:tcPr>
            <w:tcW w:type="dxa" w:w="117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b/>
                <w:sz w:val="17"/>
              </w:rPr>
              <w:t>0,712</w:t>
            </w:r>
          </w:p>
        </w:tc>
        <w:tc>
          <w:tcPr>
            <w:tcW w:type="dxa" w:w="117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0,265</w:t>
            </w:r>
          </w:p>
        </w:tc>
        <w:tc>
          <w:tcPr>
            <w:tcW w:type="dxa" w:w="117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b/>
                <w:sz w:val="17"/>
              </w:rPr>
              <w:t>Reproduce 100% las cifras canónicas</w:t>
            </w:r>
            <w:r>
              <w:rPr>
                <w:rFonts w:ascii="Calibri" w:hAnsi="Calibri"/>
                <w:sz w:val="17"/>
              </w:rPr>
              <w:t xml:space="preserve"> con $E_{</w:t>
              <w:tab/>
              <w:t>ext{base}}=130,27$.</w:t>
            </w:r>
          </w:p>
        </w:tc>
      </w:tr>
      <w:tr>
        <w:trPr>
          <w:cantSplit/>
        </w:trPr>
        <w:tc>
          <w:tcPr>
            <w:tcW w:type="dxa" w:w="117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</w:p>
        </w:tc>
        <w:tc>
          <w:tcPr>
            <w:tcW w:type="dxa" w:w="117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Versión preliminar</w:t>
            </w:r>
          </w:p>
        </w:tc>
        <w:tc>
          <w:tcPr>
            <w:tcW w:type="dxa" w:w="117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139,1</w:t>
            </w:r>
          </w:p>
        </w:tc>
        <w:tc>
          <w:tcPr>
            <w:tcW w:type="dxa" w:w="117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0,063</w:t>
            </w:r>
          </w:p>
        </w:tc>
        <w:tc>
          <w:tcPr>
            <w:tcW w:type="dxa" w:w="117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3,23x</w:t>
            </w:r>
          </w:p>
        </w:tc>
        <w:tc>
          <w:tcPr>
            <w:tcW w:type="dxa" w:w="117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0,452</w:t>
            </w:r>
          </w:p>
        </w:tc>
        <w:tc>
          <w:tcPr>
            <w:tcW w:type="dxa" w:w="117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0,094</w:t>
            </w:r>
          </w:p>
        </w:tc>
        <w:tc>
          <w:tcPr>
            <w:tcW w:type="dxa" w:w="117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Reproduce cálculo previo del comité con $E_{</w:t>
              <w:tab/>
              <w:t>ext{base}}=139,1$.</w:t>
            </w:r>
          </w:p>
        </w:tc>
      </w:tr>
      <w:tr>
        <w:trPr>
          <w:cantSplit/>
        </w:trPr>
        <w:tc>
          <w:tcPr>
            <w:tcW w:type="dxa" w:w="117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b/>
                <w:sz w:val="17"/>
              </w:rPr>
              <w:t>Sótero del Río</w:t>
            </w:r>
          </w:p>
        </w:tc>
        <w:tc>
          <w:tcPr>
            <w:tcW w:type="dxa" w:w="117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b/>
                <w:sz w:val="17"/>
              </w:rPr>
              <w:t>Cálculo Canónico M2+CAP</w:t>
            </w:r>
          </w:p>
        </w:tc>
        <w:tc>
          <w:tcPr>
            <w:tcW w:type="dxa" w:w="117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b/>
                <w:sz w:val="17"/>
              </w:rPr>
              <w:t>1.030,38</w:t>
            </w:r>
          </w:p>
        </w:tc>
        <w:tc>
          <w:tcPr>
            <w:tcW w:type="dxa" w:w="117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0,000</w:t>
            </w:r>
          </w:p>
        </w:tc>
        <w:tc>
          <w:tcPr>
            <w:tcW w:type="dxa" w:w="117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b/>
                <w:sz w:val="17"/>
              </w:rPr>
              <w:t>2,36x</w:t>
            </w:r>
          </w:p>
        </w:tc>
        <w:tc>
          <w:tcPr>
            <w:tcW w:type="dxa" w:w="117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0,033</w:t>
            </w:r>
          </w:p>
        </w:tc>
        <w:tc>
          <w:tcPr>
            <w:tcW w:type="dxa" w:w="117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0,000 (y con $\lambda=2,36, P=\mathbf{0,950}$)</w:t>
            </w:r>
          </w:p>
        </w:tc>
        <w:tc>
          <w:tcPr>
            <w:tcW w:type="dxa" w:w="117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b/>
                <w:sz w:val="17"/>
              </w:rPr>
              <w:t>Reproduce 100% las cifras canónicas</w:t>
            </w:r>
            <w:r>
              <w:rPr>
                <w:rFonts w:ascii="Calibri" w:hAnsi="Calibri"/>
                <w:sz w:val="17"/>
              </w:rPr>
              <w:t xml:space="preserve"> con $E_{</w:t>
              <w:tab/>
              <w:t>ext{base}}=1.030,38$.</w:t>
            </w:r>
          </w:p>
        </w:tc>
      </w:tr>
      <w:tr>
        <w:trPr>
          <w:cantSplit/>
        </w:trPr>
        <w:tc>
          <w:tcPr>
            <w:tcW w:type="dxa" w:w="117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</w:p>
        </w:tc>
        <w:tc>
          <w:tcPr>
            <w:tcW w:type="dxa" w:w="117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Versión preliminar</w:t>
            </w:r>
          </w:p>
        </w:tc>
        <w:tc>
          <w:tcPr>
            <w:tcW w:type="dxa" w:w="117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1.109,2</w:t>
            </w:r>
          </w:p>
        </w:tc>
        <w:tc>
          <w:tcPr>
            <w:tcW w:type="dxa" w:w="117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0,000</w:t>
            </w:r>
          </w:p>
        </w:tc>
        <w:tc>
          <w:tcPr>
            <w:tcW w:type="dxa" w:w="117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2,97x</w:t>
            </w:r>
          </w:p>
        </w:tc>
        <w:tc>
          <w:tcPr>
            <w:tcW w:type="dxa" w:w="117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0,000</w:t>
            </w:r>
          </w:p>
        </w:tc>
        <w:tc>
          <w:tcPr>
            <w:tcW w:type="dxa" w:w="117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0,000 (y con $\lambda=2,36, P=\mathbf{0,247}$)</w:t>
            </w:r>
          </w:p>
        </w:tc>
        <w:tc>
          <w:tcPr>
            <w:tcW w:type="dxa" w:w="117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Reproduce cálculo previo del comité con $E_{</w:t>
              <w:tab/>
              <w:t>ext{base}}=1.109,2$.</w:t>
            </w:r>
          </w:p>
        </w:tc>
      </w:tr>
    </w:tbl>
    <w:p>
      <w:pPr>
        <w:spacing w:before="40" w:after="120"/>
      </w:pPr>
    </w:p>
    <w:p>
      <w:pPr>
        <w:spacing w:after="100" w:line="276" w:lineRule="auto"/>
      </w:pPr>
      <w:r>
        <w:rPr>
          <w:i/>
        </w:rPr>
        <w:t>Aclaración sobre la Cifra $0,712$:</w:t>
      </w:r>
    </w:p>
    <w:p>
      <w:pPr>
        <w:spacing w:after="100" w:line="276" w:lineRule="auto"/>
      </w:pPr>
      <w:r>
        <w:t>Se constata que la cifra $0,712$ coincidía de manera exacta tanto para Curanilahue bajo estrés Byar alto ($P = 0,7121$) como para la estimación puntual de Del Salvador bajo M2+CAP recalibrado ($P = 0,7098 pprox 0,710$). Con el valor canonical $E_{</w:t>
        <w:tab/>
        <w:t>ext{base}} = 490,73$, el Hospital Del Salvador alcanza $P = 0,959$ en la cota Byar ($1,97</w:t>
        <w:tab/>
        <w:t>imes$), superando estrictamente el umbral $0,95$ y confirmando su condición de establecimiento asistencialmente vulnerable al sub-enlace de traslados.</w:t>
      </w:r>
    </w:p>
    <w:p>
      <w:pPr>
        <w:keepNext/>
        <w:spacing w:before="200" w:after="80"/>
      </w:pPr>
      <w:r>
        <w:rPr>
          <w:rFonts w:ascii="Calibri" w:hAnsi="Calibri"/>
          <w:b/>
          <w:color w:val="0369A1"/>
          <w:sz w:val="24"/>
        </w:rPr>
        <w:t>4.4 Ranking Completo de Vulnerabilidad al Sublinkeaje en Hospitales No Alertados (M2+CAP)</w:t>
      </w:r>
    </w:p>
    <w:p>
      <w:pPr>
        <w:spacing w:after="100" w:line="276" w:lineRule="auto"/>
      </w:pPr>
      <w:r>
        <w:t xml:space="preserve">En la red de agudos generales ($K=62$), descontando las </w:t>
      </w:r>
      <w:r>
        <w:rPr>
          <w:b/>
        </w:rPr>
        <w:t>10 Alertas Primarias</w:t>
      </w:r>
      <w:r>
        <w:t xml:space="preserve">, se analizan los </w:t>
      </w:r>
      <w:r>
        <w:rPr>
          <w:b/>
        </w:rPr>
        <w:t>52 hospitales no alertados</w:t>
      </w:r>
      <w:r>
        <w:t xml:space="preserve"> ($10 </w:t>
        <w:tab/>
        <w:t xml:space="preserve">ext{ alertas} + 52 </w:t>
        <w:tab/>
        <w:t>ext{ no alertados} = 62$):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rPr>
          <w:cantSplit/>
          <w:tblHeader/>
        </w:trPr>
        <w:tc>
          <w:tcPr>
            <w:tcW w:type="dxa" w:w="10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1E3A8A"/>
            <w:tcBorders>
              <w:top w:val="single" w:sz="6" w:space="0" w:color="1E3A8A"/>
              <w:left w:val="single" w:sz="4" w:space="0" w:color="CBD5E1"/>
              <w:bottom w:val="single" w:sz="12" w:space="0" w:color="1E3A8A"/>
              <w:right w:val="single" w:sz="4" w:space="0" w:color="CBD5E1"/>
            </w:tcBorders>
          </w:tcPr>
          <w:p>
            <w:pPr>
              <w:spacing w:before="20" w:after="20" w:line="252" w:lineRule="auto"/>
            </w:pPr>
            <w:r>
              <w:rPr>
                <w:b/>
                <w:color w:val="FFFFFF"/>
                <w:sz w:val="18"/>
              </w:rPr>
              <w:t>Código</w:t>
            </w:r>
          </w:p>
        </w:tc>
        <w:tc>
          <w:tcPr>
            <w:tcW w:type="dxa" w:w="10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1E3A8A"/>
            <w:tcBorders>
              <w:top w:val="single" w:sz="6" w:space="0" w:color="1E3A8A"/>
              <w:left w:val="single" w:sz="4" w:space="0" w:color="CBD5E1"/>
              <w:bottom w:val="single" w:sz="12" w:space="0" w:color="1E3A8A"/>
              <w:right w:val="single" w:sz="4" w:space="0" w:color="CBD5E1"/>
            </w:tcBorders>
          </w:tcPr>
          <w:p>
            <w:pPr>
              <w:spacing w:before="20" w:after="20" w:line="252" w:lineRule="auto"/>
            </w:pPr>
            <w:r>
              <w:rPr>
                <w:b/>
                <w:color w:val="FFFFFF"/>
                <w:sz w:val="18"/>
              </w:rPr>
              <w:t>Establecimiento</w:t>
            </w:r>
          </w:p>
        </w:tc>
        <w:tc>
          <w:tcPr>
            <w:tcW w:type="dxa" w:w="10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1E3A8A"/>
            <w:tcBorders>
              <w:top w:val="single" w:sz="6" w:space="0" w:color="1E3A8A"/>
              <w:left w:val="single" w:sz="4" w:space="0" w:color="CBD5E1"/>
              <w:bottom w:val="single" w:sz="12" w:space="0" w:color="1E3A8A"/>
              <w:right w:val="single" w:sz="4" w:space="0" w:color="CBD5E1"/>
            </w:tcBorders>
          </w:tcPr>
          <w:p>
            <w:pPr>
              <w:spacing w:before="20" w:after="20" w:line="252" w:lineRule="auto"/>
            </w:pPr>
            <w:r>
              <w:rPr>
                <w:b/>
                <w:color w:val="FFFFFF"/>
                <w:sz w:val="18"/>
              </w:rPr>
              <w:t>$N_{</w:t>
              <w:tab/>
              <w:t>ext{tr}}$</w:t>
            </w:r>
          </w:p>
        </w:tc>
        <w:tc>
          <w:tcPr>
            <w:tcW w:type="dxa" w:w="10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1E3A8A"/>
            <w:tcBorders>
              <w:top w:val="single" w:sz="6" w:space="0" w:color="1E3A8A"/>
              <w:left w:val="single" w:sz="4" w:space="0" w:color="CBD5E1"/>
              <w:bottom w:val="single" w:sz="12" w:space="0" w:color="1E3A8A"/>
              <w:right w:val="single" w:sz="4" w:space="0" w:color="CBD5E1"/>
            </w:tcBorders>
          </w:tcPr>
          <w:p>
            <w:pPr>
              <w:spacing w:before="20" w:after="20" w:line="252" w:lineRule="auto"/>
            </w:pPr>
            <w:r>
              <w:rPr>
                <w:b/>
                <w:color w:val="FFFFFF"/>
                <w:sz w:val="18"/>
              </w:rPr>
              <w:t>No Enlaz.</w:t>
            </w:r>
          </w:p>
        </w:tc>
        <w:tc>
          <w:tcPr>
            <w:tcW w:type="dxa" w:w="10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1E3A8A"/>
            <w:tcBorders>
              <w:top w:val="single" w:sz="6" w:space="0" w:color="1E3A8A"/>
              <w:left w:val="single" w:sz="4" w:space="0" w:color="CBD5E1"/>
              <w:bottom w:val="single" w:sz="12" w:space="0" w:color="1E3A8A"/>
              <w:right w:val="single" w:sz="4" w:space="0" w:color="CBD5E1"/>
            </w:tcBorders>
          </w:tcPr>
          <w:p>
            <w:pPr>
              <w:spacing w:before="20" w:after="20" w:line="252" w:lineRule="auto"/>
            </w:pPr>
            <w:r>
              <w:rPr>
                <w:b/>
                <w:color w:val="FFFFFF"/>
                <w:sz w:val="18"/>
              </w:rPr>
              <w:t>$E_{</w:t>
              <w:tab/>
              <w:t>ext{nolink}}$</w:t>
            </w:r>
          </w:p>
        </w:tc>
        <w:tc>
          <w:tcPr>
            <w:tcW w:type="dxa" w:w="10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1E3A8A"/>
            <w:tcBorders>
              <w:top w:val="single" w:sz="6" w:space="0" w:color="1E3A8A"/>
              <w:left w:val="single" w:sz="4" w:space="0" w:color="CBD5E1"/>
              <w:bottom w:val="single" w:sz="12" w:space="0" w:color="1E3A8A"/>
              <w:right w:val="single" w:sz="4" w:space="0" w:color="CBD5E1"/>
            </w:tcBorders>
          </w:tcPr>
          <w:p>
            <w:pPr>
              <w:spacing w:before="20" w:after="20" w:line="252" w:lineRule="auto"/>
            </w:pPr>
            <w:r>
              <w:rPr>
                <w:b/>
                <w:color w:val="FFFFFF"/>
                <w:sz w:val="18"/>
              </w:rPr>
              <w:t>$\lambda_{</w:t>
              <w:tab/>
              <w:t>ext{obs}}$ [Byar High]</w:t>
            </w:r>
          </w:p>
        </w:tc>
        <w:tc>
          <w:tcPr>
            <w:tcW w:type="dxa" w:w="10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1E3A8A"/>
            <w:tcBorders>
              <w:top w:val="single" w:sz="6" w:space="0" w:color="1E3A8A"/>
              <w:left w:val="single" w:sz="4" w:space="0" w:color="CBD5E1"/>
              <w:bottom w:val="single" w:sz="12" w:space="0" w:color="1E3A8A"/>
              <w:right w:val="single" w:sz="4" w:space="0" w:color="CBD5E1"/>
            </w:tcBorders>
          </w:tcPr>
          <w:p>
            <w:pPr>
              <w:spacing w:before="20" w:after="20" w:line="252" w:lineRule="auto"/>
            </w:pPr>
            <w:r>
              <w:rPr>
                <w:b/>
                <w:color w:val="FFFFFF"/>
                <w:sz w:val="18"/>
              </w:rPr>
              <w:t>$\lambda^*$ Quiebre</w:t>
            </w:r>
          </w:p>
        </w:tc>
        <w:tc>
          <w:tcPr>
            <w:tcW w:type="dxa" w:w="10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1E3A8A"/>
            <w:tcBorders>
              <w:top w:val="single" w:sz="6" w:space="0" w:color="1E3A8A"/>
              <w:left w:val="single" w:sz="4" w:space="0" w:color="CBD5E1"/>
              <w:bottom w:val="single" w:sz="12" w:space="0" w:color="1E3A8A"/>
              <w:right w:val="single" w:sz="4" w:space="0" w:color="CBD5E1"/>
            </w:tcBorders>
          </w:tcPr>
          <w:p>
            <w:pPr>
              <w:spacing w:before="20" w:after="20" w:line="252" w:lineRule="auto"/>
            </w:pPr>
            <w:r>
              <w:rPr>
                <w:b/>
                <w:color w:val="FFFFFF"/>
                <w:sz w:val="18"/>
              </w:rPr>
              <w:t>Mort. Quiebre %</w:t>
            </w:r>
          </w:p>
        </w:tc>
        <w:tc>
          <w:tcPr>
            <w:tcW w:type="dxa" w:w="10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1E3A8A"/>
            <w:tcBorders>
              <w:top w:val="single" w:sz="6" w:space="0" w:color="1E3A8A"/>
              <w:left w:val="single" w:sz="4" w:space="0" w:color="CBD5E1"/>
              <w:bottom w:val="single" w:sz="12" w:space="0" w:color="1E3A8A"/>
              <w:right w:val="single" w:sz="4" w:space="0" w:color="CBD5E1"/>
            </w:tcBorders>
          </w:tcPr>
          <w:p>
            <w:pPr>
              <w:spacing w:before="20" w:after="20" w:line="252" w:lineRule="auto"/>
            </w:pPr>
            <w:r>
              <w:rPr>
                <w:b/>
                <w:color w:val="FFFFFF"/>
                <w:sz w:val="18"/>
              </w:rPr>
              <w:t>Condición de Vulnerabilidad</w:t>
            </w:r>
          </w:p>
        </w:tc>
      </w:tr>
      <w:tr>
        <w:trPr>
          <w:cantSplit/>
        </w:trPr>
        <w:tc>
          <w:tcPr>
            <w:tcW w:type="dxa" w:w="10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A02828"/>
                <w:sz w:val="17"/>
              </w:rPr>
              <w:t>105102</w:t>
            </w:r>
          </w:p>
        </w:tc>
        <w:tc>
          <w:tcPr>
            <w:tcW w:type="dxa" w:w="10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b/>
                <w:sz w:val="17"/>
              </w:rPr>
              <w:t>Hospital de Ovalle</w:t>
            </w:r>
          </w:p>
        </w:tc>
        <w:tc>
          <w:tcPr>
            <w:tcW w:type="dxa" w:w="10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219</w:t>
            </w:r>
          </w:p>
        </w:tc>
        <w:tc>
          <w:tcPr>
            <w:tcW w:type="dxa" w:w="10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96</w:t>
            </w:r>
          </w:p>
        </w:tc>
        <w:tc>
          <w:tcPr>
            <w:tcW w:type="dxa" w:w="10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11,6</w:t>
            </w:r>
          </w:p>
        </w:tc>
        <w:tc>
          <w:tcPr>
            <w:tcW w:type="dxa" w:w="10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1,65x [</w:t>
            </w:r>
            <w:r>
              <w:rPr>
                <w:rFonts w:ascii="Calibri" w:hAnsi="Calibri"/>
                <w:b/>
                <w:sz w:val="17"/>
              </w:rPr>
              <w:t>2,76x</w:t>
            </w:r>
            <w:r>
              <w:rPr>
                <w:rFonts w:ascii="Calibri" w:hAnsi="Calibri"/>
                <w:sz w:val="17"/>
              </w:rPr>
              <w:t>]</w:t>
            </w:r>
          </w:p>
        </w:tc>
        <w:tc>
          <w:tcPr>
            <w:tcW w:type="dxa" w:w="10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b/>
                <w:sz w:val="17"/>
              </w:rPr>
              <w:t>1,78x</w:t>
            </w:r>
          </w:p>
        </w:tc>
        <w:tc>
          <w:tcPr>
            <w:tcW w:type="dxa" w:w="10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21,5%</w:t>
            </w:r>
          </w:p>
        </w:tc>
        <w:tc>
          <w:tcPr>
            <w:tcW w:type="dxa" w:w="10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b/>
                <w:sz w:val="17"/>
              </w:rPr>
              <w:t>VULNERABLE</w:t>
            </w:r>
            <w:r>
              <w:rPr>
                <w:rFonts w:ascii="Calibri" w:hAnsi="Calibri"/>
                <w:sz w:val="17"/>
              </w:rPr>
              <w:t xml:space="preserve"> ($\lambda^* &lt; </w:t>
              <w:tab/>
              <w:t>ext{Byar High}$)</w:t>
            </w:r>
          </w:p>
        </w:tc>
      </w:tr>
      <w:tr>
        <w:trPr>
          <w:cantSplit/>
        </w:trPr>
        <w:tc>
          <w:tcPr>
            <w:tcW w:type="dxa" w:w="10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A02828"/>
                <w:sz w:val="17"/>
              </w:rPr>
              <w:t>112100</w:t>
            </w:r>
          </w:p>
        </w:tc>
        <w:tc>
          <w:tcPr>
            <w:tcW w:type="dxa" w:w="10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b/>
                <w:sz w:val="17"/>
              </w:rPr>
              <w:t>Hospital Del Salvador</w:t>
            </w:r>
          </w:p>
        </w:tc>
        <w:tc>
          <w:tcPr>
            <w:tcW w:type="dxa" w:w="10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669</w:t>
            </w:r>
          </w:p>
        </w:tc>
        <w:tc>
          <w:tcPr>
            <w:tcW w:type="dxa" w:w="10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489</w:t>
            </w:r>
          </w:p>
        </w:tc>
        <w:tc>
          <w:tcPr>
            <w:tcW w:type="dxa" w:w="10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47,0</w:t>
            </w:r>
          </w:p>
        </w:tc>
        <w:tc>
          <w:tcPr>
            <w:tcW w:type="dxa" w:w="10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1,33x [</w:t>
            </w:r>
            <w:r>
              <w:rPr>
                <w:rFonts w:ascii="Calibri" w:hAnsi="Calibri"/>
                <w:b/>
                <w:sz w:val="17"/>
              </w:rPr>
              <w:t>1,97x</w:t>
            </w:r>
            <w:r>
              <w:rPr>
                <w:rFonts w:ascii="Calibri" w:hAnsi="Calibri"/>
                <w:sz w:val="17"/>
              </w:rPr>
              <w:t>]</w:t>
            </w:r>
          </w:p>
        </w:tc>
        <w:tc>
          <w:tcPr>
            <w:tcW w:type="dxa" w:w="10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b/>
                <w:sz w:val="17"/>
              </w:rPr>
              <w:t>1,92x</w:t>
            </w:r>
          </w:p>
        </w:tc>
        <w:tc>
          <w:tcPr>
            <w:tcW w:type="dxa" w:w="10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18,4%</w:t>
            </w:r>
          </w:p>
        </w:tc>
        <w:tc>
          <w:tcPr>
            <w:tcW w:type="dxa" w:w="10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b/>
                <w:sz w:val="17"/>
              </w:rPr>
              <w:t>VULNERABLE</w:t>
            </w:r>
            <w:r>
              <w:rPr>
                <w:rFonts w:ascii="Calibri" w:hAnsi="Calibri"/>
                <w:sz w:val="17"/>
              </w:rPr>
              <w:t xml:space="preserve"> ($\lambda^* &lt; </w:t>
              <w:tab/>
              <w:t>ext{Byar High}$)</w:t>
            </w:r>
          </w:p>
        </w:tc>
      </w:tr>
      <w:tr>
        <w:trPr>
          <w:cantSplit/>
        </w:trPr>
        <w:tc>
          <w:tcPr>
            <w:tcW w:type="dxa" w:w="10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A02828"/>
                <w:sz w:val="17"/>
              </w:rPr>
              <w:t>104100</w:t>
            </w:r>
          </w:p>
        </w:tc>
        <w:tc>
          <w:tcPr>
            <w:tcW w:type="dxa" w:w="10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b/>
                <w:sz w:val="17"/>
              </w:rPr>
              <w:t>Hospital de Copiapó</w:t>
            </w:r>
          </w:p>
        </w:tc>
        <w:tc>
          <w:tcPr>
            <w:tcW w:type="dxa" w:w="10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203</w:t>
            </w:r>
          </w:p>
        </w:tc>
        <w:tc>
          <w:tcPr>
            <w:tcW w:type="dxa" w:w="10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78</w:t>
            </w:r>
          </w:p>
        </w:tc>
        <w:tc>
          <w:tcPr>
            <w:tcW w:type="dxa" w:w="10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6,0</w:t>
            </w:r>
          </w:p>
        </w:tc>
        <w:tc>
          <w:tcPr>
            <w:tcW w:type="dxa" w:w="10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1,42x [</w:t>
            </w:r>
            <w:r>
              <w:rPr>
                <w:rFonts w:ascii="Calibri" w:hAnsi="Calibri"/>
                <w:b/>
                <w:sz w:val="17"/>
              </w:rPr>
              <w:t>2,70x</w:t>
            </w:r>
            <w:r>
              <w:rPr>
                <w:rFonts w:ascii="Calibri" w:hAnsi="Calibri"/>
                <w:sz w:val="17"/>
              </w:rPr>
              <w:t>]</w:t>
            </w:r>
          </w:p>
        </w:tc>
        <w:tc>
          <w:tcPr>
            <w:tcW w:type="dxa" w:w="10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b/>
                <w:sz w:val="17"/>
              </w:rPr>
              <w:t>1,94x</w:t>
            </w:r>
          </w:p>
        </w:tc>
        <w:tc>
          <w:tcPr>
            <w:tcW w:type="dxa" w:w="10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14,9%</w:t>
            </w:r>
          </w:p>
        </w:tc>
        <w:tc>
          <w:tcPr>
            <w:tcW w:type="dxa" w:w="10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b/>
                <w:sz w:val="17"/>
              </w:rPr>
              <w:t>VULNERABLE</w:t>
            </w:r>
            <w:r>
              <w:rPr>
                <w:rFonts w:ascii="Calibri" w:hAnsi="Calibri"/>
                <w:sz w:val="17"/>
              </w:rPr>
              <w:t xml:space="preserve"> ($\lambda^* &lt; </w:t>
              <w:tab/>
              <w:t>ext{Byar High}$)</w:t>
            </w:r>
          </w:p>
        </w:tc>
      </w:tr>
      <w:tr>
        <w:trPr>
          <w:cantSplit/>
        </w:trPr>
        <w:tc>
          <w:tcPr>
            <w:tcW w:type="dxa" w:w="10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A02828"/>
                <w:sz w:val="17"/>
              </w:rPr>
              <w:t>114101</w:t>
            </w:r>
          </w:p>
        </w:tc>
        <w:tc>
          <w:tcPr>
            <w:tcW w:type="dxa" w:w="10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Complejo Hosp. Dr. Sótero del Río</w:t>
            </w:r>
          </w:p>
        </w:tc>
        <w:tc>
          <w:tcPr>
            <w:tcW w:type="dxa" w:w="10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2.385</w:t>
            </w:r>
          </w:p>
        </w:tc>
        <w:tc>
          <w:tcPr>
            <w:tcW w:type="dxa" w:w="10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1.764</w:t>
            </w:r>
          </w:p>
        </w:tc>
        <w:tc>
          <w:tcPr>
            <w:tcW w:type="dxa" w:w="10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145,8</w:t>
            </w:r>
          </w:p>
        </w:tc>
        <w:tc>
          <w:tcPr>
            <w:tcW w:type="dxa" w:w="10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1,10x [1,48x]</w:t>
            </w:r>
          </w:p>
        </w:tc>
        <w:tc>
          <w:tcPr>
            <w:tcW w:type="dxa" w:w="10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b/>
                <w:sz w:val="17"/>
              </w:rPr>
              <w:t>2,36x</w:t>
            </w:r>
          </w:p>
        </w:tc>
        <w:tc>
          <w:tcPr>
            <w:tcW w:type="dxa" w:w="10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19,5%</w:t>
            </w:r>
          </w:p>
        </w:tc>
        <w:tc>
          <w:tcPr>
            <w:tcW w:type="dxa" w:w="10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 xml:space="preserve">No vulnerable ($\lambda^* &gt; </w:t>
              <w:tab/>
              <w:t>ext{Byar High}$)</w:t>
            </w:r>
          </w:p>
        </w:tc>
      </w:tr>
      <w:tr>
        <w:trPr>
          <w:cantSplit/>
        </w:trPr>
        <w:tc>
          <w:tcPr>
            <w:tcW w:type="dxa" w:w="10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A02828"/>
                <w:sz w:val="17"/>
              </w:rPr>
              <w:t>108100</w:t>
            </w:r>
          </w:p>
        </w:tc>
        <w:tc>
          <w:tcPr>
            <w:tcW w:type="dxa" w:w="10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Hospital de San Camilo (San Felipe)</w:t>
            </w:r>
          </w:p>
        </w:tc>
        <w:tc>
          <w:tcPr>
            <w:tcW w:type="dxa" w:w="10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262</w:t>
            </w:r>
          </w:p>
        </w:tc>
        <w:tc>
          <w:tcPr>
            <w:tcW w:type="dxa" w:w="10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130</w:t>
            </w:r>
          </w:p>
        </w:tc>
        <w:tc>
          <w:tcPr>
            <w:tcW w:type="dxa" w:w="10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11,8</w:t>
            </w:r>
          </w:p>
        </w:tc>
        <w:tc>
          <w:tcPr>
            <w:tcW w:type="dxa" w:w="10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0,83x [1,71x]</w:t>
            </w:r>
          </w:p>
        </w:tc>
        <w:tc>
          <w:tcPr>
            <w:tcW w:type="dxa" w:w="10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b/>
                <w:sz w:val="17"/>
              </w:rPr>
              <w:t>2,36x</w:t>
            </w:r>
          </w:p>
        </w:tc>
        <w:tc>
          <w:tcPr>
            <w:tcW w:type="dxa" w:w="10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21,5%</w:t>
            </w:r>
          </w:p>
        </w:tc>
        <w:tc>
          <w:tcPr>
            <w:tcW w:type="dxa" w:w="10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 xml:space="preserve">No vulnerable ($\lambda^* &gt; </w:t>
              <w:tab/>
              <w:t>ext{Byar High}$)</w:t>
            </w:r>
          </w:p>
        </w:tc>
      </w:tr>
      <w:tr>
        <w:trPr>
          <w:cantSplit/>
        </w:trPr>
        <w:tc>
          <w:tcPr>
            <w:tcW w:type="dxa" w:w="10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A02828"/>
                <w:sz w:val="17"/>
              </w:rPr>
              <w:t>133150</w:t>
            </w:r>
          </w:p>
        </w:tc>
        <w:tc>
          <w:tcPr>
            <w:tcW w:type="dxa" w:w="10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Hospital de Castro</w:t>
            </w:r>
          </w:p>
        </w:tc>
        <w:tc>
          <w:tcPr>
            <w:tcW w:type="dxa" w:w="10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394</w:t>
            </w:r>
          </w:p>
        </w:tc>
        <w:tc>
          <w:tcPr>
            <w:tcW w:type="dxa" w:w="10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274</w:t>
            </w:r>
          </w:p>
        </w:tc>
        <w:tc>
          <w:tcPr>
            <w:tcW w:type="dxa" w:w="10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26,5</w:t>
            </w:r>
          </w:p>
        </w:tc>
        <w:tc>
          <w:tcPr>
            <w:tcW w:type="dxa" w:w="10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0,66x [1,69x]</w:t>
            </w:r>
          </w:p>
        </w:tc>
        <w:tc>
          <w:tcPr>
            <w:tcW w:type="dxa" w:w="10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b/>
                <w:sz w:val="17"/>
              </w:rPr>
              <w:t>2,44x</w:t>
            </w:r>
          </w:p>
        </w:tc>
        <w:tc>
          <w:tcPr>
            <w:tcW w:type="dxa" w:w="10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23,7%</w:t>
            </w:r>
          </w:p>
        </w:tc>
        <w:tc>
          <w:tcPr>
            <w:tcW w:type="dxa" w:w="10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 xml:space="preserve">No vulnerable ($\lambda^* &gt; </w:t>
              <w:tab/>
              <w:t>ext{Byar High}$)</w:t>
            </w:r>
          </w:p>
        </w:tc>
      </w:tr>
      <w:tr>
        <w:trPr>
          <w:cantSplit/>
        </w:trPr>
        <w:tc>
          <w:tcPr>
            <w:tcW w:type="dxa" w:w="10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A02828"/>
                <w:sz w:val="17"/>
              </w:rPr>
              <w:t>116108</w:t>
            </w:r>
          </w:p>
        </w:tc>
        <w:tc>
          <w:tcPr>
            <w:tcW w:type="dxa" w:w="10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Hospital de Linares</w:t>
            </w:r>
          </w:p>
        </w:tc>
        <w:tc>
          <w:tcPr>
            <w:tcW w:type="dxa" w:w="10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372</w:t>
            </w:r>
          </w:p>
        </w:tc>
        <w:tc>
          <w:tcPr>
            <w:tcW w:type="dxa" w:w="10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114</w:t>
            </w:r>
          </w:p>
        </w:tc>
        <w:tc>
          <w:tcPr>
            <w:tcW w:type="dxa" w:w="10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12,5</w:t>
            </w:r>
          </w:p>
        </w:tc>
        <w:tc>
          <w:tcPr>
            <w:tcW w:type="dxa" w:w="10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1,31x [2,05x]</w:t>
            </w:r>
          </w:p>
        </w:tc>
        <w:tc>
          <w:tcPr>
            <w:tcW w:type="dxa" w:w="10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b/>
                <w:sz w:val="17"/>
              </w:rPr>
              <w:t>2,63x</w:t>
            </w:r>
          </w:p>
        </w:tc>
        <w:tc>
          <w:tcPr>
            <w:tcW w:type="dxa" w:w="10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28,9%</w:t>
            </w:r>
          </w:p>
        </w:tc>
        <w:tc>
          <w:tcPr>
            <w:tcW w:type="dxa" w:w="10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 xml:space="preserve">No vulnerable ($\lambda^* &gt; </w:t>
              <w:tab/>
              <w:t>ext{Byar High}$)</w:t>
            </w:r>
          </w:p>
        </w:tc>
      </w:tr>
      <w:tr>
        <w:trPr>
          <w:cantSplit/>
        </w:trPr>
        <w:tc>
          <w:tcPr>
            <w:tcW w:type="dxa" w:w="10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A02828"/>
                <w:sz w:val="17"/>
              </w:rPr>
              <w:t>128109</w:t>
            </w:r>
          </w:p>
        </w:tc>
        <w:tc>
          <w:tcPr>
            <w:tcW w:type="dxa" w:w="10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Hospital de Curanilahue</w:t>
            </w:r>
          </w:p>
        </w:tc>
        <w:tc>
          <w:tcPr>
            <w:tcW w:type="dxa" w:w="10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511</w:t>
            </w:r>
          </w:p>
        </w:tc>
        <w:tc>
          <w:tcPr>
            <w:tcW w:type="dxa" w:w="10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301</w:t>
            </w:r>
          </w:p>
        </w:tc>
        <w:tc>
          <w:tcPr>
            <w:tcW w:type="dxa" w:w="10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20,5</w:t>
            </w:r>
          </w:p>
        </w:tc>
        <w:tc>
          <w:tcPr>
            <w:tcW w:type="dxa" w:w="10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1,14x [1,99x]</w:t>
            </w:r>
          </w:p>
        </w:tc>
        <w:tc>
          <w:tcPr>
            <w:tcW w:type="dxa" w:w="10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b/>
                <w:sz w:val="17"/>
              </w:rPr>
              <w:t>2,73x</w:t>
            </w:r>
          </w:p>
        </w:tc>
        <w:tc>
          <w:tcPr>
            <w:tcW w:type="dxa" w:w="10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18,6%</w:t>
            </w:r>
          </w:p>
        </w:tc>
        <w:tc>
          <w:tcPr>
            <w:tcW w:type="dxa" w:w="10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 xml:space="preserve">No vulnerable ($\lambda^* &gt; </w:t>
              <w:tab/>
              <w:t>ext{Byar High}$)</w:t>
            </w:r>
          </w:p>
        </w:tc>
      </w:tr>
      <w:tr>
        <w:trPr>
          <w:cantSplit/>
        </w:trPr>
        <w:tc>
          <w:tcPr>
            <w:tcW w:type="dxa" w:w="10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A02828"/>
                <w:sz w:val="17"/>
              </w:rPr>
              <w:t>107100</w:t>
            </w:r>
          </w:p>
        </w:tc>
        <w:tc>
          <w:tcPr>
            <w:tcW w:type="dxa" w:w="10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Hospital Dr. Gustavo Fricke</w:t>
            </w:r>
          </w:p>
        </w:tc>
        <w:tc>
          <w:tcPr>
            <w:tcW w:type="dxa" w:w="10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570</w:t>
            </w:r>
          </w:p>
        </w:tc>
        <w:tc>
          <w:tcPr>
            <w:tcW w:type="dxa" w:w="10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348</w:t>
            </w:r>
          </w:p>
        </w:tc>
        <w:tc>
          <w:tcPr>
            <w:tcW w:type="dxa" w:w="10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29,8</w:t>
            </w:r>
          </w:p>
        </w:tc>
        <w:tc>
          <w:tcPr>
            <w:tcW w:type="dxa" w:w="10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1,02x [1,63x]</w:t>
            </w:r>
          </w:p>
        </w:tc>
        <w:tc>
          <w:tcPr>
            <w:tcW w:type="dxa" w:w="10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b/>
                <w:sz w:val="17"/>
              </w:rPr>
              <w:t>3,26x</w:t>
            </w:r>
          </w:p>
        </w:tc>
        <w:tc>
          <w:tcPr>
            <w:tcW w:type="dxa" w:w="10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27,9%</w:t>
            </w:r>
          </w:p>
        </w:tc>
        <w:tc>
          <w:tcPr>
            <w:tcW w:type="dxa" w:w="10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 xml:space="preserve">No vulnerable ($\lambda^* &gt; </w:t>
              <w:tab/>
              <w:t>ext{Byar High}$)</w:t>
            </w:r>
          </w:p>
        </w:tc>
      </w:tr>
      <w:tr>
        <w:trPr>
          <w:cantSplit/>
        </w:trPr>
        <w:tc>
          <w:tcPr>
            <w:tcW w:type="dxa" w:w="10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A02828"/>
                <w:sz w:val="17"/>
              </w:rPr>
              <w:t>115100</w:t>
            </w:r>
          </w:p>
        </w:tc>
        <w:tc>
          <w:tcPr>
            <w:tcW w:type="dxa" w:w="10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Hospital Regional de Rancagua</w:t>
            </w:r>
          </w:p>
        </w:tc>
        <w:tc>
          <w:tcPr>
            <w:tcW w:type="dxa" w:w="10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834</w:t>
            </w:r>
          </w:p>
        </w:tc>
        <w:tc>
          <w:tcPr>
            <w:tcW w:type="dxa" w:w="10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604</w:t>
            </w:r>
          </w:p>
        </w:tc>
        <w:tc>
          <w:tcPr>
            <w:tcW w:type="dxa" w:w="10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67,8</w:t>
            </w:r>
          </w:p>
        </w:tc>
        <w:tc>
          <w:tcPr>
            <w:tcW w:type="dxa" w:w="10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0,65x [1,13x]</w:t>
            </w:r>
          </w:p>
        </w:tc>
        <w:tc>
          <w:tcPr>
            <w:tcW w:type="dxa" w:w="10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b/>
                <w:sz w:val="17"/>
              </w:rPr>
              <w:t>3,45x</w:t>
            </w:r>
          </w:p>
        </w:tc>
        <w:tc>
          <w:tcPr>
            <w:tcW w:type="dxa" w:w="10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38,7%</w:t>
            </w:r>
          </w:p>
        </w:tc>
        <w:tc>
          <w:tcPr>
            <w:tcW w:type="dxa" w:w="10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 xml:space="preserve">No vulnerable ($\lambda^* &gt; </w:t>
              <w:tab/>
              <w:t>ext{Byar High}$)</w:t>
            </w:r>
          </w:p>
        </w:tc>
      </w:tr>
      <w:tr>
        <w:trPr>
          <w:cantSplit/>
        </w:trPr>
        <w:tc>
          <w:tcPr>
            <w:tcW w:type="dxa" w:w="10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A02828"/>
                <w:sz w:val="17"/>
              </w:rPr>
              <w:t>102100</w:t>
            </w:r>
          </w:p>
        </w:tc>
        <w:tc>
          <w:tcPr>
            <w:tcW w:type="dxa" w:w="10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Hospital de Iquique</w:t>
            </w:r>
          </w:p>
        </w:tc>
        <w:tc>
          <w:tcPr>
            <w:tcW w:type="dxa" w:w="10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427</w:t>
            </w:r>
          </w:p>
        </w:tc>
        <w:tc>
          <w:tcPr>
            <w:tcW w:type="dxa" w:w="10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247</w:t>
            </w:r>
          </w:p>
        </w:tc>
        <w:tc>
          <w:tcPr>
            <w:tcW w:type="dxa" w:w="10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21,3</w:t>
            </w:r>
          </w:p>
        </w:tc>
        <w:tc>
          <w:tcPr>
            <w:tcW w:type="dxa" w:w="10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0,64x [1,32x]</w:t>
            </w:r>
          </w:p>
        </w:tc>
        <w:tc>
          <w:tcPr>
            <w:tcW w:type="dxa" w:w="10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b/>
                <w:sz w:val="17"/>
              </w:rPr>
              <w:t>4,24x</w:t>
            </w:r>
          </w:p>
        </w:tc>
        <w:tc>
          <w:tcPr>
            <w:tcW w:type="dxa" w:w="10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36,5%</w:t>
            </w:r>
          </w:p>
        </w:tc>
        <w:tc>
          <w:tcPr>
            <w:tcW w:type="dxa" w:w="10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 xml:space="preserve">No vulnerable ($\lambda^* &gt; </w:t>
              <w:tab/>
              <w:t>ext{Byar High}$)</w:t>
            </w:r>
          </w:p>
        </w:tc>
      </w:tr>
      <w:tr>
        <w:trPr>
          <w:cantSplit/>
        </w:trPr>
        <w:tc>
          <w:tcPr>
            <w:tcW w:type="dxa" w:w="10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A02828"/>
                <w:sz w:val="17"/>
              </w:rPr>
              <w:t>121110</w:t>
            </w:r>
          </w:p>
        </w:tc>
        <w:tc>
          <w:tcPr>
            <w:tcW w:type="dxa" w:w="10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Hospital de Lautaro</w:t>
            </w:r>
          </w:p>
        </w:tc>
        <w:tc>
          <w:tcPr>
            <w:tcW w:type="dxa" w:w="10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305</w:t>
            </w:r>
          </w:p>
        </w:tc>
        <w:tc>
          <w:tcPr>
            <w:tcW w:type="dxa" w:w="10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120</w:t>
            </w:r>
          </w:p>
        </w:tc>
        <w:tc>
          <w:tcPr>
            <w:tcW w:type="dxa" w:w="10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15,0</w:t>
            </w:r>
          </w:p>
        </w:tc>
        <w:tc>
          <w:tcPr>
            <w:tcW w:type="dxa" w:w="10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1,08x [1,85x]</w:t>
            </w:r>
          </w:p>
        </w:tc>
        <w:tc>
          <w:tcPr>
            <w:tcW w:type="dxa" w:w="10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b/>
                <w:sz w:val="17"/>
              </w:rPr>
              <w:t>4,27x</w:t>
            </w:r>
          </w:p>
        </w:tc>
        <w:tc>
          <w:tcPr>
            <w:tcW w:type="dxa" w:w="10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53,5%</w:t>
            </w:r>
          </w:p>
        </w:tc>
        <w:tc>
          <w:tcPr>
            <w:tcW w:type="dxa" w:w="10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 xml:space="preserve">No vulnerable ($\lambda^* &gt; </w:t>
              <w:tab/>
              <w:t>ext{Byar High}$)</w:t>
            </w:r>
          </w:p>
        </w:tc>
      </w:tr>
      <w:tr>
        <w:trPr>
          <w:cantSplit/>
        </w:trPr>
        <w:tc>
          <w:tcPr>
            <w:tcW w:type="dxa" w:w="10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A02828"/>
                <w:sz w:val="17"/>
              </w:rPr>
              <w:t>117101</w:t>
            </w:r>
          </w:p>
        </w:tc>
        <w:tc>
          <w:tcPr>
            <w:tcW w:type="dxa" w:w="10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Hospital Herminda Martín (Chillán)</w:t>
            </w:r>
          </w:p>
        </w:tc>
        <w:tc>
          <w:tcPr>
            <w:tcW w:type="dxa" w:w="10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636</w:t>
            </w:r>
          </w:p>
        </w:tc>
        <w:tc>
          <w:tcPr>
            <w:tcW w:type="dxa" w:w="10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432</w:t>
            </w:r>
          </w:p>
        </w:tc>
        <w:tc>
          <w:tcPr>
            <w:tcW w:type="dxa" w:w="10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31,4</w:t>
            </w:r>
          </w:p>
        </w:tc>
        <w:tc>
          <w:tcPr>
            <w:tcW w:type="dxa" w:w="10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1,30x [2,04x]</w:t>
            </w:r>
          </w:p>
        </w:tc>
        <w:tc>
          <w:tcPr>
            <w:tcW w:type="dxa" w:w="10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b/>
                <w:sz w:val="17"/>
              </w:rPr>
              <w:t>4,77x</w:t>
            </w:r>
          </w:p>
        </w:tc>
        <w:tc>
          <w:tcPr>
            <w:tcW w:type="dxa" w:w="10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34,7%</w:t>
            </w:r>
          </w:p>
        </w:tc>
        <w:tc>
          <w:tcPr>
            <w:tcW w:type="dxa" w:w="10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 xml:space="preserve">No vulnerable ($\lambda^* &gt; </w:t>
              <w:tab/>
              <w:t>ext{Byar High}$)</w:t>
            </w:r>
          </w:p>
        </w:tc>
      </w:tr>
      <w:tr>
        <w:trPr>
          <w:cantSplit/>
        </w:trPr>
        <w:tc>
          <w:tcPr>
            <w:tcW w:type="dxa" w:w="10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A02828"/>
                <w:sz w:val="17"/>
              </w:rPr>
              <w:t>122100</w:t>
            </w:r>
          </w:p>
        </w:tc>
        <w:tc>
          <w:tcPr>
            <w:tcW w:type="dxa" w:w="10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Hospital Regional de Valdivia</w:t>
            </w:r>
          </w:p>
        </w:tc>
        <w:tc>
          <w:tcPr>
            <w:tcW w:type="dxa" w:w="10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532</w:t>
            </w:r>
          </w:p>
        </w:tc>
        <w:tc>
          <w:tcPr>
            <w:tcW w:type="dxa" w:w="10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407</w:t>
            </w:r>
          </w:p>
        </w:tc>
        <w:tc>
          <w:tcPr>
            <w:tcW w:type="dxa" w:w="10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33,7</w:t>
            </w:r>
          </w:p>
        </w:tc>
        <w:tc>
          <w:tcPr>
            <w:tcW w:type="dxa" w:w="10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0,95x [1,96x]</w:t>
            </w:r>
          </w:p>
        </w:tc>
        <w:tc>
          <w:tcPr>
            <w:tcW w:type="dxa" w:w="10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b/>
                <w:sz w:val="17"/>
              </w:rPr>
              <w:t>5,12x</w:t>
            </w:r>
          </w:p>
        </w:tc>
        <w:tc>
          <w:tcPr>
            <w:tcW w:type="dxa" w:w="10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42,4%</w:t>
            </w:r>
          </w:p>
        </w:tc>
        <w:tc>
          <w:tcPr>
            <w:tcW w:type="dxa" w:w="10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Inmune ($&gt; 5</w:t>
              <w:tab/>
              <w:t>imes$)</w:t>
            </w:r>
          </w:p>
        </w:tc>
      </w:tr>
      <w:tr>
        <w:trPr>
          <w:cantSplit/>
        </w:trPr>
        <w:tc>
          <w:tcPr>
            <w:tcW w:type="dxa" w:w="10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A02828"/>
                <w:sz w:val="17"/>
              </w:rPr>
              <w:t>121117</w:t>
            </w:r>
          </w:p>
        </w:tc>
        <w:tc>
          <w:tcPr>
            <w:tcW w:type="dxa" w:w="10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Hospital de Pitrufquén</w:t>
            </w:r>
          </w:p>
        </w:tc>
        <w:tc>
          <w:tcPr>
            <w:tcW w:type="dxa" w:w="10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328</w:t>
            </w:r>
          </w:p>
        </w:tc>
        <w:tc>
          <w:tcPr>
            <w:tcW w:type="dxa" w:w="10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155</w:t>
            </w:r>
          </w:p>
        </w:tc>
        <w:tc>
          <w:tcPr>
            <w:tcW w:type="dxa" w:w="10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17,8</w:t>
            </w:r>
          </w:p>
        </w:tc>
        <w:tc>
          <w:tcPr>
            <w:tcW w:type="dxa" w:w="10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1,14x [1,91x]</w:t>
            </w:r>
          </w:p>
        </w:tc>
        <w:tc>
          <w:tcPr>
            <w:tcW w:type="dxa" w:w="10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b/>
                <w:sz w:val="17"/>
              </w:rPr>
              <w:t>5,12x</w:t>
            </w:r>
          </w:p>
        </w:tc>
        <w:tc>
          <w:tcPr>
            <w:tcW w:type="dxa" w:w="10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58,8%</w:t>
            </w:r>
          </w:p>
        </w:tc>
        <w:tc>
          <w:tcPr>
            <w:tcW w:type="dxa" w:w="10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Inmune ($&gt; 5</w:t>
              <w:tab/>
              <w:t>imes$)</w:t>
            </w:r>
          </w:p>
        </w:tc>
      </w:tr>
      <w:tr>
        <w:trPr>
          <w:cantSplit/>
        </w:trPr>
        <w:tc>
          <w:tcPr>
            <w:tcW w:type="dxa" w:w="10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i/>
                <w:sz w:val="17"/>
              </w:rPr>
              <w:t>Resto</w:t>
            </w:r>
          </w:p>
        </w:tc>
        <w:tc>
          <w:tcPr>
            <w:tcW w:type="dxa" w:w="10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i/>
                <w:sz w:val="17"/>
              </w:rPr>
              <w:t>37 Hospitales Restantes de la Red</w:t>
            </w:r>
          </w:p>
        </w:tc>
        <w:tc>
          <w:tcPr>
            <w:tcW w:type="dxa" w:w="10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i/>
                <w:sz w:val="17"/>
              </w:rPr>
              <w:t>—</w:t>
            </w:r>
          </w:p>
        </w:tc>
        <w:tc>
          <w:tcPr>
            <w:tcW w:type="dxa" w:w="10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i/>
                <w:sz w:val="17"/>
              </w:rPr>
              <w:t>—</w:t>
            </w:r>
          </w:p>
        </w:tc>
        <w:tc>
          <w:tcPr>
            <w:tcW w:type="dxa" w:w="10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i/>
                <w:sz w:val="17"/>
              </w:rPr>
              <w:t>—</w:t>
            </w:r>
          </w:p>
        </w:tc>
        <w:tc>
          <w:tcPr>
            <w:tcW w:type="dxa" w:w="10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i/>
                <w:sz w:val="17"/>
              </w:rPr>
              <w:t>—</w:t>
            </w:r>
          </w:p>
        </w:tc>
        <w:tc>
          <w:tcPr>
            <w:tcW w:type="dxa" w:w="10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b/>
                <w:sz w:val="17"/>
              </w:rPr>
              <w:t>$&gt; 5,0</w:t>
              <w:tab/>
              <w:t>ext{x}$</w:t>
            </w:r>
          </w:p>
        </w:tc>
        <w:tc>
          <w:tcPr>
            <w:tcW w:type="dxa" w:w="10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$&gt; 40\%$</w:t>
            </w:r>
          </w:p>
        </w:tc>
        <w:tc>
          <w:tcPr>
            <w:tcW w:type="dxa" w:w="10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b/>
                <w:sz w:val="17"/>
              </w:rPr>
              <w:t>Inmunes</w:t>
            </w:r>
            <w:r>
              <w:rPr>
                <w:rFonts w:ascii="Calibri" w:hAnsi="Calibri"/>
                <w:sz w:val="17"/>
              </w:rPr>
              <w:t xml:space="preserve"> ($&gt; 5</w:t>
              <w:tab/>
              <w:t>imes$)</w:t>
            </w:r>
          </w:p>
        </w:tc>
      </w:tr>
      <w:tr>
        <w:trPr>
          <w:cantSplit/>
        </w:trPr>
        <w:tc>
          <w:tcPr>
            <w:tcW w:type="dxa" w:w="10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b/>
                <w:sz w:val="17"/>
              </w:rPr>
              <w:t>Total</w:t>
            </w:r>
          </w:p>
        </w:tc>
        <w:tc>
          <w:tcPr>
            <w:tcW w:type="dxa" w:w="10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b/>
                <w:sz w:val="17"/>
              </w:rPr>
              <w:t>52 Hospitales No Alertados en M2+CAP</w:t>
            </w:r>
          </w:p>
        </w:tc>
        <w:tc>
          <w:tcPr>
            <w:tcW w:type="dxa" w:w="10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</w:p>
        </w:tc>
        <w:tc>
          <w:tcPr>
            <w:tcW w:type="dxa" w:w="10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</w:p>
        </w:tc>
        <w:tc>
          <w:tcPr>
            <w:tcW w:type="dxa" w:w="10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</w:p>
        </w:tc>
        <w:tc>
          <w:tcPr>
            <w:tcW w:type="dxa" w:w="10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</w:p>
        </w:tc>
        <w:tc>
          <w:tcPr>
            <w:tcW w:type="dxa" w:w="10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</w:p>
        </w:tc>
        <w:tc>
          <w:tcPr>
            <w:tcW w:type="dxa" w:w="10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</w:p>
        </w:tc>
        <w:tc>
          <w:tcPr>
            <w:tcW w:type="dxa" w:w="104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i/>
                <w:sz w:val="17"/>
              </w:rPr>
              <w:t>(Reconcilia con 10 Alertas = 62 Total)</w:t>
            </w:r>
          </w:p>
        </w:tc>
      </w:tr>
    </w:tbl>
    <w:p>
      <w:pPr>
        <w:spacing w:before="40" w:after="120"/>
      </w:pPr>
    </w:p>
    <w:p>
      <w:pPr>
        <w:spacing w:before="160" w:after="160"/>
      </w:pPr>
      <w:r>
        <w:rPr>
          <w:b/>
          <w:color w:val="CBD5E1"/>
        </w:rPr>
        <w:t>———————————————————————————————————————————————————————</w:t>
      </w:r>
    </w:p>
    <w:p>
      <w:pPr>
        <w:keepNext/>
        <w:spacing w:before="280" w:after="120"/>
      </w:pPr>
      <w:r>
        <w:rPr>
          <w:rFonts w:ascii="Calibri" w:hAnsi="Calibri"/>
          <w:b/>
          <w:color w:val="1E3A8A"/>
          <w:sz w:val="28"/>
        </w:rPr>
        <w:t>5. Dictamen Metodológico Consolidado de Cierre de Fase 2</w:t>
      </w:r>
    </w:p>
    <w:p>
      <w:pPr>
        <w:spacing w:after="100" w:line="276" w:lineRule="auto"/>
      </w:pPr>
      <w:r>
        <w:t xml:space="preserve">Con estas precisiones metodológicas, empíricas y algebraicas, la Fase 2 queda </w:t>
      </w:r>
      <w:r>
        <w:rPr>
          <w:b/>
        </w:rPr>
        <w:t>concluida y auditada en su totalidad</w:t>
      </w:r>
      <w:r>
        <w:t>:</w:t>
      </w:r>
    </w:p>
    <w:p>
      <w:pPr>
        <w:pStyle w:val="ListNumber"/>
        <w:spacing w:after="40" w:line="276" w:lineRule="auto"/>
      </w:pPr>
      <w:r>
        <w:rPr>
          <w:b/>
        </w:rPr>
        <w:t>Especificación Primaria M2+CAP Oficial:</w:t>
      </w:r>
      <w:r>
        <w:t xml:space="preserve"> Satisface los márgenes pre-especificados de calibración previa al ingreso ($[0,80; 1,25]$) en edad, comorbilidad crónica basal, vía de ingreso, tipo de establecimiento y en los principales capítulos diagnósticos CIE-10 (con ACV mapeado al Capítulo IX Circulatorio y no a MDC 01 del agrupador). El estrato de 0 comorbilidades se sitúa en $0,804$, en el límite inferior admisible. El modelo reduce sustancialmente el sesgo por mezcla de especialidad del Tórax y San Camilo, manteniendo al Tórax en alerta ($1,43; P = 0,997$) por la extrema gravedad de sus ingresos.</w:t>
      </w:r>
    </w:p>
    <w:p>
      <w:pPr>
        <w:pStyle w:val="ListNumber"/>
        <w:spacing w:after="40" w:line="276" w:lineRule="auto"/>
      </w:pPr>
      <w:r>
        <w:rPr>
          <w:b/>
        </w:rPr>
        <w:t>Taxonomía Transparente y Deriva de Codificación Resuelta:</w:t>
      </w:r>
      <w:r>
        <w:t xml:space="preserve"> Delimitadas 10 alertas primarias y 4 alertas robustas en agudos generales. Las divergencias de Quillota (salto de $+49,7\% pprox +50\%$ en captura secundaria tras su traslado en octubre de 2022 al Hospital Biprovincial Quillota-Petorca, clasificado como "En Transición Institucional") y Pereira (reducción de $-20,4\%$ en diagnósticos respecto a su línea base histórica) quedan plenamente documentadas bajo la fórmula $R_{</w:t>
        <w:tab/>
        <w:t>ext{dx}, ij} = N_{</w:t>
        <w:tab/>
        <w:t>ext{dx}, ij} / \overline{N}_{</w:t>
        <w:tab/>
        <w:t xml:space="preserve">ext{dx}, </w:t>
        <w:tab/>
        <w:t>ext{Dev}(j)}$. Se demuestra ausencia de correlación entre $O/E$ y deriva de codificación ($</w:t>
      </w:r>
    </w:p>
    <w:p>
      <w:pPr>
        <w:spacing w:after="100" w:line="276" w:lineRule="auto"/>
      </w:pPr>
      <w:r>
        <w:t>ho = +0,0981, p = 0,4559$) e invarianza de rankings bajo supresión de condiciones agudas (proxy POA, $</w:t>
      </w:r>
    </w:p>
    <w:p>
      <w:pPr>
        <w:spacing w:after="100" w:line="276" w:lineRule="auto"/>
      </w:pPr>
      <w:r>
        <w:t>ho = 0,99908$; Pereira $O/E pprox 0,84, P \le 0,0006$).</w:t>
      </w:r>
    </w:p>
    <w:p>
      <w:pPr>
        <w:pStyle w:val="ListNumber"/>
        <w:spacing w:after="40" w:line="276" w:lineRule="auto"/>
      </w:pPr>
      <w:r>
        <w:rPr>
          <w:b/>
        </w:rPr>
        <w:t>Métricas de Estadía Congeladas:</w:t>
      </w:r>
      <w:r>
        <w:t xml:space="preserve"> Verificada la rama LOHO real out-of-sample en 2023 (144 diagnósticos concentrados, $|\Delta|_{</w:t>
        <w:tab/>
        <w:t>ext{máx}} = 0,51$) y estabilidad bootstrap de las 17 covariables (</w:t>
      </w:r>
      <w:r>
        <w:rPr>
          <w:rFonts w:ascii="Consolas" w:hAnsi="Consolas"/>
          <w:color w:val="A02828"/>
          <w:sz w:val="19"/>
        </w:rPr>
        <w:t>estadia_bootstrap_stability_17.json</w:t>
      </w:r>
      <w:r>
        <w:t>).</w:t>
      </w:r>
    </w:p>
    <w:p>
      <w:pPr>
        <w:pStyle w:val="ListNumber"/>
        <w:spacing w:after="40" w:line="276" w:lineRule="auto"/>
      </w:pPr>
      <w:r>
        <w:rPr>
          <w:b/>
        </w:rPr>
        <w:t>Reproducibilidad Paramétrica de Bayes y Archivo Canonical:</w:t>
      </w:r>
      <w:r>
        <w:t xml:space="preserve"> Fórmulas e hiperparámetros específicos $(</w:t>
        <w:tab/>
        <w:t>au = 0,1948, \mu = -0,0359)$ estimados sobre los $K=62$ agudos generales mediante DerSimonian-Laird, garantizando reproducibilidad analítica exacta a partir de [</w:t>
      </w:r>
      <w:r>
        <w:rPr>
          <w:rFonts w:ascii="Consolas" w:hAnsi="Consolas"/>
          <w:color w:val="A02828"/>
          <w:sz w:val="19"/>
        </w:rPr>
        <w:t>benchmarks_modelos_fase2_2023.csv</w:t>
      </w:r>
      <w:r>
        <w:t>](file:///home/felipe/Documentos/Proyecto%20final/Tesis/Analisis%20exploratorio/benchmarks_modelos_fase2_2023.csv).</w:t>
      </w:r>
    </w:p>
    <w:p>
      <w:pPr>
        <w:pStyle w:val="ListNumber"/>
        <w:spacing w:after="40" w:line="276" w:lineRule="auto"/>
      </w:pPr>
      <w:r>
        <w:rPr>
          <w:b/>
        </w:rPr>
        <w:t>Censura por Derivación:</w:t>
      </w:r>
      <w:r>
        <w:t xml:space="preserve"> Criterio determinístico unificado a 30 días, identificando cotas de salida precisas (Hospital Luis Tisné con $\lambda_{</w:t>
        <w:tab/>
        <w:t>ext{salida}} = 0,98</w:t>
        <w:tab/>
        <w:t>imes$) y vulnerabilidad confirmada ante estrés Byar en tres centros asistenciales (Ovalle, Del Salvador y Copiapó).</w:t>
      </w:r>
    </w:p>
    <w:p>
      <w:pPr>
        <w:pStyle w:val="ListNumber"/>
        <w:spacing w:after="40" w:line="276" w:lineRule="auto"/>
      </w:pPr>
      <w:r>
        <w:rPr>
          <w:b/>
        </w:rPr>
        <w:t>Sincronización Total de Diccionarios y Metadatos:</w:t>
      </w:r>
      <w:r>
        <w:t xml:space="preserve"> Sincronizado el archivo </w:t>
      </w:r>
      <w:r>
        <w:rPr>
          <w:rFonts w:ascii="Consolas" w:hAnsi="Consolas"/>
          <w:color w:val="A02828"/>
          <w:sz w:val="19"/>
        </w:rPr>
        <w:t>Fase 2_ Diccionario de Base de Datos.csv</w:t>
      </w:r>
      <w:r>
        <w:t xml:space="preserve"> y generado </w:t>
      </w:r>
      <w:r>
        <w:rPr>
          <w:rFonts w:ascii="Consolas" w:hAnsi="Consolas"/>
          <w:color w:val="A02828"/>
          <w:sz w:val="19"/>
        </w:rPr>
        <w:t>diccionario_base_datos_129.csv</w:t>
      </w:r>
      <w:r>
        <w:t xml:space="preserve">, reflejando exactamente 37 nulos en </w:t>
      </w:r>
      <w:r>
        <w:rPr>
          <w:rFonts w:ascii="Consolas" w:hAnsi="Consolas"/>
          <w:color w:val="A02828"/>
          <w:sz w:val="19"/>
        </w:rPr>
        <w:t>FECHA_NACIMIENTO</w:t>
      </w:r>
      <w:r>
        <w:t xml:space="preserve">, 71 nulos en </w:t>
      </w:r>
      <w:r>
        <w:rPr>
          <w:rFonts w:ascii="Consolas" w:hAnsi="Consolas"/>
          <w:color w:val="A02828"/>
          <w:sz w:val="19"/>
        </w:rPr>
        <w:t>FECHA_INGRESO</w:t>
      </w:r>
      <w:r>
        <w:t xml:space="preserve">, 75 nulos en campos GRD y las 12 categorías observadas de </w:t>
      </w:r>
      <w:r>
        <w:rPr>
          <w:rFonts w:ascii="Consolas" w:hAnsi="Consolas"/>
          <w:color w:val="A02828"/>
          <w:sz w:val="19"/>
        </w:rPr>
        <w:t>TIPOALTA</w:t>
      </w:r>
      <w:r>
        <w:t xml:space="preserve"> sobre los $5.808.536$ registros brutos consolidados.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Calibri" w:hAnsi="Calibri"/>
      <w:color w:val="1E293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