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UNIVERSIDAD DE SANTIAGO DE CHILE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FACULTAD DE INGENIERÍA</w:t>
      </w:r>
    </w:p>
    <w:p>
      <w:pPr>
        <w:spacing w:after="1200"/>
        <w:jc w:val="center"/>
      </w:pPr>
      <w:r>
        <w:rPr>
          <w:b/>
          <w:bCs/>
          <w:color w:val="000000"/>
          <w:sz w:val="24"/>
          <w:szCs w:val="24"/>
        </w:rPr>
        <w:t xml:space="preserve">DEPARTAMENTO DE INGENIERÍA INFORMÁTICA</w:t>
      </w:r>
    </w:p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GUÍA DEL PROYECTO</w:t>
      </w:r>
    </w:p>
    <w:p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 xml:space="preserve">CÓMO ENTENDER Y USAR ESTE PROYECTO</w:t>
      </w:r>
    </w:p>
    <w:p>
      <w:pPr>
        <w:spacing w:after="1000"/>
        <w:jc w:val="center"/>
      </w:pPr>
      <w:r>
        <w:rPr>
          <w:color w:val="404040"/>
          <w:sz w:val="24"/>
          <w:szCs w:val="24"/>
        </w:rPr>
        <w:t xml:space="preserve">Lectura de entrada para quien llega recién: qué se hizo, dónde está y cómo se reproduce</w:t>
      </w:r>
    </w:p>
    <w:p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 xml:space="preserve">Proyecto de Tesis</w:t>
      </w:r>
    </w:p>
    <w:p>
      <w:pPr>
        <w:spacing w:after="60"/>
        <w:jc w:val="center"/>
      </w:pPr>
      <w:r>
        <w:rPr>
          <w:color w:val="000000"/>
          <w:sz w:val="24"/>
          <w:szCs w:val="24"/>
        </w:rPr>
        <w:t xml:space="preserve">Sistema de evaluación del desempeño hospitalario</w:t>
      </w:r>
    </w:p>
    <w:p>
      <w:pPr>
        <w:spacing w:after="900"/>
        <w:jc w:val="center"/>
      </w:pPr>
      <w:r>
        <w:rPr>
          <w:color w:val="000000"/>
          <w:sz w:val="24"/>
          <w:szCs w:val="24"/>
        </w:rPr>
        <w:t xml:space="preserve">ajustado por riesgo mediante aprendizaje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Felipe Ignacio Baeza Muñoz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Profesor guía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Manuel Villalobos Cid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Carrera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Ingeniería de Ejecución en Computación e Informática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1"/>
                <w:szCs w:val="21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21"/>
                <w:szCs w:val="21"/>
              </w:rPr>
              <w:t xml:space="preserve">Octubre 2026 · Versión 5 (verificada por reproducción independiente)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El proyecto en una página</w:t>
      </w:r>
    </w:p>
    <w:p>
      <w:pPr>
        <w:spacing w:after="120" w:line="276"/>
      </w:pPr>
      <w:r>
        <w:rPr>
          <w:b/>
          <w:bCs/>
        </w:rPr>
        <w:t xml:space="preserve">El problema.</w:t>
      </w:r>
      <w:r>
        <w:t xml:space="preserve"> En Chile no existe un indicador público que compare hospitales ajustando por la gravedad de sus pacientes. Las cifras oficiales son promedios brutos: un hospital que recibe pacientes más graves parece peor aunque trabaje igual de bien.</w:t>
      </w:r>
    </w:p>
    <w:p>
      <w:pPr>
        <w:spacing w:after="120" w:line="276"/>
      </w:pPr>
      <w:r>
        <w:rPr>
          <w:b/>
          <w:bCs/>
        </w:rPr>
        <w:t xml:space="preserve">La solución.</w:t>
      </w:r>
      <w:r>
        <w:t xml:space="preserve"> Con los 5.808.535 egresos hospitalarios 2019–2024 que entregó FONASA por la Ley de Transparencia, el proyecto entrena dos modelos (mortalidad intrahospitalaria y días de estadía) que estiman lo </w:t>
      </w:r>
      <w:r>
        <w:rPr>
          <w:b/>
          <w:bCs/>
        </w:rPr>
        <w:t xml:space="preserve">esperado</w:t>
      </w:r>
      <w:r>
        <w:t xml:space="preserve"> para cada paciente según su perfil al ingresar. Para cada hospital se compara lo </w:t>
      </w:r>
      <w:r>
        <w:rPr>
          <w:b/>
          <w:bCs/>
        </w:rPr>
        <w:t xml:space="preserve">observado</w:t>
      </w:r>
      <w:r>
        <w:t xml:space="preserve"> con lo esperado (razón O/E) y se lee en un </w:t>
      </w:r>
      <w:r>
        <w:rPr>
          <w:b/>
          <w:bCs/>
        </w:rPr>
        <w:t xml:space="preserve">gráfico de embudo</w:t>
      </w:r>
      <w:r>
        <w:t xml:space="preserve">, que separa la variación real de la que explica el azar.</w:t>
      </w:r>
    </w:p>
    <w:p>
      <w:pPr>
        <w:spacing w:after="120" w:line="276"/>
      </w:pPr>
      <w:r>
        <w:rPr>
          <w:b/>
          <w:bCs/>
        </w:rPr>
        <w:t xml:space="preserve">El resultado.</w:t>
      </w:r>
      <w:r>
        <w:t xml:space="preserve"> Los modelos se evaluaron una sola vez en 2024, un año que nunca vieron (un prototipo anterior sí se había evaluado en ese año: incidente I-01), y cumplen los 7 criterios fijados de antemano (2 de ellos en el límite). Todo el proyecto se reprodujo desde cero en un entorno independiente y dio resultados </w:t>
      </w:r>
      <w:r>
        <w:rPr>
          <w:b/>
          <w:bCs/>
        </w:rPr>
        <w:t xml:space="preserve">idénticos byte a byte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5.808.535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egresos 2019–2024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0,932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AUC de mortalidad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en 2024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0,979 / 0,957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O/E global 2024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(mortalidad / estadía)</w:t>
            </w:r>
          </w:p>
        </w:tc>
        <w:tc>
          <w:tcPr>
            <w:tcW w:type="dxa" w:w="23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AF1FB" w:color="auto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34"/>
                <w:szCs w:val="34"/>
              </w:rPr>
              <w:t xml:space="preserve">69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hospitales evaluados</w:t>
            </w:r>
          </w:p>
          <w:p>
            <w:pPr>
              <w:spacing w:after="0"/>
              <w:jc w:val="center"/>
            </w:pPr>
            <w:r>
              <w:rPr>
                <w:color w:val="404040"/>
                <w:sz w:val="17"/>
                <w:szCs w:val="17"/>
              </w:rPr>
              <w:t xml:space="preserve">en el indicador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7F7F7F"/>
              </w:rPr>
              <w:t xml:space="preserve">Lo que el indicador no es</w:t>
            </w:r>
          </w:p>
          <w:p>
            <w:pPr>
              <w:spacing w:after="60" w:line="264"/>
            </w:pPr>
            <w:r>
              <w:t xml:space="preserve">No mide la calidad asistencial por sí solo, no prueba causalidad y </w:t>
            </w:r>
            <w:r>
              <w:rPr>
                <w:b/>
                <w:bCs/>
              </w:rPr>
              <w:t xml:space="preserve">no es un ranking</w:t>
            </w:r>
            <w:r>
              <w:t xml:space="preserve">. Un hospital fuera de los límites es un motivo para revisar, no una conclusión.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Las seis fases y qué dejó cada una</w:t>
      </w:r>
    </w:p>
    <w:p>
      <w:pPr>
        <w:spacing w:after="120" w:line="276"/>
      </w:pPr>
      <w:r>
        <w:t xml:space="preserve">El proyecto sigue CRISP-DM. Cada fase tiene su informe en </w:t>
      </w:r>
      <w:r>
        <w:rPr>
          <w:rFonts w:ascii="Consolas" w:cs="Consolas" w:eastAsia="Consolas" w:hAnsi="Consolas"/>
          <w:sz w:val="19"/>
          <w:szCs w:val="19"/>
        </w:rPr>
        <w:t xml:space="preserve">docs/</w:t>
      </w:r>
      <w:r>
        <w:t xml:space="preserve"> (v5; las Fases 1 y 2, v6) y, desde la Fase 2, su carpeta de código con pruebas automáticas y una tabla de «puertas» de calidad que deben pasar para cerrarla.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94"/>
        <w:gridCol w:w="3386"/>
        <w:gridCol w:w="2788"/>
        <w:gridCol w:w="1792"/>
      </w:tblGrid>
      <w:tr>
        <w:trPr>
          <w:tblHeader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dejó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1. Dominio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Define el problema, los datos, 8 reglas, las cohortes, los modelos, el indicador y 7 criterios de aceptación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diseño y 17 decisiones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2. Datos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Revisa los 5,8 millones de egresos antes de modelar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Evidencia para cada decisión; fuga del GRD confirmada; cohorte medida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fase2_eda/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3. Preparación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Limpia en capas Bronce → Plata → Oro, arma las cohortes y sella 2024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Matrices de mortalidad (2.640.061) y estadía (2.396.356)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fase3_preparacion/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4. Modelado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Compara modelos con reglas fijas, calibra con 2023 y congela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LightGBM en ambas tareas, con huellas SHA-256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fase4_modelado/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5. Evaluación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Pre-registra el protocolo, abre 2024 una vez y mide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 criterios cumplidos; O/E por hospital en 69 hospitales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fase5_evaluacion/</w:t>
            </w:r>
          </w:p>
        </w:tc>
      </w:tr>
      <w:tr>
        <w:trPr>
          <w:cantSplit/>
        </w:trPr>
        <w:tc>
          <w:tcPr>
            <w:tcW w:type="dxa" w:w="139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6. Despliegue</w:t>
            </w:r>
          </w:p>
        </w:tc>
        <w:tc>
          <w:tcPr>
            <w:tcW w:type="dxa" w:w="33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API, base de datos y web del indicador</w:t>
            </w:r>
          </w:p>
        </w:tc>
        <w:tc>
          <w:tcPr>
            <w:tcW w:type="dxa" w:w="278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En desarrollo</w:t>
            </w:r>
          </w:p>
        </w:tc>
        <w:tc>
          <w:tcPr>
            <w:tcW w:type="dxa" w:w="179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fase6_despliegue/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Cómo viajan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7"/>
        <w:gridCol w:w="4937"/>
        <w:gridCol w:w="3086"/>
      </w:tblGrid>
      <w:tr>
        <w:trPr>
          <w:tblHeader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vive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Cruda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Los seis archivos de texto de FONASA, sin tocar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Fuera del repositorio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Seminario/data seminario_full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Bronce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Copia fiel en Parquet, con número de línea de origen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Carpeta de capas, fuera del repositorio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Plata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Datos limpios y tipados; valores imposibles anulados, nunca imputados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Carpeta de capas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Oro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Predictores y desenlaces de las cohortes D y E, en archivos separados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Carpeta de capas</w:t>
            </w:r>
          </w:p>
        </w:tc>
      </w:tr>
      <w:tr>
        <w:trPr>
          <w:cantSplit/>
        </w:trPr>
        <w:tc>
          <w:tcPr>
            <w:tcW w:type="dxa" w:w="13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Sellado</w:t>
            </w:r>
          </w:p>
        </w:tc>
        <w:tc>
          <w:tcPr>
            <w:tcW w:type="dxa" w:w="493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desenlace de 2024, guardado sin calcular nada y con registro de accesos</w:t>
            </w:r>
          </w:p>
        </w:tc>
        <w:tc>
          <w:tcPr>
            <w:tcW w:type="dxa" w:w="30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Carpeta de capas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sellado/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Dónde está cada cosa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2"/>
        <w:gridCol w:w="6448"/>
      </w:tblGrid>
      <w:tr>
        <w:trPr>
          <w:tblHeader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o archivo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hay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Portada del repositorio: qué es, cómo correrlo y estado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Todos los informes. Empezar por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docs/README.md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docs/00_guia_del_proyecto/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Esta guía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docs/faseN_…/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 informe de cada fase (v5; las Fases 1 y 2, v6), su plan original y las tablas de respaldo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docs/auditoria/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Auditoría metodológica externa y resumen del plan de corrección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docs/historial/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Versiones anteriores de los informes, sin cambios, con su fecha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fase2_eda/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fase6_despliegue/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Código de cada fase: guía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GUIA_*.md</w:t>
            </w:r>
            <w:r>
              <w:rPr>
                <w:sz w:val="19"/>
                <w:szCs w:val="19"/>
              </w:rPr>
              <w:t xml:space="preserve">), configuración, pruebas y salidas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Catálogos en la raíz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CIE-10, CIE-9, IR-GRD, Hospitales, severidad, mortalidad y pabellón del GRD, y el oficio de FONASA. Quedan en la raíz porque el código de la Fase 2 los busca ahí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seminario/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Extracto de los datos (≈5 %) que usaron las primeras corridas; no se sube a git</w:t>
            </w:r>
          </w:p>
        </w:tc>
      </w:tr>
      <w:tr>
        <w:trPr>
          <w:cantSplit/>
        </w:trPr>
        <w:tc>
          <w:tcPr>
            <w:tcW w:type="dxa" w:w="291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archivo/</w:t>
            </w:r>
          </w:p>
        </w:tc>
        <w:tc>
          <w:tcPr>
            <w:tcW w:type="dxa" w:w="64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Artefactos del proceso de desarrollo que ya no se usan para correr nada (borradores de diseño, revisiones y parches ya aplicados)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Archivos de `docs/` que el código lee (no moverlos)</w:t>
            </w:r>
          </w:p>
          <w:p>
            <w:pPr>
              <w:spacing w:after="60" w:line="264"/>
            </w:pPr>
            <w:r>
              <w:t xml:space="preserve">La Fase 2 lee como insumo 12 archivos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</w:t>
            </w:r>
            <w:r>
              <w:t xml:space="preserve">: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fase1_comprension_dominio/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decisiones_pendientes.csv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reglas_variables.csv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tipoalta_roles.csv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matriz_trazabilidad.csv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config/fase1_spec.json</w:t>
            </w:r>
            <w:r>
              <w:t xml:space="preserve"> y los cuatro CSV «Fase_1__…»;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fase2_comprension_datos/</w:t>
            </w:r>
            <w:r>
              <w:t xml:space="preserve">, los tres CSV «Fase_2__…».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4. Orden de lectura recomendado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Esta guía.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Fase 1 v6: el diseño, las reglas y cómo quedaron las decisiones. Restaura la versión 2 del informe, la corrige según lo ejecutado (Anexo A) y responde la revisión técnica del profesor guía (Anexo B).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Fase 5 v5: los resultados y cómo leerlos.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Fase 2 v6 (su sección 9 responde lo que el profesor pidió y la Fase 2 ya resolvió) y Fases 3 y 4 v5, según lo que se necesite revisar.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La auditoría y el plan de corrección (</w:t>
      </w:r>
      <w:r>
        <w:rPr>
          <w:rFonts w:ascii="Consolas" w:cs="Consolas" w:eastAsia="Consolas" w:hAnsi="Consolas"/>
          <w:sz w:val="19"/>
          <w:szCs w:val="19"/>
        </w:rPr>
        <w:t xml:space="preserve">docs/auditoria/</w:t>
      </w:r>
      <w:r>
        <w:t xml:space="preserve">), para saber qué falta antes de la defensa.</w:t>
      </w:r>
    </w:p>
    <w:p>
      <w:pPr>
        <w:pStyle w:val="Heading1"/>
      </w:pPr>
      <w:r>
        <w:t xml:space="preserve">5. Cómo correrlo de punta a punta</w:t>
      </w:r>
    </w:p>
    <w:p>
      <w:pPr>
        <w:spacing w:after="120" w:line="276"/>
      </w:pPr>
      <w:r>
        <w:t xml:space="preserve">Requisitos: Python 3.13 con las versiones del manifiesto de la Fase 4 (polars 2.0.0, pandas 3.0.6, numpy 2.5.3, scikit-learn 1.9.1, lightgbm 4.7.0, xgboost 3.4.1, optuna 5.0.0, pyarrow 25.0.1, scipy 1.18.1), 2 núcleos y 7 GB de RAM bastan. Tiempo total: unas 7 horas.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72"/>
        <w:gridCol w:w="6240"/>
        <w:gridCol w:w="1248"/>
      </w:tblGrid>
      <w:tr>
        <w:trPr>
          <w:tblHeader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 (desde la carpeta de cada fase)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run_fase2_eda.py --fuente completo --data-root &lt;data seminario_full&gt;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≈ 2 h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run_fase3.py --data-root &lt;data seminario_full&gt; --capas &lt;capas&gt;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≈ 7 min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4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run_fase4.py --capas &lt;capas&gt; --trabajo &lt;trabajo4&gt;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≈ 5 h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5, preparación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python run_fase5.py --capas &lt;capas&gt; --trabajo &lt;trabajo5&gt; --trabajo-fase4 &lt;trabajo4&gt;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≈ 5 min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5, evaluación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Etapas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apertura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evaluacion_2024 --bootstrap 1000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cierre</w:t>
            </w:r>
            <w:r>
              <w:rPr>
                <w:sz w:val="19"/>
                <w:szCs w:val="19"/>
              </w:rPr>
              <w:t xml:space="preserve"> (requieren autorización)</w:t>
            </w:r>
          </w:p>
        </w:tc>
        <w:tc>
          <w:tcPr>
            <w:tcW w:type="dxa" w:w="124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≈ 15 min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 w:val="off"/>
        </w:trP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DF0E4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Dos cuidados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2024 es el examen final y ya se abrió una vez.</w:t>
            </w:r>
            <w:r>
              <w:t xml:space="preserve"> Cualquier corrección que cambie un modelo debe validarse sin 2024 (diseño anidado 2019–2021 / 2022 / 2023) o con un año nuevo.</w:t>
            </w:r>
          </w:p>
          <w:p>
            <w:pPr>
              <w:spacing w:after="60" w:line="264"/>
              <w:ind w:left="240" w:hanging="200"/>
            </w:pPr>
            <w:r>
              <w:t xml:space="preserve">•  </w:t>
            </w:r>
            <w:r>
              <w:rPr>
                <w:b/>
                <w:bCs/>
              </w:rPr>
              <w:t xml:space="preserve">Optuna y los cortes:</w:t>
            </w:r>
            <w:r>
              <w:t xml:space="preserve"> si la Fase 4 se interrumpe y se reanuda, las pruebas posteriores cambian. Para obtener exactamente las de la tesis hay que emular sus dos reanudaciones (ver informe de la Fase 4).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6. Reglas que nunca se rompen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Nada que revele el desenlace entra al modelo; el hospital no es predictor; las enfermedades previas se miden solo con diagnósticos secundarios.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Los archivos originales no se modifican y los valores imposibles se anulan, no se inventan.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Ninguna salida publicada tiene RUT, fechas completas ni cifras de 1 a 9 casos; los hospitales se muestran por código y sin ranking.</w:t>
      </w:r>
    </w:p>
    <w:p>
      <w:pPr>
        <w:pStyle w:val="Heading1"/>
      </w:pPr>
      <w:r>
        <w:t xml:space="preserve">7. Cronología y gobernanza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1"/>
        <w:gridCol w:w="5419"/>
        <w:gridCol w:w="1970"/>
      </w:tblGrid>
      <w:tr>
        <w:trPr>
          <w:tblHeader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 (UTC)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¿Antes o después de abrir 2024?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03-08-2026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seminario: objetivos y criterios de aceptación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27-09-2026 20:33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1 publicada en GitHub (pre-registro verificable de la Fase 1)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27-09-2026 20:58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Un prototipo anterior se evalúa en 2024 y publica sus resultados</w:t>
            </w:r>
            <w:r>
              <w:rPr>
                <w:sz w:val="19"/>
                <w:szCs w:val="19"/>
              </w:rPr>
              <w:t xml:space="preserve"> (incidente I-01)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 del sello, pero usa el desenlace de 2024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18-10-2026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Fase 3 ejecutada; informe de la Fase 3 y planes de las Fases 3 y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03:01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la Fase 4 (modelos congelados)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12:16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 del protocolo de la Fase 5 (huella SHA-256 5624bdae…)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12:24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Plan e informe de preparación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13:04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Apertura única del desenlace de 2024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13:38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Informe de evaluación de la Fase 5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19-10-2026 22:53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Versiones «v4 consenso» de los informes de las Fases 1 a 4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20/21-10-2026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Auditoría externa y reproducción independiente desde cero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19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21-10-2026</w:t>
            </w:r>
          </w:p>
        </w:tc>
        <w:tc>
          <w:tcPr>
            <w:tcW w:type="dxa" w:w="5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Registro completo de incidentes (I-01 a I-10) y borrador de la enmienda 01 al protocolo</w:t>
            </w:r>
          </w:p>
        </w:tc>
        <w:tc>
          <w:tcPr>
            <w:tcW w:type="dxa" w:w="19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Después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El </w:t>
      </w:r>
      <w:r>
        <w:rPr>
          <w:b/>
          <w:bCs/>
        </w:rPr>
        <w:t xml:space="preserve">protocolo pre-registrado</w:t>
      </w:r>
      <w:r>
        <w:t xml:space="preserve"> de la Fase 5 garantiza que el pipeline definitivo no se ajustó mirando 2024. El año, sin embargo, no fue ciego para el autor: un prototipo anterior se evaluó en 2024 el 27-09-2026 (incidente I-01). Las versiones «v4 consenso» de los informes se escribieron después de la apertura y se conservan en el historial; los informes v5 marcan qué cambió y cuándo. Todos los incidentes están en </w:t>
      </w:r>
      <w:r>
        <w:rPr>
          <w:rFonts w:ascii="Consolas" w:cs="Consolas" w:eastAsia="Consolas" w:hAnsi="Consolas"/>
          <w:sz w:val="19"/>
          <w:szCs w:val="19"/>
        </w:rPr>
        <w:t xml:space="preserve">fase5_evaluacion/documentos/INCIDENTES.md</w:t>
      </w:r>
      <w:r>
        <w:t xml:space="preserve">.</w:t>
      </w:r>
    </w:p>
    <w:p>
      <w:pPr>
        <w:pStyle w:val="Heading2"/>
      </w:pPr>
      <w:r>
        <w:t xml:space="preserve">7.1 Pendientes antes de la defensa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Que el profesor guía firme la constancia y apruebe la enmienda 01 (</w:t>
      </w:r>
      <w:r>
        <w:rPr>
          <w:rFonts w:ascii="Consolas" w:cs="Consolas" w:eastAsia="Consolas" w:hAnsi="Consolas"/>
          <w:sz w:val="19"/>
          <w:szCs w:val="19"/>
        </w:rPr>
        <w:t xml:space="preserve">docs/gobernanza/Etapa0_Gobernanza_para_firma.docx</w:t>
      </w:r>
      <w:r>
        <w:t xml:space="preserve">). Su Parte A ratifica la apertura de 2024, porque su aprobación llegó después de conocer los resultados (I-10). Luego registrar la enmienda con </w:t>
      </w:r>
      <w:r>
        <w:rPr>
          <w:rFonts w:ascii="Consolas" w:cs="Consolas" w:eastAsia="Consolas" w:hAnsi="Consolas"/>
          <w:sz w:val="19"/>
          <w:szCs w:val="19"/>
        </w:rPr>
        <w:t xml:space="preserve">registrar_enmienda.py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Conseguir una contraparte clínica (exclusión obstétrica, procedencia, nivel de cuidado).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Decidir si se reescribe el historial público de GitHub (incidente I-09).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Aplicar las etapas del plan de corrección que no reentrenan (gobernanza, indicador, privacidad y documentación).</w:t>
      </w:r>
    </w:p>
    <w:p>
      <w:pPr>
        <w:pStyle w:val="Heading1"/>
      </w:pPr>
      <w:r>
        <w:t xml:space="preserve">8.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GRD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Grupos Relacionados por el Diagnóstico: clasifica cada egreso en un grupo de pacientes parecidos; FONASA lo usa para pagar a los hospitales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Egreso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Una hospitalización terminada (alta, traslado o fallecimiento)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Cohorte D / E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Egresos que entran al modelo de mortalidad (D) y al de estadía (E)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Elixhauser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Lista de 31 enfermedades crónicas detectadas en los diagnósticos secundarios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O/E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Observado sobre esperado; 1 significa «lo esperado»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Embudo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Gráfico con límites de 95 % y 99,8 % que dependen del volumen del hospital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Calibración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Ajuste del nivel de las predicciones para que coincida con lo observado en un año de referencia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AUC / PR AUC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Capacidad del modelo de ordenar a los pacientes por riesgo (PR AUC enfatiza el evento poco frecuente)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Huella SHA-256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Firma digital de un archivo: si cambia un solo byte, cambia la huella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Pre-registro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Fijar y firmar el análisis antes de ver los datos de prueba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CRISP-DM</w:t>
            </w:r>
          </w:p>
        </w:tc>
        <w:tc>
          <w:tcPr>
            <w:tcW w:type="dxa" w:w="72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Método estándar de seis fases para proyectos de minería de datos</w:t>
            </w:r>
          </w:p>
        </w:tc>
      </w:tr>
    </w:tbl>
    <w:p>
      <w:pPr>
        <w:spacing w:after="8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Guía del proyecto · v5  ·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del proyecto · v5</dc:title>
  <dc:creator>Felipe Ignacio Baeza Muñoz</dc:creator>
  <dc:description>Informe v5 del proyecto de tesis (reproducción independiente verificada)</dc:description>
  <cp:lastModifiedBy>Un-named</cp:lastModifiedBy>
  <cp:revision>1</cp:revision>
  <dcterms:created xsi:type="dcterms:W3CDTF">2026-10-25T20:15:30.693Z</dcterms:created>
  <dcterms:modified xsi:type="dcterms:W3CDTF">2026-10-25T20:15:30.693Z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