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0000"/>
          <w:sz w:val="24"/>
          <w:szCs w:val="24"/>
        </w:rPr>
        <w:t xml:space="preserve">UNIVERSIDAD DE SANTIAGO DE CHILE</w:t>
      </w:r>
    </w:p>
    <w:p>
      <w:pPr>
        <w:spacing w:after="60"/>
        <w:jc w:val="center"/>
      </w:pPr>
      <w:r>
        <w:rPr>
          <w:b/>
          <w:bCs/>
          <w:color w:val="000000"/>
          <w:sz w:val="24"/>
          <w:szCs w:val="24"/>
        </w:rPr>
        <w:t xml:space="preserve">FACULTAD DE INGENIERÍA</w:t>
      </w:r>
    </w:p>
    <w:p>
      <w:pPr>
        <w:spacing w:after="1200"/>
        <w:jc w:val="center"/>
      </w:pPr>
      <w:r>
        <w:rPr>
          <w:b/>
          <w:bCs/>
          <w:color w:val="000000"/>
          <w:sz w:val="24"/>
          <w:szCs w:val="24"/>
        </w:rPr>
        <w:t xml:space="preserve">DEPARTAMENTO DE INGENIERÍA INFORMÁTICA</w:t>
      </w:r>
    </w:p>
    <w:p>
      <w:pPr>
        <w:spacing w:after="60"/>
        <w:jc w:val="center"/>
      </w:pPr>
      <w:r>
        <w:rPr>
          <w:b/>
          <w:bCs/>
          <w:color w:val="1F3864"/>
          <w:sz w:val="30"/>
          <w:szCs w:val="30"/>
        </w:rPr>
        <w:t xml:space="preserve">ANEXO DE LA FASE 5 · ENMIENDA 02</w:t>
      </w:r>
    </w:p>
    <w:p>
      <w:pPr>
        <w:spacing w:after="160"/>
        <w:jc w:val="center"/>
      </w:pPr>
      <w:r>
        <w:rPr>
          <w:b/>
          <w:bCs/>
          <w:color w:val="1F3864"/>
          <w:sz w:val="40"/>
          <w:szCs w:val="40"/>
        </w:rPr>
        <w:t xml:space="preserve">RESULTADOS</w:t>
      </w:r>
    </w:p>
    <w:p>
      <w:pPr>
        <w:spacing w:after="1000"/>
        <w:jc w:val="center"/>
      </w:pPr>
      <w:r>
        <w:rPr>
          <w:color w:val="404040"/>
          <w:sz w:val="24"/>
          <w:szCs w:val="24"/>
        </w:rPr>
        <w:t xml:space="preserve">Correcciones de datos y cohortes (etapa 1 del plan), registradas antes de correr</w:t>
      </w:r>
    </w:p>
    <w:p>
      <w:pPr>
        <w:spacing w:after="60"/>
        <w:jc w:val="center"/>
      </w:pPr>
      <w:r>
        <w:rPr>
          <w:b/>
          <w:bCs/>
          <w:color w:val="000000"/>
          <w:sz w:val="24"/>
          <w:szCs w:val="24"/>
        </w:rPr>
        <w:t xml:space="preserve">Proyecto de Tesis</w:t>
      </w:r>
    </w:p>
    <w:p>
      <w:pPr>
        <w:spacing w:after="60"/>
        <w:jc w:val="center"/>
      </w:pPr>
      <w:r>
        <w:rPr>
          <w:color w:val="000000"/>
          <w:sz w:val="24"/>
          <w:szCs w:val="24"/>
        </w:rPr>
        <w:t xml:space="preserve">Sistema de evaluación del desempeño hospitalario</w:t>
      </w:r>
    </w:p>
    <w:p>
      <w:pPr>
        <w:spacing w:after="900"/>
        <w:jc w:val="center"/>
      </w:pPr>
      <w:r>
        <w:rPr>
          <w:color w:val="000000"/>
          <w:sz w:val="24"/>
          <w:szCs w:val="24"/>
        </w:rPr>
        <w:t xml:space="preserve">ajustado por riesgo mediante aprendizaje automático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Estudiante</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Felipe Ignacio Baeza Muñoz</w:t>
            </w:r>
          </w:p>
        </w:tc>
      </w:tr>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Profesor guía</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Manuel Villalobos Cid</w:t>
            </w:r>
          </w:p>
        </w:tc>
      </w:tr>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Carrera</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Ingeniería de Ejecución en Computación e Informática</w:t>
            </w:r>
          </w:p>
        </w:tc>
      </w:tr>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Fecha</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22 de octubre de 2026 · v1.0</w:t>
            </w:r>
          </w:p>
        </w:tc>
      </w:tr>
    </w:tbl>
    <w:p>
      <w:r>
        <w:br w:type="page"/>
      </w:r>
    </w:p>
    <w:p>
      <w:pPr>
        <w:pStyle w:val="Heading1"/>
      </w:pPr>
      <w:r>
        <w:t xml:space="preserve">1. Qué es este anexo</w:t>
      </w:r>
    </w:p>
    <w:p>
      <w:pPr>
        <w:spacing w:after="120" w:line="276"/>
      </w:pPr>
      <w:r>
        <w:t xml:space="preserve">La enmienda 02 pone a prueba las correcciones de datos y cohortes de la etapa 1 del plan de corrección:</w:t>
      </w:r>
    </w:p>
    <w:p>
      <w:pPr>
        <w:pStyle w:val="ListParagraph"/>
        <w:numPr>
          <w:ilvl w:val="0"/>
          <w:numId w:val="2"/>
        </w:numPr>
        <w:spacing w:after="80" w:line="264"/>
      </w:pPr>
      <w:r>
        <w:t xml:space="preserve">la exclusión obstétrica (EX03), en su versión conservadora: el MDC 14 completo fuera;</w:t>
      </w:r>
    </w:p>
    <w:p>
      <w:pPr>
        <w:pStyle w:val="ListParagraph"/>
        <w:numPr>
          <w:ilvl w:val="0"/>
          <w:numId w:val="2"/>
        </w:numPr>
        <w:spacing w:after="80" w:line="264"/>
      </w:pPr>
      <w:r>
        <w:t xml:space="preserve">el alta voluntaria y la fuga fuera de la cohorte de estadía, como ya decía la configuración;</w:t>
      </w:r>
    </w:p>
    <w:p>
      <w:pPr>
        <w:pStyle w:val="ListParagraph"/>
        <w:numPr>
          <w:ilvl w:val="0"/>
          <w:numId w:val="2"/>
        </w:numPr>
        <w:spacing w:after="80" w:line="264"/>
      </w:pPr>
      <w:r>
        <w:t xml:space="preserve">los grupos de pares según el catálogo de establecimientos del DEIS;</w:t>
      </w:r>
    </w:p>
    <w:p>
      <w:pPr>
        <w:pStyle w:val="ListParagraph"/>
        <w:numPr>
          <w:ilvl w:val="0"/>
          <w:numId w:val="2"/>
        </w:numPr>
        <w:spacing w:after="80" w:line="264"/>
      </w:pPr>
      <w:r>
        <w:t xml:space="preserve">los hospitales nuevos en GRD;</w:t>
      </w:r>
    </w:p>
    <w:p>
      <w:pPr>
        <w:pStyle w:val="ListParagraph"/>
        <w:numPr>
          <w:ilvl w:val="0"/>
          <w:numId w:val="2"/>
        </w:numPr>
        <w:spacing w:after="80" w:line="264"/>
      </w:pPr>
      <w:r>
        <w:t xml:space="preserve">las tasas de contexto: paliativos, hospitalización domiciliaria, y alta voluntaria y fuga.</w:t>
      </w:r>
    </w:p>
    <w:p>
      <w:pPr>
        <w:spacing w:after="120" w:line="276"/>
      </w:pPr>
      <w:r>
        <w:t xml:space="preserve">Ninguno de estos análisis se había corrido antes, ni siquiera como exploración. A diferencia de la enmienda 01, estos resultados no se conocían.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off"/>
        </w:trPr>
        <w:tc>
          <w:tcPr>
            <w:tcW w:type="dxa" w:w="9360"/>
            <w:tcBorders>
              <w:top w:val="none" w:color="FFFFFF" w:sz="0"/>
              <w:left w:val="single" w:color="2E5AAC" w:sz="24"/>
              <w:bottom w:val="none" w:color="FFFFFF" w:sz="0"/>
              <w:right w:val="none" w:color="FFFFFF" w:sz="0"/>
            </w:tcBorders>
            <w:shd w:fill="EAF1FB" w:color="auto" w:val="clear"/>
            <w:tcMar>
              <w:top w:type="dxa" w:w="120"/>
              <w:left w:type="dxa" w:w="200"/>
              <w:bottom w:type="dxa" w:w="100"/>
              <w:right w:type="dxa" w:w="160"/>
            </w:tcMar>
          </w:tcPr>
          <w:p>
            <w:pPr>
              <w:spacing w:after="80"/>
            </w:pPr>
            <w:r>
              <w:rPr>
                <w:b/>
                <w:bCs/>
                <w:color w:val="2E5AAC"/>
              </w:rPr>
              <w:t xml:space="preserve">Lo que no cambia</w:t>
            </w:r>
          </w:p>
          <w:p>
            <w:pPr>
              <w:spacing w:after="60" w:line="264"/>
            </w:pPr>
            <w:r>
              <w:t xml:space="preserve">El resultado primario de la tesis (modelos congelados, protocolo v1.0 y evaluación de 2024) no se modifica.</w:t>
            </w:r>
          </w:p>
          <w:p>
            <w:pPr>
              <w:spacing w:after="60" w:line="264"/>
            </w:pPr>
            <w:r>
              <w:t xml:space="preserve">Ningún análisis se modificó, se repitió ni se descartó por su resultado.</w:t>
            </w:r>
          </w:p>
        </w:tc>
      </w:tr>
    </w:tbl>
    <w:p>
      <w:pPr>
        <w:spacing w:after="100"/>
      </w:pPr>
    </w:p>
    <w:p>
      <w:pPr>
        <w:pStyle w:val="Heading2"/>
      </w:pPr>
      <w:r>
        <w:t xml:space="preserve">Orden de los hechos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4680"/>
        <w:gridCol w:w="2621"/>
      </w:tblGrid>
      <w:tr>
        <w:trPr>
          <w:tblHeader/>
        </w:trPr>
        <w:tc>
          <w:tcPr>
            <w:tcW w:type="dxa" w:w="2059"/>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Fecha y hora (UTC)</w:t>
            </w:r>
          </w:p>
        </w:tc>
        <w:tc>
          <w:tcPr>
            <w:tcW w:type="dxa" w:w="468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Hecho</w:t>
            </w:r>
          </w:p>
        </w:tc>
        <w:tc>
          <w:tcPr>
            <w:tcW w:type="dxa" w:w="2621"/>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Evidencia</w:t>
            </w:r>
          </w:p>
        </w:tc>
      </w:tr>
      <w:tr>
        <w:trPr>
          <w:cantSplit/>
        </w:trPr>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22-10-2026</w:t>
            </w:r>
          </w:p>
        </w:tc>
        <w:tc>
          <w:tcPr>
            <w:tcW w:type="dxa" w:w="46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Catálogo de tipo de establecimiento construido desde la Base de Establecimientos 2025 del DEIS, entregada por el autor</w:t>
            </w:r>
          </w:p>
        </w:tc>
        <w:tc>
          <w:tcPr>
            <w:tcW w:type="dxa" w:w="262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commit </w:t>
            </w:r>
            <w:r>
              <w:rPr>
                <w:rFonts w:ascii="Consolas" w:cs="Consolas" w:eastAsia="Consolas" w:hAnsi="Consolas"/>
                <w:sz w:val="19"/>
                <w:szCs w:val="19"/>
              </w:rPr>
              <w:t xml:space="preserve">b1cfe7d</w:t>
            </w:r>
          </w:p>
        </w:tc>
      </w:tr>
      <w:tr>
        <w:trPr>
          <w:cantSplit/>
        </w:trPr>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22-10-2026 15:05</w:t>
            </w:r>
          </w:p>
        </w:tc>
        <w:tc>
          <w:tcPr>
            <w:tcW w:type="dxa" w:w="46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Registro de la enmienda y de la huella del código y del catálogo, antes de correr. El profesor guía la revisa y firma después de los resultados, por decisión del autor</w:t>
            </w:r>
          </w:p>
        </w:tc>
        <w:tc>
          <w:tcPr>
            <w:tcW w:type="dxa" w:w="262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registro_enmienda_02.json</w:t>
            </w:r>
            <w:r>
              <w:rPr>
                <w:sz w:val="19"/>
                <w:szCs w:val="19"/>
              </w:rPr>
              <w:t xml:space="preserve">, </w:t>
            </w:r>
            <w:r>
              <w:rPr>
                <w:rFonts w:ascii="Consolas" w:cs="Consolas" w:eastAsia="Consolas" w:hAnsi="Consolas"/>
                <w:sz w:val="19"/>
                <w:szCs w:val="19"/>
              </w:rPr>
              <w:t xml:space="preserve">registro_corrida_enmienda_02.json</w:t>
            </w:r>
            <w:r>
              <w:rPr>
                <w:sz w:val="19"/>
                <w:szCs w:val="19"/>
              </w:rPr>
              <w:t xml:space="preserve">; commit </w:t>
            </w:r>
            <w:r>
              <w:rPr>
                <w:rFonts w:ascii="Consolas" w:cs="Consolas" w:eastAsia="Consolas" w:hAnsi="Consolas"/>
                <w:sz w:val="19"/>
                <w:szCs w:val="19"/>
              </w:rPr>
              <w:t xml:space="preserve">ca3c40b</w:t>
            </w:r>
          </w:p>
        </w:tc>
      </w:tr>
      <w:tr>
        <w:trPr>
          <w:cantSplit/>
        </w:trPr>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22-10-2026 15:05 a 15:53</w:t>
            </w:r>
          </w:p>
        </w:tc>
        <w:tc>
          <w:tcPr>
            <w:tcW w:type="dxa" w:w="46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Única corrida, sobre la reproducción independiente. La base de comparación es la de la enmienda 01</w:t>
            </w:r>
          </w:p>
        </w:tc>
        <w:tc>
          <w:tcPr>
            <w:tcW w:type="dxa" w:w="262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metadatos.json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EAF1FB" w:color="auto" w:val="clear"/>
            <w:tcMar>
              <w:top w:type="dxa" w:w="140"/>
              <w:left w:type="dxa" w:w="120"/>
              <w:bottom w:type="dxa" w:w="140"/>
              <w:right w:type="dxa" w:w="120"/>
            </w:tcMar>
          </w:tcPr>
          <w:p>
            <w:pPr>
              <w:spacing w:after="40"/>
              <w:jc w:val="center"/>
            </w:pPr>
            <w:r>
              <w:rPr>
                <w:b/>
                <w:bCs/>
                <w:color w:val="1F3864"/>
                <w:sz w:val="34"/>
                <w:szCs w:val="34"/>
              </w:rPr>
              <w:t xml:space="preserve">24 de 24</w:t>
            </w:r>
          </w:p>
          <w:p>
            <w:pPr>
              <w:spacing w:after="0"/>
              <w:jc w:val="center"/>
            </w:pPr>
            <w:r>
              <w:rPr>
                <w:color w:val="404040"/>
                <w:sz w:val="17"/>
                <w:szCs w:val="17"/>
              </w:rPr>
              <w:t xml:space="preserve">análisis con regla</w:t>
            </w:r>
          </w:p>
          <w:p>
            <w:pPr>
              <w:spacing w:after="0"/>
              <w:jc w:val="center"/>
            </w:pPr>
            <w:r>
              <w:rPr>
                <w:color w:val="404040"/>
                <w:sz w:val="17"/>
                <w:szCs w:val="17"/>
              </w:rPr>
              <w:t xml:space="preserve">la cumplen</w:t>
            </w:r>
          </w:p>
        </w:tc>
        <w:tc>
          <w:tcPr>
            <w:tcW w:type="dxa" w:w="2340"/>
            <w:tcBorders>
              <w:top w:val="single" w:color="FFFFFF" w:sz="4"/>
              <w:left w:val="single" w:color="FFFFFF" w:sz="4"/>
              <w:bottom w:val="single" w:color="FFFFFF" w:sz="4"/>
              <w:right w:val="single" w:color="FFFFFF" w:sz="4"/>
            </w:tcBorders>
            <w:shd w:fill="EAF1FB" w:color="auto" w:val="clear"/>
            <w:tcMar>
              <w:top w:type="dxa" w:w="140"/>
              <w:left w:type="dxa" w:w="120"/>
              <w:bottom w:type="dxa" w:w="140"/>
              <w:right w:type="dxa" w:w="120"/>
            </w:tcMar>
          </w:tcPr>
          <w:p>
            <w:pPr>
              <w:spacing w:after="40"/>
              <w:jc w:val="center"/>
            </w:pPr>
            <w:r>
              <w:rPr>
                <w:b/>
                <w:bCs/>
                <w:color w:val="1F3864"/>
                <w:sz w:val="34"/>
                <w:szCs w:val="34"/>
              </w:rPr>
              <w:t xml:space="preserve">46</w:t>
            </w:r>
          </w:p>
          <w:p>
            <w:pPr>
              <w:spacing w:after="0"/>
              <w:jc w:val="center"/>
            </w:pPr>
            <w:r>
              <w:rPr>
                <w:color w:val="404040"/>
                <w:sz w:val="17"/>
                <w:szCs w:val="17"/>
              </w:rPr>
              <w:t xml:space="preserve">muertes obstétricas que salen</w:t>
            </w:r>
          </w:p>
          <w:p>
            <w:pPr>
              <w:spacing w:after="0"/>
              <w:jc w:val="center"/>
            </w:pPr>
            <w:r>
              <w:rPr>
                <w:color w:val="404040"/>
                <w:sz w:val="17"/>
                <w:szCs w:val="17"/>
              </w:rPr>
              <w:t xml:space="preserve">de la cohorte D (2019–2023)</w:t>
            </w:r>
          </w:p>
        </w:tc>
        <w:tc>
          <w:tcPr>
            <w:tcW w:type="dxa" w:w="2340"/>
            <w:tcBorders>
              <w:top w:val="single" w:color="FFFFFF" w:sz="4"/>
              <w:left w:val="single" w:color="FFFFFF" w:sz="4"/>
              <w:bottom w:val="single" w:color="FFFFFF" w:sz="4"/>
              <w:right w:val="single" w:color="FFFFFF" w:sz="4"/>
            </w:tcBorders>
            <w:shd w:fill="EAF1FB" w:color="auto" w:val="clear"/>
            <w:tcMar>
              <w:top w:type="dxa" w:w="140"/>
              <w:left w:type="dxa" w:w="120"/>
              <w:bottom w:type="dxa" w:w="140"/>
              <w:right w:type="dxa" w:w="120"/>
            </w:tcMar>
          </w:tcPr>
          <w:p>
            <w:pPr>
              <w:spacing w:after="40"/>
              <w:jc w:val="center"/>
            </w:pPr>
            <w:r>
              <w:rPr>
                <w:b/>
                <w:bCs/>
                <w:color w:val="1F3864"/>
                <w:sz w:val="34"/>
                <w:szCs w:val="34"/>
              </w:rPr>
              <w:t xml:space="preserve">0</w:t>
            </w:r>
          </w:p>
          <w:p>
            <w:pPr>
              <w:spacing w:after="0"/>
              <w:jc w:val="center"/>
            </w:pPr>
            <w:r>
              <w:rPr>
                <w:color w:val="404040"/>
                <w:sz w:val="17"/>
                <w:szCs w:val="17"/>
              </w:rPr>
              <w:t xml:space="preserve">hospitales que cambian de zona</w:t>
            </w:r>
          </w:p>
          <w:p>
            <w:pPr>
              <w:spacing w:after="0"/>
              <w:jc w:val="center"/>
            </w:pPr>
            <w:r>
              <w:rPr>
                <w:color w:val="404040"/>
                <w:sz w:val="17"/>
                <w:szCs w:val="17"/>
              </w:rPr>
              <w:t xml:space="preserve">en 2023 al corregir las cohortes</w:t>
            </w:r>
          </w:p>
        </w:tc>
        <w:tc>
          <w:tcPr>
            <w:tcW w:type="dxa" w:w="2340"/>
            <w:tcBorders>
              <w:top w:val="single" w:color="FFFFFF" w:sz="4"/>
              <w:left w:val="single" w:color="FFFFFF" w:sz="4"/>
              <w:bottom w:val="single" w:color="FFFFFF" w:sz="4"/>
              <w:right w:val="single" w:color="FFFFFF" w:sz="4"/>
            </w:tcBorders>
            <w:shd w:fill="EAF1FB" w:color="auto" w:val="clear"/>
            <w:tcMar>
              <w:top w:type="dxa" w:w="140"/>
              <w:left w:type="dxa" w:w="120"/>
              <w:bottom w:type="dxa" w:w="140"/>
              <w:right w:type="dxa" w:w="120"/>
            </w:tcMar>
          </w:tcPr>
          <w:p>
            <w:pPr>
              <w:spacing w:after="40"/>
              <w:jc w:val="center"/>
            </w:pPr>
            <w:r>
              <w:rPr>
                <w:b/>
                <w:bCs/>
                <w:color w:val="1F3864"/>
                <w:sz w:val="34"/>
                <w:szCs w:val="34"/>
              </w:rPr>
              <w:t xml:space="preserve">52 · 14 · 3</w:t>
            </w:r>
          </w:p>
          <w:p>
            <w:pPr>
              <w:spacing w:after="0"/>
              <w:jc w:val="center"/>
            </w:pPr>
            <w:r>
              <w:rPr>
                <w:color w:val="404040"/>
                <w:sz w:val="17"/>
                <w:szCs w:val="17"/>
              </w:rPr>
              <w:t xml:space="preserve">hospitales de alta y mediana</w:t>
            </w:r>
          </w:p>
          <w:p>
            <w:pPr>
              <w:spacing w:after="0"/>
              <w:jc w:val="center"/>
            </w:pPr>
            <w:r>
              <w:rPr>
                <w:color w:val="404040"/>
                <w:sz w:val="17"/>
                <w:szCs w:val="17"/>
              </w:rPr>
              <w:t xml:space="preserve">complejidad, e institutos</w:t>
            </w:r>
          </w:p>
        </w:tc>
      </w:tr>
    </w:tbl>
    <w:p>
      <w:pPr>
        <w:spacing w:after="120"/>
      </w:pPr>
    </w:p>
    <w:p>
      <w:pPr>
        <w:pStyle w:val="Heading1"/>
      </w:pPr>
      <w:r>
        <w:t xml:space="preserve">2. Resultado en una frase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off"/>
        </w:trPr>
        <w:tc>
          <w:tcPr>
            <w:tcW w:type="dxa" w:w="9360"/>
            <w:tcBorders>
              <w:top w:val="none" w:color="FFFFFF" w:sz="0"/>
              <w:left w:val="single" w:color="2E7D32" w:sz="24"/>
              <w:bottom w:val="none" w:color="FFFFFF" w:sz="0"/>
              <w:right w:val="none" w:color="FFFFFF" w:sz="0"/>
            </w:tcBorders>
            <w:shd w:fill="E9F5E7" w:color="auto" w:val="clear"/>
            <w:tcMar>
              <w:top w:type="dxa" w:w="120"/>
              <w:left w:type="dxa" w:w="200"/>
              <w:bottom w:type="dxa" w:w="100"/>
              <w:right w:type="dxa" w:w="160"/>
            </w:tcMar>
          </w:tcPr>
          <w:p>
            <w:pPr>
              <w:spacing w:after="60" w:line="264"/>
            </w:pPr>
            <w:r>
              <w:rPr>
                <w:b/>
                <w:bCs/>
              </w:rPr>
              <w:t xml:space="preserve">Las correcciones de cohorte no cambian el indicador.</w:t>
            </w:r>
            <w:r>
              <w:t xml:space="preserve"> Excluir el MDC 14 completo, sacar el alta voluntaria y la fuga de la estadía, o las dos cosas juntas, deja en 2023 a todos los hospitales en la misma zona (ρ ≥ 0,996). En 2024 cambian 1 o 2 hospitales.</w:t>
            </w:r>
          </w:p>
          <w:p>
            <w:pPr>
              <w:spacing w:after="60" w:line="264"/>
            </w:pPr>
            <w:r>
              <w:t xml:space="preserve">Las conclusiones de la tesis no dependían de esas decisiones, y una versión 2 del indicador puede adoptarlas sin cambiar su lectura.</w:t>
            </w:r>
          </w:p>
          <w:p>
            <w:pPr>
              <w:spacing w:after="60" w:line="264"/>
            </w:pPr>
            <w:r>
              <w:t xml:space="preserve">Lo que sí mueve el indicador es con quién se compara cada hospital (sección 4), como ya mostró la enmienda 01.</w:t>
            </w:r>
          </w:p>
        </w:tc>
      </w:tr>
    </w:tbl>
    <w:p>
      <w:pPr>
        <w:spacing w:after="100"/>
      </w:pPr>
    </w:p>
    <w:p>
      <w:pPr>
        <w:pStyle w:val="Heading1"/>
      </w:pPr>
      <w:r>
        <w:t xml:space="preserve">3. Correcciones de cohorte (E2.1 a E2.3)</w:t>
      </w:r>
    </w:p>
    <w:p>
      <w:pPr>
        <w:spacing w:after="120" w:line="276"/>
      </w:pPr>
      <w:r>
        <w:t xml:space="preserve">Se reentrena la receta congelada en la cohorte corregida, y la corrección se aplica a la vez al entrenamiento, la calibración y la prueba. Cada celda indica los </w:t>
      </w:r>
      <w:r>
        <w:rPr>
          <w:b/>
          <w:bCs/>
        </w:rPr>
        <w:t xml:space="preserve">egresos que salen de la prueba</w:t>
      </w:r>
      <w:r>
        <w:t xml:space="preserve"> y el </w:t>
      </w:r>
      <w:r>
        <w:rPr>
          <w:b/>
          <w:bCs/>
        </w:rPr>
        <w:t xml:space="preserve">% de hospitales en la misma zona · ρ del O/E</w:t>
      </w:r>
      <w:r>
        <w:t xml:space="preserve"> frente a la base de la enmienda 01.</w:t>
      </w:r>
    </w:p>
    <w:p>
      <w:pPr>
        <w:pStyle w:val="Heading3"/>
      </w:pPr>
      <w:r>
        <w:t xml:space="preserve">Mortalidad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3"/>
        <w:gridCol w:w="1009"/>
        <w:gridCol w:w="1376"/>
        <w:gridCol w:w="918"/>
        <w:gridCol w:w="1009"/>
        <w:gridCol w:w="1376"/>
        <w:gridCol w:w="919"/>
      </w:tblGrid>
      <w:tr>
        <w:trPr>
          <w:tblHeader/>
        </w:trPr>
        <w:tc>
          <w:tcPr>
            <w:tcW w:type="dxa" w:w="275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Análisis</w:t>
            </w:r>
          </w:p>
        </w:tc>
        <w:tc>
          <w:tcPr>
            <w:tcW w:type="dxa" w:w="1009"/>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Salen (2023)</w:t>
            </w:r>
          </w:p>
        </w:tc>
        <w:tc>
          <w:tcPr>
            <w:tcW w:type="dxa" w:w="137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Zona · ρ (2023)</w:t>
            </w:r>
          </w:p>
        </w:tc>
        <w:tc>
          <w:tcPr>
            <w:tcW w:type="dxa" w:w="91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Regla</w:t>
            </w:r>
          </w:p>
        </w:tc>
        <w:tc>
          <w:tcPr>
            <w:tcW w:type="dxa" w:w="1009"/>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Salen (2024)</w:t>
            </w:r>
          </w:p>
        </w:tc>
        <w:tc>
          <w:tcPr>
            <w:tcW w:type="dxa" w:w="137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Zona · ρ (2024)</w:t>
            </w:r>
          </w:p>
        </w:tc>
        <w:tc>
          <w:tcPr>
            <w:tcW w:type="dxa" w:w="919"/>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Regla</w:t>
            </w:r>
          </w:p>
        </w:tc>
      </w:tr>
      <w:tr>
        <w:trPr>
          <w:cantSplit/>
        </w:trPr>
        <w:tc>
          <w:tcPr>
            <w:tcW w:type="dxa" w:w="275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E2.2</w:t>
            </w:r>
            <w:r>
              <w:rPr>
                <w:sz w:val="19"/>
                <w:szCs w:val="19"/>
              </w:rPr>
              <w:t xml:space="preserve"> Sin el MDC 14 completo</w:t>
            </w:r>
          </w:p>
        </w:tc>
        <w:tc>
          <w:tcPr>
            <w:tcW w:type="dxa" w:w="100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39.944</w:t>
            </w:r>
          </w:p>
        </w:tc>
        <w:tc>
          <w:tcPr>
            <w:tcW w:type="dxa" w:w="137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100,0 % · 1,000</w:t>
            </w:r>
          </w:p>
        </w:tc>
        <w:tc>
          <w:tcPr>
            <w:tcW w:type="dxa" w:w="91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Cumple</w:t>
            </w:r>
          </w:p>
        </w:tc>
        <w:tc>
          <w:tcPr>
            <w:tcW w:type="dxa" w:w="100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39.854</w:t>
            </w:r>
          </w:p>
        </w:tc>
        <w:tc>
          <w:tcPr>
            <w:tcW w:type="dxa" w:w="137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98,6 % · 1,000</w:t>
            </w:r>
          </w:p>
        </w:tc>
        <w:tc>
          <w:tcPr>
            <w:tcW w:type="dxa" w:w="91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Cumple</w:t>
            </w:r>
          </w:p>
        </w:tc>
      </w:tr>
      <w:tr>
        <w:trPr>
          <w:cantSplit/>
        </w:trPr>
        <w:tc>
          <w:tcPr>
            <w:tcW w:type="dxa" w:w="275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E2.3</w:t>
            </w:r>
            <w:r>
              <w:rPr>
                <w:sz w:val="19"/>
                <w:szCs w:val="19"/>
              </w:rPr>
              <w:t xml:space="preserve"> E2.1 y E2.2 juntas (cohorte de una versión 2)</w:t>
            </w:r>
          </w:p>
        </w:tc>
        <w:tc>
          <w:tcPr>
            <w:tcW w:type="dxa" w:w="100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39.944</w:t>
            </w:r>
          </w:p>
        </w:tc>
        <w:tc>
          <w:tcPr>
            <w:tcW w:type="dxa" w:w="137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100,0 % · 1,000</w:t>
            </w:r>
          </w:p>
        </w:tc>
        <w:tc>
          <w:tcPr>
            <w:tcW w:type="dxa" w:w="91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Cumple</w:t>
            </w:r>
          </w:p>
        </w:tc>
        <w:tc>
          <w:tcPr>
            <w:tcW w:type="dxa" w:w="100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39.854</w:t>
            </w:r>
          </w:p>
        </w:tc>
        <w:tc>
          <w:tcPr>
            <w:tcW w:type="dxa" w:w="137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98,6 % · 1,000</w:t>
            </w:r>
          </w:p>
        </w:tc>
        <w:tc>
          <w:tcPr>
            <w:tcW w:type="dxa" w:w="91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Cumple</w:t>
            </w:r>
          </w:p>
        </w:tc>
      </w:tr>
    </w:tbl>
    <w:p>
      <w:pPr>
        <w:spacing w:after="80"/>
      </w:pPr>
    </w:p>
    <w:p>
      <w:pPr>
        <w:pStyle w:val="Heading3"/>
      </w:pPr>
      <w:r>
        <w:t xml:space="preserve">Estadía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3"/>
        <w:gridCol w:w="1009"/>
        <w:gridCol w:w="1376"/>
        <w:gridCol w:w="918"/>
        <w:gridCol w:w="1009"/>
        <w:gridCol w:w="1376"/>
        <w:gridCol w:w="919"/>
      </w:tblGrid>
      <w:tr>
        <w:trPr>
          <w:tblHeader/>
        </w:trPr>
        <w:tc>
          <w:tcPr>
            <w:tcW w:type="dxa" w:w="275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Análisis</w:t>
            </w:r>
          </w:p>
        </w:tc>
        <w:tc>
          <w:tcPr>
            <w:tcW w:type="dxa" w:w="1009"/>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Salen (2023)</w:t>
            </w:r>
          </w:p>
        </w:tc>
        <w:tc>
          <w:tcPr>
            <w:tcW w:type="dxa" w:w="137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Zona · ρ (2023)</w:t>
            </w:r>
          </w:p>
        </w:tc>
        <w:tc>
          <w:tcPr>
            <w:tcW w:type="dxa" w:w="91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Regla</w:t>
            </w:r>
          </w:p>
        </w:tc>
        <w:tc>
          <w:tcPr>
            <w:tcW w:type="dxa" w:w="1009"/>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Salen (2024)</w:t>
            </w:r>
          </w:p>
        </w:tc>
        <w:tc>
          <w:tcPr>
            <w:tcW w:type="dxa" w:w="137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Zona · ρ (2024)</w:t>
            </w:r>
          </w:p>
        </w:tc>
        <w:tc>
          <w:tcPr>
            <w:tcW w:type="dxa" w:w="919"/>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Regla</w:t>
            </w:r>
          </w:p>
        </w:tc>
      </w:tr>
      <w:tr>
        <w:trPr>
          <w:cantSplit/>
        </w:trPr>
        <w:tc>
          <w:tcPr>
            <w:tcW w:type="dxa" w:w="275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E2.1</w:t>
            </w:r>
            <w:r>
              <w:rPr>
                <w:sz w:val="19"/>
                <w:szCs w:val="19"/>
              </w:rPr>
              <w:t xml:space="preserve"> Sin alta voluntaria ni fuga en la cohorte de estadía</w:t>
            </w:r>
          </w:p>
        </w:tc>
        <w:tc>
          <w:tcPr>
            <w:tcW w:type="dxa" w:w="100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10.879</w:t>
            </w:r>
          </w:p>
        </w:tc>
        <w:tc>
          <w:tcPr>
            <w:tcW w:type="dxa" w:w="137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100,0 % · 0,998</w:t>
            </w:r>
          </w:p>
        </w:tc>
        <w:tc>
          <w:tcPr>
            <w:tcW w:type="dxa" w:w="91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Cumple</w:t>
            </w:r>
          </w:p>
        </w:tc>
        <w:tc>
          <w:tcPr>
            <w:tcW w:type="dxa" w:w="100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11.240</w:t>
            </w:r>
          </w:p>
        </w:tc>
        <w:tc>
          <w:tcPr>
            <w:tcW w:type="dxa" w:w="137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100,0 % · 0,998</w:t>
            </w:r>
          </w:p>
        </w:tc>
        <w:tc>
          <w:tcPr>
            <w:tcW w:type="dxa" w:w="91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Cumple</w:t>
            </w:r>
          </w:p>
        </w:tc>
      </w:tr>
      <w:tr>
        <w:trPr>
          <w:cantSplit/>
        </w:trPr>
        <w:tc>
          <w:tcPr>
            <w:tcW w:type="dxa" w:w="275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E2.2</w:t>
            </w:r>
            <w:r>
              <w:rPr>
                <w:sz w:val="19"/>
                <w:szCs w:val="19"/>
              </w:rPr>
              <w:t xml:space="preserve"> Sin el MDC 14 completo</w:t>
            </w:r>
          </w:p>
        </w:tc>
        <w:tc>
          <w:tcPr>
            <w:tcW w:type="dxa" w:w="100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39.913</w:t>
            </w:r>
          </w:p>
        </w:tc>
        <w:tc>
          <w:tcPr>
            <w:tcW w:type="dxa" w:w="137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100,0 % · 0,998</w:t>
            </w:r>
          </w:p>
        </w:tc>
        <w:tc>
          <w:tcPr>
            <w:tcW w:type="dxa" w:w="91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Cumple</w:t>
            </w:r>
          </w:p>
        </w:tc>
        <w:tc>
          <w:tcPr>
            <w:tcW w:type="dxa" w:w="100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39.815</w:t>
            </w:r>
          </w:p>
        </w:tc>
        <w:tc>
          <w:tcPr>
            <w:tcW w:type="dxa" w:w="137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97,1 % · 0,997</w:t>
            </w:r>
          </w:p>
        </w:tc>
        <w:tc>
          <w:tcPr>
            <w:tcW w:type="dxa" w:w="91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Cumple</w:t>
            </w:r>
          </w:p>
        </w:tc>
      </w:tr>
      <w:tr>
        <w:trPr>
          <w:cantSplit/>
        </w:trPr>
        <w:tc>
          <w:tcPr>
            <w:tcW w:type="dxa" w:w="275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E2.3</w:t>
            </w:r>
            <w:r>
              <w:rPr>
                <w:sz w:val="19"/>
                <w:szCs w:val="19"/>
              </w:rPr>
              <w:t xml:space="preserve"> E2.1 y E2.2 juntas (cohorte de una versión 2)</w:t>
            </w:r>
          </w:p>
        </w:tc>
        <w:tc>
          <w:tcPr>
            <w:tcW w:type="dxa" w:w="100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50.394</w:t>
            </w:r>
          </w:p>
        </w:tc>
        <w:tc>
          <w:tcPr>
            <w:tcW w:type="dxa" w:w="137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100,0 % · 0,996</w:t>
            </w:r>
          </w:p>
        </w:tc>
        <w:tc>
          <w:tcPr>
            <w:tcW w:type="dxa" w:w="91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Cumple</w:t>
            </w:r>
          </w:p>
        </w:tc>
        <w:tc>
          <w:tcPr>
            <w:tcW w:type="dxa" w:w="100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50.605</w:t>
            </w:r>
          </w:p>
        </w:tc>
        <w:tc>
          <w:tcPr>
            <w:tcW w:type="dxa" w:w="137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97,1 % · 0,996</w:t>
            </w:r>
          </w:p>
        </w:tc>
        <w:tc>
          <w:tcPr>
            <w:tcW w:type="dxa" w:w="91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Cumple</w:t>
            </w:r>
          </w:p>
        </w:tc>
      </w:tr>
    </w:tbl>
    <w:p>
      <w:pPr>
        <w:spacing w:after="80"/>
      </w:pPr>
    </w:p>
    <w:p>
      <w:pPr>
        <w:spacing w:after="120" w:line="276"/>
      </w:pPr>
      <w:r>
        <w:rPr>
          <w:b/>
          <w:bCs/>
        </w:rPr>
        <w:t xml:space="preserve">Desempeño del modelo en los mismos egresos.</w:t>
      </w:r>
      <w:r>
        <w:t xml:space="preserve"> Para comparar dentro de la misma población, el modelo corregido y el de la base se evalúan sobre los egresos que quedan: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17"/>
        <w:gridCol w:w="936"/>
        <w:gridCol w:w="3604"/>
        <w:gridCol w:w="3603"/>
      </w:tblGrid>
      <w:tr>
        <w:trPr>
          <w:tblHeader/>
        </w:trPr>
        <w:tc>
          <w:tcPr>
            <w:tcW w:type="dxa" w:w="1217"/>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Tarea</w:t>
            </w:r>
          </w:p>
        </w:tc>
        <w:tc>
          <w:tcPr>
            <w:tcW w:type="dxa" w:w="93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ID</w:t>
            </w:r>
          </w:p>
        </w:tc>
        <w:tc>
          <w:tcPr>
            <w:tcW w:type="dxa" w:w="360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2023 (anidado)</w:t>
            </w:r>
          </w:p>
        </w:tc>
        <w:tc>
          <w:tcPr>
            <w:tcW w:type="dxa" w:w="360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2024 (original)</w:t>
            </w:r>
          </w:p>
        </w:tc>
      </w:tr>
      <w:tr>
        <w:trPr>
          <w:cantSplit/>
        </w:trPr>
        <w:tc>
          <w:tcPr>
            <w:tcW w:type="dxa" w:w="121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Mortalidad</w:t>
            </w:r>
          </w:p>
        </w:tc>
        <w:tc>
          <w:tcPr>
            <w:tcW w:type="dxa" w:w="9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E2.2</w:t>
            </w:r>
          </w:p>
        </w:tc>
        <w:tc>
          <w:tcPr>
            <w:tcW w:type="dxa" w:w="360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PR AUC 0,377 frente a 0,378</w:t>
            </w:r>
          </w:p>
        </w:tc>
        <w:tc>
          <w:tcPr>
            <w:tcW w:type="dxa" w:w="360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PR AUC 0,384 frente a 0,385</w:t>
            </w:r>
          </w:p>
        </w:tc>
      </w:tr>
      <w:tr>
        <w:trPr>
          <w:cantSplit/>
        </w:trPr>
        <w:tc>
          <w:tcPr>
            <w:tcW w:type="dxa" w:w="121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Estadía</w:t>
            </w:r>
          </w:p>
        </w:tc>
        <w:tc>
          <w:tcPr>
            <w:tcW w:type="dxa" w:w="9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E2.1</w:t>
            </w:r>
          </w:p>
        </w:tc>
        <w:tc>
          <w:tcPr>
            <w:tcW w:type="dxa" w:w="360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devianza 4,119 frente a 4,116</w:t>
            </w:r>
          </w:p>
        </w:tc>
        <w:tc>
          <w:tcPr>
            <w:tcW w:type="dxa" w:w="360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devianza 4,094 frente a 4,094</w:t>
            </w:r>
          </w:p>
        </w:tc>
      </w:tr>
      <w:tr>
        <w:trPr>
          <w:cantSplit/>
        </w:trPr>
        <w:tc>
          <w:tcPr>
            <w:tcW w:type="dxa" w:w="121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Estadía</w:t>
            </w:r>
          </w:p>
        </w:tc>
        <w:tc>
          <w:tcPr>
            <w:tcW w:type="dxa" w:w="9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E2.2</w:t>
            </w:r>
          </w:p>
        </w:tc>
        <w:tc>
          <w:tcPr>
            <w:tcW w:type="dxa" w:w="360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devianza 4,374 frente a 4,380</w:t>
            </w:r>
          </w:p>
        </w:tc>
        <w:tc>
          <w:tcPr>
            <w:tcW w:type="dxa" w:w="360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devianza 4,329 frente a 4,339</w:t>
            </w:r>
          </w:p>
        </w:tc>
      </w:tr>
      <w:tr>
        <w:trPr>
          <w:cantSplit/>
        </w:trPr>
        <w:tc>
          <w:tcPr>
            <w:tcW w:type="dxa" w:w="121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Estadía</w:t>
            </w:r>
          </w:p>
        </w:tc>
        <w:tc>
          <w:tcPr>
            <w:tcW w:type="dxa" w:w="9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E2.3</w:t>
            </w:r>
          </w:p>
        </w:tc>
        <w:tc>
          <w:tcPr>
            <w:tcW w:type="dxa" w:w="360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devianza 4,324 frente a 4,326</w:t>
            </w:r>
          </w:p>
        </w:tc>
        <w:tc>
          <w:tcPr>
            <w:tcW w:type="dxa" w:w="360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devianza 4,280 frente a 4,290</w:t>
            </w:r>
          </w:p>
        </w:tc>
      </w:tr>
    </w:tbl>
    <w:p>
      <w:pPr>
        <w:spacing w:after="80"/>
      </w:pPr>
    </w:p>
    <w:p>
      <w:pPr>
        <w:pStyle w:val="ListParagraph"/>
        <w:numPr>
          <w:ilvl w:val="0"/>
          <w:numId w:val="2"/>
        </w:numPr>
        <w:spacing w:after="80" w:line="264"/>
      </w:pPr>
      <w:r>
        <w:rPr>
          <w:b/>
          <w:bCs/>
        </w:rPr>
        <w:t xml:space="preserve">E2.2, MDC 14 completo fuera:</w:t>
      </w:r>
      <w:r>
        <w:t xml:space="preserve"> salen cerca de 40.000 egresos obstétricos por año y 46 muertes obstétricas en 2019–2023. Casi no mueren, así que no mueven el O/E de mortalidad (O/E global 0,905 [0,864; 0,947] en 2023, igual a la base). En 2024 cambia un solo hospital.</w:t>
      </w:r>
    </w:p>
    <w:p>
      <w:pPr>
        <w:pStyle w:val="ListParagraph"/>
        <w:numPr>
          <w:ilvl w:val="0"/>
          <w:numId w:val="2"/>
        </w:numPr>
        <w:spacing w:after="80" w:line="264"/>
      </w:pPr>
      <w:r>
        <w:rPr>
          <w:b/>
          <w:bCs/>
        </w:rPr>
        <w:t xml:space="preserve">E2.1, alta voluntaria y fuga fuera de estadía:</w:t>
      </w:r>
      <w:r>
        <w:t xml:space="preserve"> salen unos 11.000 egresos por año. El O/E de estadía casi no cambia y ningún hospital cambia de zona.</w:t>
      </w:r>
    </w:p>
    <w:p>
      <w:pPr>
        <w:pStyle w:val="ListParagraph"/>
        <w:numPr>
          <w:ilvl w:val="0"/>
          <w:numId w:val="2"/>
        </w:numPr>
        <w:spacing w:after="80" w:line="264"/>
      </w:pPr>
      <w:r>
        <w:rPr>
          <w:b/>
          <w:bCs/>
        </w:rPr>
        <w:t xml:space="preserve">E2.3, las dos juntas:</w:t>
      </w:r>
      <w:r>
        <w:t xml:space="preserve"> en mortalidad es igual a E2.2, porque E2.1 solo afecta a la estadía. En estadía, 2 hospitales cambian de zona en 2024, ambos por el MDC 14.</w:t>
      </w:r>
    </w:p>
    <w:p>
      <w:pPr>
        <w:pStyle w:val="ListParagraph"/>
        <w:numPr>
          <w:ilvl w:val="0"/>
          <w:numId w:val="2"/>
        </w:numPr>
        <w:spacing w:after="80" w:line="264"/>
      </w:pPr>
      <w:r>
        <w:t xml:space="preserve">Las cohortes corregidas coinciden con las que arma </w:t>
      </w:r>
      <w:r>
        <w:rPr>
          <w:rFonts w:ascii="Consolas" w:cs="Consolas" w:eastAsia="Consolas" w:hAnsi="Consolas"/>
          <w:sz w:val="19"/>
          <w:szCs w:val="19"/>
        </w:rPr>
        <w:t xml:space="preserve">prep/cohortes.py</w:t>
      </w:r>
      <w:r>
        <w:t xml:space="preserve"> de la Fase 3 con las opciones de la enmienda (en 2023: 528.793 egresos en D y 469.439 en E). El filtro y el código de la Fase 3 aplican la misma regla.</w:t>
      </w:r>
    </w:p>
    <w:p>
      <w:pPr>
        <w:pStyle w:val="Heading1"/>
      </w:pPr>
      <w:r>
        <w:t xml:space="preserve">4. Indicador (E2.4 a E2.6)</w:t>
      </w:r>
    </w:p>
    <w:p>
      <w:pPr>
        <w:spacing w:after="120" w:line="276"/>
      </w:pPr>
      <w:r>
        <w:t xml:space="preserve">No reentrenan: cambian el grupo de comparación o la cohorte evaluada. Cada fila muestra el </w:t>
      </w:r>
      <w:r>
        <w:rPr>
          <w:b/>
          <w:bCs/>
        </w:rPr>
        <w:t xml:space="preserve">% de hospitales fuera del 95 %</w:t>
      </w:r>
      <w:r>
        <w:t xml:space="preserve"> (base → análisis) y el </w:t>
      </w:r>
      <w:r>
        <w:rPr>
          <w:b/>
          <w:bCs/>
        </w:rPr>
        <w:t xml:space="preserve">% en la misma zona</w:t>
      </w:r>
      <w:r>
        <w:t xml:space="preserve">.</w:t>
      </w:r>
    </w:p>
    <w:p>
      <w:pPr>
        <w:pStyle w:val="Heading3"/>
      </w:pPr>
      <w:r>
        <w:t xml:space="preserve">Mortalidad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8"/>
        <w:gridCol w:w="1426"/>
        <w:gridCol w:w="981"/>
        <w:gridCol w:w="1114"/>
        <w:gridCol w:w="1426"/>
        <w:gridCol w:w="981"/>
        <w:gridCol w:w="1114"/>
      </w:tblGrid>
      <w:tr>
        <w:trPr>
          <w:tblHeader/>
        </w:trPr>
        <w:tc>
          <w:tcPr>
            <w:tcW w:type="dxa" w:w="231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Análisis</w:t>
            </w:r>
          </w:p>
        </w:tc>
        <w:tc>
          <w:tcPr>
            <w:tcW w:type="dxa" w:w="142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Fuera 95 % (2023)</w:t>
            </w:r>
          </w:p>
        </w:tc>
        <w:tc>
          <w:tcPr>
            <w:tcW w:type="dxa" w:w="981"/>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Misma zona</w:t>
            </w:r>
          </w:p>
        </w:tc>
        <w:tc>
          <w:tcPr>
            <w:tcW w:type="dxa" w:w="111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Regla</w:t>
            </w:r>
          </w:p>
        </w:tc>
        <w:tc>
          <w:tcPr>
            <w:tcW w:type="dxa" w:w="142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Fuera 95 % (2024)</w:t>
            </w:r>
          </w:p>
        </w:tc>
        <w:tc>
          <w:tcPr>
            <w:tcW w:type="dxa" w:w="981"/>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Misma zona</w:t>
            </w:r>
          </w:p>
        </w:tc>
        <w:tc>
          <w:tcPr>
            <w:tcW w:type="dxa" w:w="111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Regla</w:t>
            </w:r>
          </w:p>
        </w:tc>
      </w:tr>
      <w:tr>
        <w:trPr>
          <w:cantSplit/>
        </w:trPr>
        <w:tc>
          <w:tcPr>
            <w:tcW w:type="dxa" w:w="231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E2.4a</w:t>
            </w:r>
            <w:r>
              <w:rPr>
                <w:sz w:val="19"/>
                <w:szCs w:val="19"/>
              </w:rPr>
              <w:t xml:space="preserve"> Grupos de pares por tipo de establecimiento DEIS</w:t>
            </w:r>
          </w:p>
        </w:tc>
        <w:tc>
          <w:tcPr>
            <w:tcW w:type="dxa" w:w="142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13,8 % → 9,2 %</w:t>
            </w:r>
          </w:p>
        </w:tc>
        <w:tc>
          <w:tcPr>
            <w:tcW w:type="dxa" w:w="98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89,2 %</w:t>
            </w:r>
          </w:p>
        </w:tc>
        <w:tc>
          <w:tcPr>
            <w:tcW w:type="dxa" w:w="111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Cumple</w:t>
            </w:r>
          </w:p>
        </w:tc>
        <w:tc>
          <w:tcPr>
            <w:tcW w:type="dxa" w:w="142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15,9 % → 10,1 %</w:t>
            </w:r>
          </w:p>
        </w:tc>
        <w:tc>
          <w:tcPr>
            <w:tcW w:type="dxa" w:w="98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85,5 %</w:t>
            </w:r>
          </w:p>
        </w:tc>
        <w:tc>
          <w:tcPr>
            <w:tcW w:type="dxa" w:w="111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Cumple</w:t>
            </w:r>
          </w:p>
        </w:tc>
      </w:tr>
      <w:tr>
        <w:trPr>
          <w:cantSplit/>
        </w:trPr>
        <w:tc>
          <w:tcPr>
            <w:tcW w:type="dxa" w:w="231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E2.4b</w:t>
            </w:r>
            <w:r>
              <w:rPr>
                <w:sz w:val="19"/>
                <w:szCs w:val="19"/>
              </w:rPr>
              <w:t xml:space="preserve"> Sin los institutos de la lista DEIS</w:t>
            </w:r>
          </w:p>
        </w:tc>
        <w:tc>
          <w:tcPr>
            <w:tcW w:type="dxa" w:w="142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13,8 % → 12,9 %</w:t>
            </w:r>
          </w:p>
        </w:tc>
        <w:tc>
          <w:tcPr>
            <w:tcW w:type="dxa" w:w="98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98,4 %</w:t>
            </w:r>
          </w:p>
        </w:tc>
        <w:tc>
          <w:tcPr>
            <w:tcW w:type="dxa" w:w="111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Cumple</w:t>
            </w:r>
          </w:p>
        </w:tc>
        <w:tc>
          <w:tcPr>
            <w:tcW w:type="dxa" w:w="142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15,9 % → 15,2 %</w:t>
            </w:r>
          </w:p>
        </w:tc>
        <w:tc>
          <w:tcPr>
            <w:tcW w:type="dxa" w:w="98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97,0 %</w:t>
            </w:r>
          </w:p>
        </w:tc>
        <w:tc>
          <w:tcPr>
            <w:tcW w:type="dxa" w:w="111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Cumple</w:t>
            </w:r>
          </w:p>
        </w:tc>
      </w:tr>
      <w:tr>
        <w:trPr>
          <w:cantSplit/>
        </w:trPr>
        <w:tc>
          <w:tcPr>
            <w:tcW w:type="dxa" w:w="231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E2.5</w:t>
            </w:r>
            <w:r>
              <w:rPr>
                <w:sz w:val="19"/>
                <w:szCs w:val="19"/>
              </w:rPr>
              <w:t xml:space="preserve"> Sin los hospitales con menos de 2 años en GRD</w:t>
            </w:r>
          </w:p>
        </w:tc>
        <w:tc>
          <w:tcPr>
            <w:tcW w:type="dxa" w:w="142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13,8 % → 12,9 %</w:t>
            </w:r>
          </w:p>
        </w:tc>
        <w:tc>
          <w:tcPr>
            <w:tcW w:type="dxa" w:w="98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98,4 %</w:t>
            </w:r>
          </w:p>
        </w:tc>
        <w:tc>
          <w:tcPr>
            <w:tcW w:type="dxa" w:w="111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Cumple</w:t>
            </w:r>
          </w:p>
        </w:tc>
        <w:tc>
          <w:tcPr>
            <w:tcW w:type="dxa" w:w="142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15,9 % → 16,1 %</w:t>
            </w:r>
          </w:p>
        </w:tc>
        <w:tc>
          <w:tcPr>
            <w:tcW w:type="dxa" w:w="98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100,0 %</w:t>
            </w:r>
          </w:p>
        </w:tc>
        <w:tc>
          <w:tcPr>
            <w:tcW w:type="dxa" w:w="111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Cumple</w:t>
            </w:r>
          </w:p>
        </w:tc>
      </w:tr>
      <w:tr>
        <w:trPr>
          <w:cantSplit/>
        </w:trPr>
        <w:tc>
          <w:tcPr>
            <w:tcW w:type="dxa" w:w="231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E2.6b</w:t>
            </w:r>
            <w:r>
              <w:rPr>
                <w:sz w:val="19"/>
                <w:szCs w:val="19"/>
              </w:rPr>
              <w:t xml:space="preserve"> Mortalidad sin episodios con Z51.5</w:t>
            </w:r>
          </w:p>
        </w:tc>
        <w:tc>
          <w:tcPr>
            <w:tcW w:type="dxa" w:w="142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13,8 % → 13,8 %</w:t>
            </w:r>
          </w:p>
        </w:tc>
        <w:tc>
          <w:tcPr>
            <w:tcW w:type="dxa" w:w="98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96,9 %</w:t>
            </w:r>
          </w:p>
        </w:tc>
        <w:tc>
          <w:tcPr>
            <w:tcW w:type="dxa" w:w="111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Cumple</w:t>
            </w:r>
          </w:p>
        </w:tc>
        <w:tc>
          <w:tcPr>
            <w:tcW w:type="dxa" w:w="142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15,9 % → 15,9 %</w:t>
            </w:r>
          </w:p>
        </w:tc>
        <w:tc>
          <w:tcPr>
            <w:tcW w:type="dxa" w:w="98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95,7 %</w:t>
            </w:r>
          </w:p>
        </w:tc>
        <w:tc>
          <w:tcPr>
            <w:tcW w:type="dxa" w:w="111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Cumple</w:t>
            </w:r>
          </w:p>
        </w:tc>
      </w:tr>
    </w:tbl>
    <w:p>
      <w:pPr>
        <w:spacing w:after="80"/>
      </w:pPr>
    </w:p>
    <w:p>
      <w:pPr>
        <w:pStyle w:val="Heading3"/>
      </w:pPr>
      <w:r>
        <w:t xml:space="preserve">Estadía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8"/>
        <w:gridCol w:w="1426"/>
        <w:gridCol w:w="981"/>
        <w:gridCol w:w="1114"/>
        <w:gridCol w:w="1426"/>
        <w:gridCol w:w="981"/>
        <w:gridCol w:w="1114"/>
      </w:tblGrid>
      <w:tr>
        <w:trPr>
          <w:tblHeader/>
        </w:trPr>
        <w:tc>
          <w:tcPr>
            <w:tcW w:type="dxa" w:w="231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Análisis</w:t>
            </w:r>
          </w:p>
        </w:tc>
        <w:tc>
          <w:tcPr>
            <w:tcW w:type="dxa" w:w="142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Fuera 95 % (2023)</w:t>
            </w:r>
          </w:p>
        </w:tc>
        <w:tc>
          <w:tcPr>
            <w:tcW w:type="dxa" w:w="981"/>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Misma zona</w:t>
            </w:r>
          </w:p>
        </w:tc>
        <w:tc>
          <w:tcPr>
            <w:tcW w:type="dxa" w:w="111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Regla</w:t>
            </w:r>
          </w:p>
        </w:tc>
        <w:tc>
          <w:tcPr>
            <w:tcW w:type="dxa" w:w="142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Fuera 95 % (2024)</w:t>
            </w:r>
          </w:p>
        </w:tc>
        <w:tc>
          <w:tcPr>
            <w:tcW w:type="dxa" w:w="981"/>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Misma zona</w:t>
            </w:r>
          </w:p>
        </w:tc>
        <w:tc>
          <w:tcPr>
            <w:tcW w:type="dxa" w:w="111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Regla</w:t>
            </w:r>
          </w:p>
        </w:tc>
      </w:tr>
      <w:tr>
        <w:trPr>
          <w:cantSplit/>
        </w:trPr>
        <w:tc>
          <w:tcPr>
            <w:tcW w:type="dxa" w:w="231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E2.4a</w:t>
            </w:r>
            <w:r>
              <w:rPr>
                <w:sz w:val="19"/>
                <w:szCs w:val="19"/>
              </w:rPr>
              <w:t xml:space="preserve"> Grupos de pares por tipo de establecimiento DEIS</w:t>
            </w:r>
          </w:p>
        </w:tc>
        <w:tc>
          <w:tcPr>
            <w:tcW w:type="dxa" w:w="142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12,3 % → 7,7 %</w:t>
            </w:r>
          </w:p>
        </w:tc>
        <w:tc>
          <w:tcPr>
            <w:tcW w:type="dxa" w:w="98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90,8 %</w:t>
            </w:r>
          </w:p>
        </w:tc>
        <w:tc>
          <w:tcPr>
            <w:tcW w:type="dxa" w:w="111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Cumple</w:t>
            </w:r>
          </w:p>
        </w:tc>
        <w:tc>
          <w:tcPr>
            <w:tcW w:type="dxa" w:w="142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15,9 % → 11,6 %</w:t>
            </w:r>
          </w:p>
        </w:tc>
        <w:tc>
          <w:tcPr>
            <w:tcW w:type="dxa" w:w="98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88,4 %</w:t>
            </w:r>
          </w:p>
        </w:tc>
        <w:tc>
          <w:tcPr>
            <w:tcW w:type="dxa" w:w="111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Cumple</w:t>
            </w:r>
          </w:p>
        </w:tc>
      </w:tr>
      <w:tr>
        <w:trPr>
          <w:cantSplit/>
        </w:trPr>
        <w:tc>
          <w:tcPr>
            <w:tcW w:type="dxa" w:w="231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E2.4b</w:t>
            </w:r>
            <w:r>
              <w:rPr>
                <w:sz w:val="19"/>
                <w:szCs w:val="19"/>
              </w:rPr>
              <w:t xml:space="preserve"> Sin los institutos de la lista DEIS</w:t>
            </w:r>
          </w:p>
        </w:tc>
        <w:tc>
          <w:tcPr>
            <w:tcW w:type="dxa" w:w="142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12,3 % → 11,3 %</w:t>
            </w:r>
          </w:p>
        </w:tc>
        <w:tc>
          <w:tcPr>
            <w:tcW w:type="dxa" w:w="98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100,0 %</w:t>
            </w:r>
          </w:p>
        </w:tc>
        <w:tc>
          <w:tcPr>
            <w:tcW w:type="dxa" w:w="111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Cumple</w:t>
            </w:r>
          </w:p>
        </w:tc>
        <w:tc>
          <w:tcPr>
            <w:tcW w:type="dxa" w:w="142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15,9 % → 15,2 %</w:t>
            </w:r>
          </w:p>
        </w:tc>
        <w:tc>
          <w:tcPr>
            <w:tcW w:type="dxa" w:w="98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100,0 %</w:t>
            </w:r>
          </w:p>
        </w:tc>
        <w:tc>
          <w:tcPr>
            <w:tcW w:type="dxa" w:w="111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Cumple</w:t>
            </w:r>
          </w:p>
        </w:tc>
      </w:tr>
      <w:tr>
        <w:trPr>
          <w:cantSplit/>
        </w:trPr>
        <w:tc>
          <w:tcPr>
            <w:tcW w:type="dxa" w:w="231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E2.5</w:t>
            </w:r>
            <w:r>
              <w:rPr>
                <w:sz w:val="19"/>
                <w:szCs w:val="19"/>
              </w:rPr>
              <w:t xml:space="preserve"> Sin los hospitales con menos de 2 años en GRD</w:t>
            </w:r>
          </w:p>
        </w:tc>
        <w:tc>
          <w:tcPr>
            <w:tcW w:type="dxa" w:w="142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12,3 % → 9,7 %</w:t>
            </w:r>
          </w:p>
        </w:tc>
        <w:tc>
          <w:tcPr>
            <w:tcW w:type="dxa" w:w="98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98,4 %</w:t>
            </w:r>
          </w:p>
        </w:tc>
        <w:tc>
          <w:tcPr>
            <w:tcW w:type="dxa" w:w="111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Cumple</w:t>
            </w:r>
          </w:p>
        </w:tc>
        <w:tc>
          <w:tcPr>
            <w:tcW w:type="dxa" w:w="142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15,9 % → 12,9 %</w:t>
            </w:r>
          </w:p>
        </w:tc>
        <w:tc>
          <w:tcPr>
            <w:tcW w:type="dxa" w:w="98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96,8 %</w:t>
            </w:r>
          </w:p>
        </w:tc>
        <w:tc>
          <w:tcPr>
            <w:tcW w:type="dxa" w:w="111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Cumple</w:t>
            </w:r>
          </w:p>
        </w:tc>
      </w:tr>
    </w:tbl>
    <w:p>
      <w:pPr>
        <w:spacing w:after="80"/>
      </w:pPr>
    </w:p>
    <w:p>
      <w:pPr>
        <w:pStyle w:val="Heading2"/>
      </w:pPr>
      <w:r>
        <w:t xml:space="preserve">E2.4a: grupos DEIS frente a grupos por volumen</w:t>
      </w:r>
    </w:p>
    <w:p>
      <w:pPr>
        <w:spacing w:after="120" w:line="276"/>
      </w:pPr>
      <w:r>
        <w:t xml:space="preserve">Con grupos DEIS (alta complejidad, mediana complejidad e institutos), los hospitales fuera de los límites bajan en las dos tareas. Al compararlos con los grupos por tercil de egresos de la enmienda 01 (3.1b), el efecto es parecido en mortalidad y bastante menor en estadía: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3463"/>
        <w:gridCol w:w="3463"/>
      </w:tblGrid>
      <w:tr>
        <w:trPr>
          <w:tblHeader/>
        </w:trPr>
        <w:tc>
          <w:tcPr>
            <w:tcW w:type="dxa" w:w="243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Tarea y año</w:t>
            </w:r>
          </w:p>
        </w:tc>
        <w:tc>
          <w:tcPr>
            <w:tcW w:type="dxa" w:w="346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Fuera 95 %, grupos DEIS (E2.4a)</w:t>
            </w:r>
          </w:p>
        </w:tc>
        <w:tc>
          <w:tcPr>
            <w:tcW w:type="dxa" w:w="346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Fuera 95 %, terciles de egresos (3.1b)</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Mortalidad 2023</w:t>
            </w:r>
          </w:p>
        </w:tc>
        <w:tc>
          <w:tcPr>
            <w:tcW w:type="dxa" w:w="346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9,2 %</w:t>
            </w:r>
          </w:p>
        </w:tc>
        <w:tc>
          <w:tcPr>
            <w:tcW w:type="dxa" w:w="346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7,7 %</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Mortalidad 2024</w:t>
            </w:r>
          </w:p>
        </w:tc>
        <w:tc>
          <w:tcPr>
            <w:tcW w:type="dxa" w:w="346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10,1 %</w:t>
            </w:r>
          </w:p>
        </w:tc>
        <w:tc>
          <w:tcPr>
            <w:tcW w:type="dxa" w:w="346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10,1 %</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Estadía 2023</w:t>
            </w:r>
          </w:p>
        </w:tc>
        <w:tc>
          <w:tcPr>
            <w:tcW w:type="dxa" w:w="346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7,7 %</w:t>
            </w:r>
          </w:p>
        </w:tc>
        <w:tc>
          <w:tcPr>
            <w:tcW w:type="dxa" w:w="346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1,5 %</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Estadía 2024</w:t>
            </w:r>
          </w:p>
        </w:tc>
        <w:tc>
          <w:tcPr>
            <w:tcW w:type="dxa" w:w="346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11,6 %</w:t>
            </w:r>
          </w:p>
        </w:tc>
        <w:tc>
          <w:tcPr>
            <w:tcW w:type="dxa" w:w="346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5,8 %</w:t>
            </w:r>
          </w:p>
        </w:tc>
      </w:tr>
    </w:tbl>
    <w:p>
      <w:pPr>
        <w:spacing w:after="80"/>
      </w:pPr>
    </w:p>
    <w:p>
      <w:pPr>
        <w:spacing w:after="120" w:line="276"/>
      </w:pPr>
      <w:r>
        <w:t xml:space="preserve">En estadía, el tamaño del hospital explica más que su nivel de complejidad. Casi todos los hospitales de mediana complejidad están en el tercil de menos egresos. Pero ese tercil también tiene entre 7 y 9 hospitales chicos de alta complejidad, que en los grupos DEIS se comparan con los grandes. Un grupo de pares para la estadía debería considerar el volumen, no solo la complejidad.</w:t>
      </w:r>
    </w:p>
    <w:p>
      <w:pPr>
        <w:spacing w:after="120" w:line="276"/>
      </w:pPr>
      <w:r>
        <w:t xml:space="preserve">Con grupos DEIS, los 3 institutos se comparan entre ellos y quedan dentro de lo esperado en mortalidad. También pasan a «dentro de lo esperado» varios hospitales de mediana complejidad que estaban en alerta baja (Apéndice A).</w:t>
      </w:r>
    </w:p>
    <w:p>
      <w:pPr>
        <w:pStyle w:val="Heading2"/>
      </w:pPr>
      <w:r>
        <w:t xml:space="preserve">E2.4b y E2.5</w:t>
      </w:r>
    </w:p>
    <w:p>
      <w:pPr>
        <w:pStyle w:val="ListParagraph"/>
        <w:numPr>
          <w:ilvl w:val="0"/>
          <w:numId w:val="2"/>
        </w:numPr>
        <w:spacing w:after="80" w:line="264"/>
      </w:pPr>
      <w:r>
        <w:rPr>
          <w:b/>
          <w:bCs/>
        </w:rPr>
        <w:t xml:space="preserve">E2.4b:</w:t>
      </w:r>
      <w:r>
        <w:t xml:space="preserve"> la lista de institutos del DEIS es la misma que la provisional, así que el resultado es idéntico al del análisis 3.1a de la enmienda 01. El catálogo confirma esa lista.</w:t>
      </w:r>
    </w:p>
    <w:p>
      <w:pPr>
        <w:pStyle w:val="ListParagraph"/>
        <w:numPr>
          <w:ilvl w:val="0"/>
          <w:numId w:val="2"/>
        </w:numPr>
        <w:spacing w:after="80" w:line="264"/>
      </w:pPr>
      <w:r>
        <w:rPr>
          <w:b/>
          <w:bCs/>
        </w:rPr>
        <w:t xml:space="preserve">E2.5, sin hospitales nuevos:</w:t>
      </w:r>
      <w:r>
        <w:t xml:space="preserve"> en 2024 se excluyen 7 hospitales con menos de 2 años en GRD. En estadía, los hospitales fuera bajan de 15,9 % a 12,9 %. En mortalidad casi no cambia (15,9 % a 16,1 %). De los 7, 4 estaban por debajo de lo esperado en estadía.</w:t>
      </w:r>
    </w:p>
    <w:p>
      <w:pPr>
        <w:pStyle w:val="Heading2"/>
      </w:pPr>
      <w:r>
        <w:t xml:space="preserve">E2.6: paliativos, hospitalización domiciliaria, y alta voluntaria y fuga</w:t>
      </w:r>
    </w:p>
    <w:p>
      <w:pPr>
        <w:spacing w:after="120" w:line="276"/>
      </w:pPr>
      <w:r>
        <w:rPr>
          <w:b/>
          <w:bCs/>
        </w:rPr>
        <w:t xml:space="preserve">E2.6b, mortalidad sin episodios con Z51.5 en algún diagnóstico:</w:t>
      </w:r>
      <w:r>
        <w:t xml:space="preserve"> el indicador resiste en los dos años (96,9 % y 95,7 % de los hospitales en la misma zona; ρ 0,961 y 0,986).</w:t>
      </w:r>
    </w:p>
    <w:p>
      <w:pPr>
        <w:spacing w:after="120" w:line="276"/>
      </w:pPr>
      <w:r>
        <w:rPr>
          <w:b/>
          <w:bCs/>
        </w:rPr>
        <w:t xml:space="preserve">E2.6a, correlación de rangos de cada tasa con el O/E del hospital: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591"/>
        <w:gridCol w:w="1591"/>
        <w:gridCol w:w="1591"/>
        <w:gridCol w:w="1592"/>
      </w:tblGrid>
      <w:tr>
        <w:trPr>
          <w:tblHeader/>
        </w:trPr>
        <w:tc>
          <w:tcPr>
            <w:tcW w:type="dxa" w:w="2995"/>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Tasa (cohorte C)</w:t>
            </w:r>
          </w:p>
        </w:tc>
        <w:tc>
          <w:tcPr>
            <w:tcW w:type="dxa" w:w="1591"/>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Mortalidad 2023</w:t>
            </w:r>
          </w:p>
        </w:tc>
        <w:tc>
          <w:tcPr>
            <w:tcW w:type="dxa" w:w="1591"/>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Mortalidad 2024</w:t>
            </w:r>
          </w:p>
        </w:tc>
        <w:tc>
          <w:tcPr>
            <w:tcW w:type="dxa" w:w="1591"/>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Estadía 2023</w:t>
            </w:r>
          </w:p>
        </w:tc>
        <w:tc>
          <w:tcPr>
            <w:tcW w:type="dxa" w:w="159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Estadía 2024</w:t>
            </w:r>
          </w:p>
        </w:tc>
      </w:tr>
      <w:tr>
        <w:trPr>
          <w:cantSplit/>
        </w:trPr>
        <w:tc>
          <w:tcPr>
            <w:tcW w:type="dxa" w:w="299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Z51.5 (paliativos) en algún diagnóstico</w:t>
            </w:r>
          </w:p>
        </w:tc>
        <w:tc>
          <w:tcPr>
            <w:tcW w:type="dxa" w:w="159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−0,02</w:t>
            </w:r>
          </w:p>
        </w:tc>
        <w:tc>
          <w:tcPr>
            <w:tcW w:type="dxa" w:w="159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0,02</w:t>
            </w:r>
          </w:p>
        </w:tc>
        <w:tc>
          <w:tcPr>
            <w:tcW w:type="dxa" w:w="159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−0,00</w:t>
            </w:r>
          </w:p>
        </w:tc>
        <w:tc>
          <w:tcPr>
            <w:tcW w:type="dxa" w:w="159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0,02</w:t>
            </w:r>
          </w:p>
        </w:tc>
      </w:tr>
      <w:tr>
        <w:trPr>
          <w:cantSplit/>
        </w:trPr>
        <w:tc>
          <w:tcPr>
            <w:tcW w:type="dxa" w:w="299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Alta a hospitalización domiciliaria</w:t>
            </w:r>
          </w:p>
        </w:tc>
        <w:tc>
          <w:tcPr>
            <w:tcW w:type="dxa" w:w="159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0,18</w:t>
            </w:r>
          </w:p>
        </w:tc>
        <w:tc>
          <w:tcPr>
            <w:tcW w:type="dxa" w:w="159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0,16</w:t>
            </w:r>
          </w:p>
        </w:tc>
        <w:tc>
          <w:tcPr>
            <w:tcW w:type="dxa" w:w="159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−0,14</w:t>
            </w:r>
          </w:p>
        </w:tc>
        <w:tc>
          <w:tcPr>
            <w:tcW w:type="dxa" w:w="159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−0,26</w:t>
            </w:r>
          </w:p>
        </w:tc>
      </w:tr>
      <w:tr>
        <w:trPr>
          <w:cantSplit/>
        </w:trPr>
        <w:tc>
          <w:tcPr>
            <w:tcW w:type="dxa" w:w="299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Alta voluntaria y fuga</w:t>
            </w:r>
          </w:p>
        </w:tc>
        <w:tc>
          <w:tcPr>
            <w:tcW w:type="dxa" w:w="159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0,14</w:t>
            </w:r>
          </w:p>
        </w:tc>
        <w:tc>
          <w:tcPr>
            <w:tcW w:type="dxa" w:w="159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0,23</w:t>
            </w:r>
          </w:p>
        </w:tc>
        <w:tc>
          <w:tcPr>
            <w:tcW w:type="dxa" w:w="159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−0,16</w:t>
            </w:r>
          </w:p>
        </w:tc>
        <w:tc>
          <w:tcPr>
            <w:tcW w:type="dxa" w:w="159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−0,20</w:t>
            </w:r>
          </w:p>
        </w:tc>
      </w:tr>
    </w:tbl>
    <w:p>
      <w:pPr>
        <w:spacing w:after="80"/>
      </w:pPr>
    </w:p>
    <w:p>
      <w:pPr>
        <w:pStyle w:val="ListParagraph"/>
        <w:numPr>
          <w:ilvl w:val="0"/>
          <w:numId w:val="2"/>
        </w:numPr>
        <w:spacing w:after="80" w:line="264"/>
      </w:pPr>
      <w:r>
        <w:rPr>
          <w:b/>
          <w:bCs/>
        </w:rPr>
        <w:t xml:space="preserve">Paliativos:</w:t>
      </w:r>
      <w:r>
        <w:t xml:space="preserve"> la tasa de Z51.5 no se relaciona con el O/E (|ρ| de 0,02 o menos). Con estos datos no hay señal de que la codificación de paliativos explique las diferencias entre hospitales.</w:t>
      </w:r>
    </w:p>
    <w:p>
      <w:pPr>
        <w:pStyle w:val="ListParagraph"/>
        <w:numPr>
          <w:ilvl w:val="0"/>
          <w:numId w:val="2"/>
        </w:numPr>
        <w:spacing w:after="80" w:line="264"/>
      </w:pPr>
      <w:r>
        <w:rPr>
          <w:b/>
          <w:bCs/>
        </w:rPr>
        <w:t xml:space="preserve">Hospitalización domiciliaria y alta voluntaria:</w:t>
      </w:r>
      <w:r>
        <w:t xml:space="preserve"> relación débil (|ρ| de 0,14 a 0,26). Los hospitales que dan más altas a domicilio tienen un O/E de estadía algo más bajo. Es coherente con el «alta anticipada» que la tesis declara como limitación.</w:t>
      </w:r>
    </w:p>
    <w:p>
      <w:pPr>
        <w:pStyle w:val="ListParagraph"/>
        <w:numPr>
          <w:ilvl w:val="0"/>
          <w:numId w:val="2"/>
        </w:numPr>
        <w:spacing w:after="80" w:line="264"/>
      </w:pPr>
      <w:r>
        <w:rPr>
          <w:b/>
          <w:bCs/>
        </w:rPr>
        <w:t xml:space="preserve">Tasas por hospital</w:t>
      </w:r>
      <w:r>
        <w:t xml:space="preserve"> (</w:t>
      </w:r>
      <w:r>
        <w:rPr>
          <w:rFonts w:ascii="Consolas" w:cs="Consolas" w:eastAsia="Consolas" w:hAnsi="Consolas"/>
          <w:sz w:val="19"/>
          <w:szCs w:val="19"/>
        </w:rPr>
        <w:t xml:space="preserve">tasas_contexto_hospital.csv</w:t>
      </w:r>
      <w:r>
        <w:t xml:space="preserve">): se publican en porcentaje, salvo cuando el conteo va de 1 a 9. Medianas: Z51.5 0,3 %, hospitalización domiciliaria 3,2 %, alta voluntaria y fuga 1,8 %.</w:t>
      </w:r>
    </w:p>
    <w:p>
      <w:pPr>
        <w:pStyle w:val="Heading1"/>
      </w:pPr>
      <w:r>
        <w:t xml:space="preserve">5. Qué cambia en la lectura de la tesis</w:t>
      </w:r>
    </w:p>
    <w:p>
      <w:pPr>
        <w:pStyle w:val="ListParagraph"/>
        <w:numPr>
          <w:ilvl w:val="0"/>
          <w:numId w:val="2"/>
        </w:numPr>
        <w:spacing w:after="80" w:line="264"/>
      </w:pPr>
      <w:r>
        <w:rPr>
          <w:b/>
          <w:bCs/>
        </w:rPr>
        <w:t xml:space="preserve">Las decisiones de cohorte que la auditoría cuestionó (EX03 y alta voluntaria) no afectaban el indicador.</w:t>
      </w:r>
      <w:r>
        <w:t xml:space="preserve"> Se pueden corregir en una versión 2 sin cambiar las conclusiones.</w:t>
      </w:r>
    </w:p>
    <w:p>
      <w:pPr>
        <w:pStyle w:val="ListParagraph"/>
        <w:numPr>
          <w:ilvl w:val="0"/>
          <w:numId w:val="2"/>
        </w:numPr>
        <w:spacing w:after="80" w:line="264"/>
      </w:pPr>
      <w:r>
        <w:rPr>
          <w:b/>
          <w:bCs/>
        </w:rPr>
        <w:t xml:space="preserve">La población del proyecto está bien descrita por el DEIS:</w:t>
      </w:r>
      <w:r>
        <w:t xml:space="preserve"> 52 hospitales generales de alta complejidad, 14 de mediana, 3 institutos y 3 pediátricos. Los pediátricos no tienen volumen de adultos.</w:t>
      </w:r>
    </w:p>
    <w:p>
      <w:pPr>
        <w:pStyle w:val="ListParagraph"/>
        <w:numPr>
          <w:ilvl w:val="0"/>
          <w:numId w:val="2"/>
        </w:numPr>
        <w:spacing w:after="80" w:line="264"/>
      </w:pPr>
      <w:r>
        <w:rPr>
          <w:b/>
          <w:bCs/>
        </w:rPr>
        <w:t xml:space="preserve">Para comparar la estadía, el volumen pesa más que la complejidad.</w:t>
      </w:r>
      <w:r>
        <w:t xml:space="preserve"> Los grupos de pares por volumen (enmienda 01, 3.1b) reducen más las alertas que los grupos DEIS.</w:t>
      </w:r>
    </w:p>
    <w:p>
      <w:pPr>
        <w:pStyle w:val="ListParagraph"/>
        <w:numPr>
          <w:ilvl w:val="0"/>
          <w:numId w:val="2"/>
        </w:numPr>
        <w:spacing w:after="80" w:line="264"/>
      </w:pPr>
      <w:r>
        <w:rPr>
          <w:b/>
          <w:bCs/>
        </w:rPr>
        <w:t xml:space="preserve">La codificación de paliativos no explica el O/E.</w:t>
      </w:r>
      <w:r>
        <w:t xml:space="preserve"> La hospitalización domiciliaria se asocia débilmente con una estadía más corta.</w:t>
      </w:r>
    </w:p>
    <w:p>
      <w:pPr>
        <w:pStyle w:val="Heading1"/>
      </w:pPr>
      <w:r>
        <w:t xml:space="preserve">6. Qué se publica</w:t>
      </w:r>
    </w:p>
    <w:p>
      <w:pPr>
        <w:pStyle w:val="ListParagraph"/>
        <w:numPr>
          <w:ilvl w:val="0"/>
          <w:numId w:val="2"/>
        </w:numPr>
        <w:spacing w:after="80" w:line="264"/>
      </w:pPr>
      <w:r>
        <w:t xml:space="preserve">Resúmenes por análisis, correlaciones y tasas de contexto por hospital (salvo las de conteos de 1 a 9), sin O/E ni observados por hospital.</w:t>
      </w:r>
    </w:p>
    <w:p>
      <w:pPr>
        <w:pStyle w:val="ListParagraph"/>
        <w:numPr>
          <w:ilvl w:val="0"/>
          <w:numId w:val="2"/>
        </w:numPr>
        <w:spacing w:after="80" w:line="264"/>
      </w:pPr>
      <w:r>
        <w:t xml:space="preserve">Las muertes obstétricas que salen de la cohorte D se publican solo como total 2019–2023 (46).</w:t>
      </w:r>
    </w:p>
    <w:p>
      <w:pPr>
        <w:pStyle w:val="ListParagraph"/>
        <w:numPr>
          <w:ilvl w:val="0"/>
          <w:numId w:val="2"/>
        </w:numPr>
        <w:spacing w:after="80" w:line="264"/>
      </w:pPr>
      <w:r>
        <w:t xml:space="preserve">Los dos escáneres de privacidad, por patrones y por propiedad, no encuentran nada en </w:t>
      </w:r>
      <w:r>
        <w:rPr>
          <w:rFonts w:ascii="Consolas" w:cs="Consolas" w:eastAsia="Consolas" w:hAnsi="Consolas"/>
          <w:sz w:val="19"/>
          <w:szCs w:val="19"/>
        </w:rPr>
        <w:t xml:space="preserve">salidas/enmienda_02/</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5242"/>
      </w:tblGrid>
      <w:tr>
        <w:trPr>
          <w:tblHeader/>
        </w:trPr>
        <w:tc>
          <w:tcPr>
            <w:tcW w:type="dxa" w:w="411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Archivo (en </w:t>
            </w:r>
            <w:r>
              <w:rPr>
                <w:rFonts w:ascii="Consolas" w:cs="Consolas" w:eastAsia="Consolas" w:hAnsi="Consolas"/>
                <w:b/>
                <w:bCs/>
                <w:color w:val="FFFFFF"/>
                <w:sz w:val="19"/>
                <w:szCs w:val="19"/>
              </w:rPr>
              <w:t xml:space="preserve">fase5_evaluacion/salidas/enmienda_02/</w:t>
            </w:r>
            <w:r>
              <w:rPr>
                <w:b/>
                <w:bCs/>
                <w:color w:val="FFFFFF"/>
                <w:sz w:val="19"/>
                <w:szCs w:val="19"/>
              </w:rPr>
              <w:t xml:space="preserve">)</w:t>
            </w:r>
          </w:p>
        </w:tc>
        <w:tc>
          <w:tcPr>
            <w:tcW w:type="dxa" w:w="524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Contenido</w:t>
            </w:r>
          </w:p>
        </w:tc>
      </w:tr>
      <w:tr>
        <w:trPr>
          <w:cantSplit/>
        </w:trPr>
        <w:tc>
          <w:tcPr>
            <w:tcW w:type="dxa" w:w="411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resumen_modelo.csv</w:t>
            </w:r>
          </w:p>
        </w:tc>
        <w:tc>
          <w:tcPr>
            <w:tcW w:type="dxa" w:w="524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E2.1 a E2.3: egresos que salen, métricas en la cohorte corregida y en la base, O/E global, zonas y regla</w:t>
            </w:r>
          </w:p>
        </w:tc>
      </w:tr>
      <w:tr>
        <w:trPr>
          <w:cantSplit/>
        </w:trPr>
        <w:tc>
          <w:tcPr>
            <w:tcW w:type="dxa" w:w="411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resumen_indicador.csv</w:t>
            </w:r>
          </w:p>
        </w:tc>
        <w:tc>
          <w:tcPr>
            <w:tcW w:type="dxa" w:w="524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E2.4a, E2.4b, E2.5 y E2.6b</w:t>
            </w:r>
          </w:p>
        </w:tc>
      </w:tr>
      <w:tr>
        <w:trPr>
          <w:cantSplit/>
        </w:trPr>
        <w:tc>
          <w:tcPr>
            <w:tcW w:type="dxa" w:w="411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hospitales_informados_aparte.csv</w:t>
            </w:r>
          </w:p>
        </w:tc>
        <w:tc>
          <w:tcPr>
            <w:tcW w:type="dxa" w:w="524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Zona de los institutos (E2.4b) y de los hospitales nuevos (E2.5)</w:t>
            </w:r>
          </w:p>
        </w:tc>
      </w:tr>
      <w:tr>
        <w:trPr>
          <w:cantSplit/>
        </w:trPr>
        <w:tc>
          <w:tcPr>
            <w:tcW w:type="dxa" w:w="411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correlaciones_contexto.csv</w:t>
            </w:r>
            <w:r>
              <w:rPr>
                <w:sz w:val="19"/>
                <w:szCs w:val="19"/>
              </w:rPr>
              <w:t xml:space="preserve"> y </w:t>
            </w:r>
            <w:r>
              <w:rPr>
                <w:rFonts w:ascii="Consolas" w:cs="Consolas" w:eastAsia="Consolas" w:hAnsi="Consolas"/>
                <w:sz w:val="19"/>
                <w:szCs w:val="19"/>
              </w:rPr>
              <w:t xml:space="preserve">tasas_contexto_hospital.csv</w:t>
            </w:r>
          </w:p>
        </w:tc>
        <w:tc>
          <w:tcPr>
            <w:tcW w:type="dxa" w:w="524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E2.6a</w:t>
            </w:r>
          </w:p>
        </w:tc>
      </w:tr>
      <w:tr>
        <w:trPr>
          <w:cantSplit/>
        </w:trPr>
        <w:tc>
          <w:tcPr>
            <w:tcW w:type="dxa" w:w="411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muertes_obstetricas_excluidas.csv</w:t>
            </w:r>
          </w:p>
        </w:tc>
        <w:tc>
          <w:tcPr>
            <w:tcW w:type="dxa" w:w="524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Total 2019–2023</w:t>
            </w:r>
          </w:p>
        </w:tc>
      </w:tr>
      <w:tr>
        <w:trPr>
          <w:cantSplit/>
        </w:trPr>
        <w:tc>
          <w:tcPr>
            <w:tcW w:type="dxa" w:w="411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metadatos.json</w:t>
            </w:r>
          </w:p>
        </w:tc>
        <w:tc>
          <w:tcPr>
            <w:tcW w:type="dxa" w:w="524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Huellas, horas, semillas y versiones</w:t>
            </w:r>
          </w:p>
        </w:tc>
      </w:tr>
    </w:tbl>
    <w:p>
      <w:pPr>
        <w:spacing w:after="80"/>
      </w:pPr>
    </w:p>
    <w:p>
      <w:r>
        <w:br w:type="page"/>
      </w:r>
    </w:p>
    <w:p>
      <w:pPr>
        <w:pStyle w:val="Heading1"/>
      </w:pPr>
      <w:r>
        <w:t xml:space="preserve">Apéndice A. Hospitales que cambian de zona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1030"/>
        <w:gridCol w:w="749"/>
        <w:gridCol w:w="6458"/>
      </w:tblGrid>
      <w:tr>
        <w:trPr>
          <w:tblHeader/>
        </w:trPr>
        <w:tc>
          <w:tcPr>
            <w:tcW w:type="dxa" w:w="112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Tarea</w:t>
            </w:r>
          </w:p>
        </w:tc>
        <w:tc>
          <w:tcPr>
            <w:tcW w:type="dxa" w:w="103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Diseño</w:t>
            </w:r>
          </w:p>
        </w:tc>
        <w:tc>
          <w:tcPr>
            <w:tcW w:type="dxa" w:w="749"/>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ID</w:t>
            </w:r>
          </w:p>
        </w:tc>
        <w:tc>
          <w:tcPr>
            <w:tcW w:type="dxa" w:w="645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Cambios</w:t>
            </w:r>
          </w:p>
        </w:tc>
      </w:tr>
      <w:tr>
        <w:trPr>
          <w:cantSplit/>
        </w:trPr>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Mortalidad</w:t>
            </w:r>
          </w:p>
        </w:tc>
        <w:tc>
          <w:tcPr>
            <w:tcW w:type="dxa" w:w="103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original</w:t>
            </w:r>
          </w:p>
        </w:tc>
        <w:tc>
          <w:tcPr>
            <w:tcW w:type="dxa" w:w="74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E2.2</w:t>
            </w:r>
          </w:p>
        </w:tc>
        <w:tc>
          <w:tcPr>
            <w:tcW w:type="dxa" w:w="645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118106: dentro de lo esperado → alerta alta</w:t>
            </w:r>
          </w:p>
        </w:tc>
      </w:tr>
      <w:tr>
        <w:trPr>
          <w:cantSplit/>
        </w:trPr>
        <w:tc>
          <w:tcPr>
            <w:tcW w:type="dxa" w:w="112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Mortalidad</w:t>
            </w:r>
          </w:p>
        </w:tc>
        <w:tc>
          <w:tcPr>
            <w:tcW w:type="dxa" w:w="103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original</w:t>
            </w:r>
          </w:p>
        </w:tc>
        <w:tc>
          <w:tcPr>
            <w:tcW w:type="dxa" w:w="74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E2.3</w:t>
            </w:r>
          </w:p>
        </w:tc>
        <w:tc>
          <w:tcPr>
            <w:tcW w:type="dxa" w:w="645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118106: dentro de lo esperado → alerta alta</w:t>
            </w:r>
          </w:p>
        </w:tc>
      </w:tr>
      <w:tr>
        <w:trPr>
          <w:cantSplit/>
        </w:trPr>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Estadía</w:t>
            </w:r>
          </w:p>
        </w:tc>
        <w:tc>
          <w:tcPr>
            <w:tcW w:type="dxa" w:w="103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original</w:t>
            </w:r>
          </w:p>
        </w:tc>
        <w:tc>
          <w:tcPr>
            <w:tcW w:type="dxa" w:w="74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E2.2</w:t>
            </w:r>
          </w:p>
        </w:tc>
        <w:tc>
          <w:tcPr>
            <w:tcW w:type="dxa" w:w="645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118105: señal baja → alerta baja</w:t>
            </w:r>
          </w:p>
          <w:p>
            <w:pPr>
              <w:spacing w:after="40" w:line="252"/>
            </w:pPr>
            <w:r>
              <w:rPr>
                <w:sz w:val="19"/>
                <w:szCs w:val="19"/>
              </w:rPr>
              <w:t xml:space="preserve">133150: alerta baja → dentro de lo esperado</w:t>
            </w:r>
          </w:p>
        </w:tc>
      </w:tr>
      <w:tr>
        <w:trPr>
          <w:cantSplit/>
        </w:trPr>
        <w:tc>
          <w:tcPr>
            <w:tcW w:type="dxa" w:w="112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Estadía</w:t>
            </w:r>
          </w:p>
        </w:tc>
        <w:tc>
          <w:tcPr>
            <w:tcW w:type="dxa" w:w="103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original</w:t>
            </w:r>
          </w:p>
        </w:tc>
        <w:tc>
          <w:tcPr>
            <w:tcW w:type="dxa" w:w="74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E2.3</w:t>
            </w:r>
          </w:p>
        </w:tc>
        <w:tc>
          <w:tcPr>
            <w:tcW w:type="dxa" w:w="645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118105: señal baja → alerta baja</w:t>
            </w:r>
          </w:p>
          <w:p>
            <w:pPr>
              <w:spacing w:after="40" w:line="252"/>
            </w:pPr>
            <w:r>
              <w:rPr>
                <w:sz w:val="19"/>
                <w:szCs w:val="19"/>
              </w:rPr>
              <w:t xml:space="preserve">133150: alerta baja → dentro de lo esperado</w:t>
            </w:r>
          </w:p>
        </w:tc>
      </w:tr>
      <w:tr>
        <w:trPr>
          <w:cantSplit/>
        </w:trPr>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Mortalidad</w:t>
            </w:r>
          </w:p>
        </w:tc>
        <w:tc>
          <w:tcPr>
            <w:tcW w:type="dxa" w:w="103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anidado</w:t>
            </w:r>
          </w:p>
        </w:tc>
        <w:tc>
          <w:tcPr>
            <w:tcW w:type="dxa" w:w="74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E2.4a</w:t>
            </w:r>
          </w:p>
        </w:tc>
        <w:tc>
          <w:tcPr>
            <w:tcW w:type="dxa" w:w="645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110110: señal baja → dentro de lo esperado</w:t>
            </w:r>
          </w:p>
          <w:p>
            <w:pPr>
              <w:spacing w:after="40" w:line="252"/>
            </w:pPr>
            <w:r>
              <w:rPr>
                <w:sz w:val="19"/>
                <w:szCs w:val="19"/>
              </w:rPr>
              <w:t xml:space="preserve">112104: alerta baja → dentro de lo esperado</w:t>
            </w:r>
          </w:p>
          <w:p>
            <w:pPr>
              <w:spacing w:after="40" w:line="252"/>
            </w:pPr>
            <w:r>
              <w:rPr>
                <w:sz w:val="19"/>
                <w:szCs w:val="19"/>
              </w:rPr>
              <w:t xml:space="preserve">115110: alerta baja → dentro de lo esperado</w:t>
            </w:r>
          </w:p>
          <w:p>
            <w:pPr>
              <w:spacing w:after="40" w:line="252"/>
            </w:pPr>
            <w:r>
              <w:rPr>
                <w:sz w:val="19"/>
                <w:szCs w:val="19"/>
              </w:rPr>
              <w:t xml:space="preserve">121114: alerta baja → dentro de lo esperado</w:t>
            </w:r>
          </w:p>
          <w:p>
            <w:pPr>
              <w:spacing w:after="40" w:line="252"/>
            </w:pPr>
            <w:r>
              <w:rPr>
                <w:sz w:val="19"/>
                <w:szCs w:val="19"/>
              </w:rPr>
              <w:t xml:space="preserve">121121: alerta baja → dentro de lo esperado</w:t>
            </w:r>
          </w:p>
          <w:p>
            <w:pPr>
              <w:spacing w:after="40" w:line="252"/>
            </w:pPr>
            <w:r>
              <w:rPr>
                <w:sz w:val="19"/>
                <w:szCs w:val="19"/>
              </w:rPr>
              <w:t xml:space="preserve">124105: dentro de lo esperado → alerta baja</w:t>
            </w:r>
          </w:p>
          <w:p>
            <w:pPr>
              <w:spacing w:after="40" w:line="252"/>
            </w:pPr>
            <w:r>
              <w:rPr>
                <w:sz w:val="19"/>
                <w:szCs w:val="19"/>
              </w:rPr>
              <w:t xml:space="preserve">125100: dentro de lo esperado → alerta baja</w:t>
            </w:r>
          </w:p>
        </w:tc>
      </w:tr>
      <w:tr>
        <w:trPr>
          <w:cantSplit/>
        </w:trPr>
        <w:tc>
          <w:tcPr>
            <w:tcW w:type="dxa" w:w="112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Mortalidad</w:t>
            </w:r>
          </w:p>
        </w:tc>
        <w:tc>
          <w:tcPr>
            <w:tcW w:type="dxa" w:w="103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anidado</w:t>
            </w:r>
          </w:p>
        </w:tc>
        <w:tc>
          <w:tcPr>
            <w:tcW w:type="dxa" w:w="74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E2.4b</w:t>
            </w:r>
          </w:p>
        </w:tc>
        <w:tc>
          <w:tcPr>
            <w:tcW w:type="dxa" w:w="645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125100: dentro de lo esperado → alerta baja</w:t>
            </w:r>
          </w:p>
        </w:tc>
      </w:tr>
      <w:tr>
        <w:trPr>
          <w:cantSplit/>
        </w:trPr>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Mortalidad</w:t>
            </w:r>
          </w:p>
        </w:tc>
        <w:tc>
          <w:tcPr>
            <w:tcW w:type="dxa" w:w="103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anidado</w:t>
            </w:r>
          </w:p>
        </w:tc>
        <w:tc>
          <w:tcPr>
            <w:tcW w:type="dxa" w:w="74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E2.5</w:t>
            </w:r>
          </w:p>
        </w:tc>
        <w:tc>
          <w:tcPr>
            <w:tcW w:type="dxa" w:w="645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125100: dentro de lo esperado → alerta baja</w:t>
            </w:r>
          </w:p>
        </w:tc>
      </w:tr>
      <w:tr>
        <w:trPr>
          <w:cantSplit/>
        </w:trPr>
        <w:tc>
          <w:tcPr>
            <w:tcW w:type="dxa" w:w="112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Mortalidad</w:t>
            </w:r>
          </w:p>
        </w:tc>
        <w:tc>
          <w:tcPr>
            <w:tcW w:type="dxa" w:w="103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anidado</w:t>
            </w:r>
          </w:p>
        </w:tc>
        <w:tc>
          <w:tcPr>
            <w:tcW w:type="dxa" w:w="74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E2.6b</w:t>
            </w:r>
          </w:p>
        </w:tc>
        <w:tc>
          <w:tcPr>
            <w:tcW w:type="dxa" w:w="645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110130: dentro de lo esperado → alerta baja</w:t>
            </w:r>
          </w:p>
          <w:p>
            <w:pPr>
              <w:spacing w:after="40" w:line="252"/>
            </w:pPr>
            <w:r>
              <w:rPr>
                <w:sz w:val="19"/>
                <w:szCs w:val="19"/>
              </w:rPr>
              <w:t xml:space="preserve">113180: alerta alta → dentro de lo esperado</w:t>
            </w:r>
          </w:p>
        </w:tc>
      </w:tr>
      <w:tr>
        <w:trPr>
          <w:cantSplit/>
        </w:trPr>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Estadía</w:t>
            </w:r>
          </w:p>
        </w:tc>
        <w:tc>
          <w:tcPr>
            <w:tcW w:type="dxa" w:w="103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anidado</w:t>
            </w:r>
          </w:p>
        </w:tc>
        <w:tc>
          <w:tcPr>
            <w:tcW w:type="dxa" w:w="74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E2.4a</w:t>
            </w:r>
          </w:p>
        </w:tc>
        <w:tc>
          <w:tcPr>
            <w:tcW w:type="dxa" w:w="645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110110: alerta baja → dentro de lo esperado</w:t>
            </w:r>
          </w:p>
          <w:p>
            <w:pPr>
              <w:spacing w:after="40" w:line="252"/>
            </w:pPr>
            <w:r>
              <w:rPr>
                <w:sz w:val="19"/>
                <w:szCs w:val="19"/>
              </w:rPr>
              <w:t xml:space="preserve">115110: señal baja → dentro de lo esperado</w:t>
            </w:r>
          </w:p>
          <w:p>
            <w:pPr>
              <w:spacing w:after="40" w:line="252"/>
            </w:pPr>
            <w:r>
              <w:rPr>
                <w:sz w:val="19"/>
                <w:szCs w:val="19"/>
              </w:rPr>
              <w:t xml:space="preserve">116110: alerta baja → dentro de lo esperado</w:t>
            </w:r>
          </w:p>
          <w:p>
            <w:pPr>
              <w:spacing w:after="40" w:line="252"/>
            </w:pPr>
            <w:r>
              <w:rPr>
                <w:sz w:val="19"/>
                <w:szCs w:val="19"/>
              </w:rPr>
              <w:t xml:space="preserve">117102: dentro de lo esperado → alerta baja</w:t>
            </w:r>
          </w:p>
          <w:p>
            <w:pPr>
              <w:spacing w:after="40" w:line="252"/>
            </w:pPr>
            <w:r>
              <w:rPr>
                <w:sz w:val="19"/>
                <w:szCs w:val="19"/>
              </w:rPr>
              <w:t xml:space="preserve">118105: alerta baja → señal baja</w:t>
            </w:r>
          </w:p>
          <w:p>
            <w:pPr>
              <w:spacing w:after="40" w:line="252"/>
            </w:pPr>
            <w:r>
              <w:rPr>
                <w:sz w:val="19"/>
                <w:szCs w:val="19"/>
              </w:rPr>
              <w:t xml:space="preserve">121121: señal baja → dentro de lo esperado</w:t>
            </w:r>
          </w:p>
        </w:tc>
      </w:tr>
      <w:tr>
        <w:trPr>
          <w:cantSplit/>
        </w:trPr>
        <w:tc>
          <w:tcPr>
            <w:tcW w:type="dxa" w:w="112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Estadía</w:t>
            </w:r>
          </w:p>
        </w:tc>
        <w:tc>
          <w:tcPr>
            <w:tcW w:type="dxa" w:w="103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anidado</w:t>
            </w:r>
          </w:p>
        </w:tc>
        <w:tc>
          <w:tcPr>
            <w:tcW w:type="dxa" w:w="74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E2.5</w:t>
            </w:r>
          </w:p>
        </w:tc>
        <w:tc>
          <w:tcPr>
            <w:tcW w:type="dxa" w:w="645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116110: alerta baja → señal baja</w:t>
            </w:r>
          </w:p>
        </w:tc>
      </w:tr>
      <w:tr>
        <w:trPr>
          <w:cantSplit/>
        </w:trPr>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Mortalidad</w:t>
            </w:r>
          </w:p>
        </w:tc>
        <w:tc>
          <w:tcPr>
            <w:tcW w:type="dxa" w:w="103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original</w:t>
            </w:r>
          </w:p>
        </w:tc>
        <w:tc>
          <w:tcPr>
            <w:tcW w:type="dxa" w:w="74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E2.4a</w:t>
            </w:r>
          </w:p>
        </w:tc>
        <w:tc>
          <w:tcPr>
            <w:tcW w:type="dxa" w:w="645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103100: alerta alta → señal alta</w:t>
            </w:r>
          </w:p>
          <w:p>
            <w:pPr>
              <w:spacing w:after="40" w:line="252"/>
            </w:pPr>
            <w:r>
              <w:rPr>
                <w:sz w:val="19"/>
                <w:szCs w:val="19"/>
              </w:rPr>
              <w:t xml:space="preserve">110110: señal baja → dentro de lo esperado</w:t>
            </w:r>
          </w:p>
          <w:p>
            <w:pPr>
              <w:spacing w:after="40" w:line="252"/>
            </w:pPr>
            <w:r>
              <w:rPr>
                <w:sz w:val="19"/>
                <w:szCs w:val="19"/>
              </w:rPr>
              <w:t xml:space="preserve">110150: dentro de lo esperado → alerta baja</w:t>
            </w:r>
          </w:p>
          <w:p>
            <w:pPr>
              <w:spacing w:after="40" w:line="252"/>
            </w:pPr>
            <w:r>
              <w:rPr>
                <w:sz w:val="19"/>
                <w:szCs w:val="19"/>
              </w:rPr>
              <w:t xml:space="preserve">112103: alerta alta → dentro de lo esperado</w:t>
            </w:r>
          </w:p>
          <w:p>
            <w:pPr>
              <w:spacing w:after="40" w:line="252"/>
            </w:pPr>
            <w:r>
              <w:rPr>
                <w:sz w:val="19"/>
                <w:szCs w:val="19"/>
              </w:rPr>
              <w:t xml:space="preserve">112104: señal baja → dentro de lo esperado</w:t>
            </w:r>
          </w:p>
          <w:p>
            <w:pPr>
              <w:spacing w:after="40" w:line="252"/>
            </w:pPr>
            <w:r>
              <w:rPr>
                <w:sz w:val="19"/>
                <w:szCs w:val="19"/>
              </w:rPr>
              <w:t xml:space="preserve">115110: alerta baja → dentro de lo esperado</w:t>
            </w:r>
          </w:p>
          <w:p>
            <w:pPr>
              <w:spacing w:after="40" w:line="252"/>
            </w:pPr>
            <w:r>
              <w:rPr>
                <w:sz w:val="19"/>
                <w:szCs w:val="19"/>
              </w:rPr>
              <w:t xml:space="preserve">118106: dentro de lo esperado → alerta alta</w:t>
            </w:r>
          </w:p>
          <w:p>
            <w:pPr>
              <w:spacing w:after="40" w:line="252"/>
            </w:pPr>
            <w:r>
              <w:rPr>
                <w:sz w:val="19"/>
                <w:szCs w:val="19"/>
              </w:rPr>
              <w:t xml:space="preserve">120101: alerta baja → señal baja</w:t>
            </w:r>
          </w:p>
          <w:p>
            <w:pPr>
              <w:spacing w:after="40" w:line="252"/>
            </w:pPr>
            <w:r>
              <w:rPr>
                <w:sz w:val="19"/>
                <w:szCs w:val="19"/>
              </w:rPr>
              <w:t xml:space="preserve">121114: alerta baja → dentro de lo esperado</w:t>
            </w:r>
          </w:p>
          <w:p>
            <w:pPr>
              <w:spacing w:after="40" w:line="252"/>
            </w:pPr>
            <w:r>
              <w:rPr>
                <w:sz w:val="19"/>
                <w:szCs w:val="19"/>
              </w:rPr>
              <w:t xml:space="preserve">121121: alerta baja → dentro de lo esperado</w:t>
            </w:r>
          </w:p>
        </w:tc>
      </w:tr>
      <w:tr>
        <w:trPr>
          <w:cantSplit/>
        </w:trPr>
        <w:tc>
          <w:tcPr>
            <w:tcW w:type="dxa" w:w="112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Mortalidad</w:t>
            </w:r>
          </w:p>
        </w:tc>
        <w:tc>
          <w:tcPr>
            <w:tcW w:type="dxa" w:w="103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original</w:t>
            </w:r>
          </w:p>
        </w:tc>
        <w:tc>
          <w:tcPr>
            <w:tcW w:type="dxa" w:w="74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E2.4b</w:t>
            </w:r>
          </w:p>
        </w:tc>
        <w:tc>
          <w:tcPr>
            <w:tcW w:type="dxa" w:w="645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110130: dentro de lo esperado → alerta baja</w:t>
            </w:r>
          </w:p>
          <w:p>
            <w:pPr>
              <w:spacing w:after="40" w:line="252"/>
            </w:pPr>
            <w:r>
              <w:rPr>
                <w:sz w:val="19"/>
                <w:szCs w:val="19"/>
              </w:rPr>
              <w:t xml:space="preserve">118106: dentro de lo esperado → alerta alta</w:t>
            </w:r>
          </w:p>
        </w:tc>
      </w:tr>
      <w:tr>
        <w:trPr>
          <w:cantSplit/>
        </w:trPr>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Mortalidad</w:t>
            </w:r>
          </w:p>
        </w:tc>
        <w:tc>
          <w:tcPr>
            <w:tcW w:type="dxa" w:w="103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original</w:t>
            </w:r>
          </w:p>
        </w:tc>
        <w:tc>
          <w:tcPr>
            <w:tcW w:type="dxa" w:w="74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E2.6b</w:t>
            </w:r>
          </w:p>
        </w:tc>
        <w:tc>
          <w:tcPr>
            <w:tcW w:type="dxa" w:w="645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107102: alerta alta → dentro de lo esperado</w:t>
            </w:r>
          </w:p>
          <w:p>
            <w:pPr>
              <w:spacing w:after="40" w:line="252"/>
            </w:pPr>
            <w:r>
              <w:rPr>
                <w:sz w:val="19"/>
                <w:szCs w:val="19"/>
              </w:rPr>
              <w:t xml:space="preserve">110130: dentro de lo esperado → alerta baja</w:t>
            </w:r>
          </w:p>
          <w:p>
            <w:pPr>
              <w:spacing w:after="40" w:line="252"/>
            </w:pPr>
            <w:r>
              <w:rPr>
                <w:sz w:val="19"/>
                <w:szCs w:val="19"/>
              </w:rPr>
              <w:t xml:space="preserve">113180: señal alta → alerta alta</w:t>
            </w:r>
          </w:p>
        </w:tc>
      </w:tr>
      <w:tr>
        <w:trPr>
          <w:cantSplit/>
        </w:trPr>
        <w:tc>
          <w:tcPr>
            <w:tcW w:type="dxa" w:w="112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Estadía</w:t>
            </w:r>
          </w:p>
        </w:tc>
        <w:tc>
          <w:tcPr>
            <w:tcW w:type="dxa" w:w="103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original</w:t>
            </w:r>
          </w:p>
        </w:tc>
        <w:tc>
          <w:tcPr>
            <w:tcW w:type="dxa" w:w="74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E2.4a</w:t>
            </w:r>
          </w:p>
        </w:tc>
        <w:tc>
          <w:tcPr>
            <w:tcW w:type="dxa" w:w="645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101100: dentro de lo esperado → alerta baja</w:t>
            </w:r>
          </w:p>
          <w:p>
            <w:pPr>
              <w:spacing w:after="40" w:line="252"/>
            </w:pPr>
            <w:r>
              <w:rPr>
                <w:sz w:val="19"/>
                <w:szCs w:val="19"/>
              </w:rPr>
              <w:t xml:space="preserve">103100: dentro de lo esperado → alerta alta</w:t>
            </w:r>
          </w:p>
          <w:p>
            <w:pPr>
              <w:spacing w:after="40" w:line="252"/>
            </w:pPr>
            <w:r>
              <w:rPr>
                <w:sz w:val="19"/>
                <w:szCs w:val="19"/>
              </w:rPr>
              <w:t xml:space="preserve">110110: alerta baja → dentro de lo esperado</w:t>
            </w:r>
          </w:p>
          <w:p>
            <w:pPr>
              <w:spacing w:after="40" w:line="252"/>
            </w:pPr>
            <w:r>
              <w:rPr>
                <w:sz w:val="19"/>
                <w:szCs w:val="19"/>
              </w:rPr>
              <w:t xml:space="preserve">115110: alerta baja → dentro de lo esperado</w:t>
            </w:r>
          </w:p>
          <w:p>
            <w:pPr>
              <w:spacing w:after="40" w:line="252"/>
            </w:pPr>
            <w:r>
              <w:rPr>
                <w:sz w:val="19"/>
                <w:szCs w:val="19"/>
              </w:rPr>
              <w:t xml:space="preserve">116107: señal baja → alerta baja</w:t>
            </w:r>
          </w:p>
          <w:p>
            <w:pPr>
              <w:spacing w:after="40" w:line="252"/>
            </w:pPr>
            <w:r>
              <w:rPr>
                <w:sz w:val="19"/>
                <w:szCs w:val="19"/>
              </w:rPr>
              <w:t xml:space="preserve">116110: alerta baja → dentro de lo esperado</w:t>
            </w:r>
          </w:p>
          <w:p>
            <w:pPr>
              <w:spacing w:after="40" w:line="252"/>
            </w:pPr>
            <w:r>
              <w:rPr>
                <w:sz w:val="19"/>
                <w:szCs w:val="19"/>
              </w:rPr>
              <w:t xml:space="preserve">119102: alerta baja → dentro de lo esperado</w:t>
            </w:r>
          </w:p>
          <w:p>
            <w:pPr>
              <w:spacing w:after="40" w:line="252"/>
            </w:pPr>
            <w:r>
              <w:rPr>
                <w:sz w:val="19"/>
                <w:szCs w:val="19"/>
              </w:rPr>
              <w:t xml:space="preserve">121121: alerta baja → dentro de lo esperado</w:t>
            </w:r>
          </w:p>
        </w:tc>
      </w:tr>
      <w:tr>
        <w:trPr>
          <w:cantSplit/>
        </w:trPr>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Estadía</w:t>
            </w:r>
          </w:p>
        </w:tc>
        <w:tc>
          <w:tcPr>
            <w:tcW w:type="dxa" w:w="103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original</w:t>
            </w:r>
          </w:p>
        </w:tc>
        <w:tc>
          <w:tcPr>
            <w:tcW w:type="dxa" w:w="74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E2.5</w:t>
            </w:r>
          </w:p>
        </w:tc>
        <w:tc>
          <w:tcPr>
            <w:tcW w:type="dxa" w:w="645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101100: dentro de lo esperado → alerta baja</w:t>
            </w:r>
          </w:p>
          <w:p>
            <w:pPr>
              <w:spacing w:after="40" w:line="252"/>
            </w:pPr>
            <w:r>
              <w:rPr>
                <w:sz w:val="19"/>
                <w:szCs w:val="19"/>
              </w:rPr>
              <w:t xml:space="preserve">115110: alerta baja → señal baja</w:t>
            </w:r>
          </w:p>
        </w:tc>
      </w:tr>
    </w:tbl>
    <w:p>
      <w:pPr>
        <w:spacing w:after="80"/>
      </w:pP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Anexo F5 · Enmienda 02: resultados  ·  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F5 · Enmienda 02: resultados</dc:title>
  <dc:creator>Felipe Ignacio Baeza Muñoz</dc:creator>
  <dc:description>Informe v5 del proyecto de tesis (reproducción independiente verificada)</dc:description>
  <cp:lastModifiedBy>Un-named</cp:lastModifiedBy>
  <cp:revision>1</cp:revision>
  <dcterms:created xsi:type="dcterms:W3CDTF">2026-10-22T15:55:50.383Z</dcterms:created>
  <dcterms:modified xsi:type="dcterms:W3CDTF">2026-10-22T15:55:50.383Z</dcterms:modified>
</cp:coreProperties>
</file>

<file path=docProps/custom.xml><?xml version="1.0" encoding="utf-8"?>
<Properties xmlns="http://schemas.openxmlformats.org/officeDocument/2006/custom-properties" xmlns:vt="http://schemas.openxmlformats.org/officeDocument/2006/docPropsVTypes"/>
</file>