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1</w:t>
      </w:r>
    </w:p>
    <w:p>
      <w:pPr>
        <w:spacing w:after="160"/>
        <w:jc w:val="center"/>
      </w:pPr>
      <w:r>
        <w:rPr>
          <w:b/>
          <w:bCs/>
          <w:color w:val="1F3864"/>
          <w:sz w:val="40"/>
          <w:szCs w:val="40"/>
        </w:rPr>
        <w:t xml:space="preserve">COMPRENSIÓN DEL DOMINIO</w:t>
      </w:r>
    </w:p>
    <w:p>
      <w:pPr>
        <w:spacing w:after="1000"/>
        <w:jc w:val="center"/>
      </w:pPr>
      <w:r>
        <w:rPr>
          <w:color w:val="000000"/>
          <w:sz w:val="24"/>
          <w:szCs w:val="24"/>
        </w:rPr>
        <w:t xml:space="preserve"/>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Fecha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Octubre 2026 · Versión 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Sobre esta versión</w:t>
            </w:r>
          </w:p>
          <w:p>
            <w:pPr>
              <w:spacing w:after="60" w:line="264"/>
            </w:pPr>
            <w:r>
              <w:t xml:space="preserve">Donde una decisión cambió, se dice cuándo y si fue antes o después de abrir el año 2024 (19-10-2026), el examen final de los modelos. El PDF original se conserva sin cambios en </w:t>
            </w:r>
            <w:r>
              <w:rPr>
                <w:rFonts w:ascii="Consolas" w:cs="Consolas" w:eastAsia="Consolas" w:hAnsi="Consolas"/>
                <w:sz w:val="19"/>
                <w:szCs w:val="19"/>
              </w:rPr>
              <w:t xml:space="preserve">docs/historial/fase1/</w:t>
            </w:r>
            <w:r>
              <w:t xml:space="preserve">.</w:t>
            </w:r>
          </w:p>
          <w:p>
            <w:pPr>
              <w:spacing w:after="60" w:line="264"/>
            </w:pPr>
            <w:r>
              <w:t xml:space="preserve">Esta versión incorpora además la </w:t>
            </w:r>
            <w:r>
              <w:rPr>
                <w:b/>
                <w:bCs/>
              </w:rPr>
              <w:t xml:space="preserve">revisión técnica del profesor guía</w:t>
            </w:r>
            <w:r>
              <w:t xml:space="preserve"> (24-10-2026), hecha sobre la versión 2. Las observaciones que la Fase 2 ya resolvió con la base completa no se corrigen aquí: se responden en el informe de la Fase 2 (sección 9).</w:t>
            </w:r>
          </w:p>
          <w:p>
            <w:pPr>
              <w:spacing w:after="60" w:line="264"/>
            </w:pPr>
            <w:r>
              <w:t xml:space="preserve">Qué versión de la Fase 1 sirve como pre-registro (la publicada en GitHub el 27-09-2026) se explica en </w:t>
            </w:r>
            <w:r>
              <w:rPr>
                <w:rFonts w:ascii="Consolas" w:cs="Consolas" w:eastAsia="Consolas" w:hAnsi="Consolas"/>
                <w:sz w:val="19"/>
                <w:szCs w:val="19"/>
              </w:rPr>
              <w:t xml:space="preserve">docs/fase1_comprension_dominio/VERSIONES_Y_DESVIACIONES.md</w:t>
            </w:r>
            <w:r>
              <w:t xml:space="preserve">.</w:t>
            </w:r>
          </w:p>
        </w:tc>
      </w:tr>
    </w:tbl>
    <w:p>
      <w:pPr>
        <w:spacing w:after="100"/>
      </w:pPr>
    </w:p>
    <w:p>
      <w:pPr>
        <w:pStyle w:val="Heading1"/>
      </w:pPr>
      <w:r>
        <w:t xml:space="preserve">1. Qué es el proyecto y por qué importa</w:t>
      </w:r>
    </w:p>
    <w:p>
      <w:pPr>
        <w:spacing w:after="120" w:line="276"/>
      </w:pPr>
      <w:r>
        <w:t xml:space="preserve">En Chile, cada vez que un paciente sale de un hospital público se genera un registro clínico y administrativo que se clasifica con el sistema de Grupos Relacionados por Diagnóstico (GRD) (Cid et al., 2024). Cada registro trae diagnósticos, procedimientos, días de hospitalización y cómo terminó el episodio. En los datos de este proyecto, que cubren los hospitales que trabajan con GRD, hay entre 781.912 (2020) y 1.151.475 (2019) egresos al año, unos 968.000 en promedio.</w:t>
      </w:r>
    </w:p>
    <w:p>
      <w:pPr>
        <w:spacing w:after="120" w:line="276"/>
      </w:pPr>
      <w:r>
        <w:t xml:space="preserve">El problema es que hoy no existe un indicador público que compare hospitales ajustando por qué tan graves son sus pacientes. Las plataformas oficiales publican promedios brutos de mortalidad y de días de estadía. Un hospital que recibe pacientes más graves va a mostrar más muertes y estadías más largas aunque trabaje igual de bien que otro. Por eso, comparar tasas brutas no dice nada claro sobre la calidad. Existen estudios de eficiencia hospitalaria de la Dirección de Presupuestos, sobre el costo de los hospitales de alta complejidad (Urbina y Sugg, 2021), y de la Comisión Nacional de Productividad, sobre el uso de los pabellones (Comisión Nacional de Productividad, 2020), pero quedan en informes estáticos y no en un indicador público y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60" w:line="264"/>
            </w:pPr>
            <w:r>
              <w:rPr>
                <w:b/>
                <w:bCs/>
              </w:rPr>
              <w:t xml:space="preserve">Propósito central.</w:t>
            </w:r>
            <w:r>
              <w:t xml:space="preserve"> El sistema no busca hacer rankings punitivos ni señalar culpables. Busca entregar una señal estadística objetiva que indique dónde puede haber una desviación relevante respecto de lo esperado.</w:t>
            </w:r>
          </w:p>
        </w:tc>
      </w:tr>
    </w:tbl>
    <w:p>
      <w:pPr>
        <w:spacing w:after="100"/>
      </w:pPr>
    </w:p>
    <w:p>
      <w:pPr>
        <w:spacing w:after="120" w:line="276"/>
      </w:pPr>
      <w:r>
        <w:t xml:space="preserve">Para lograrlo, el proyecto construye un sistema con cuatro partes:</w:t>
      </w:r>
    </w:p>
    <w:p>
      <w:pPr>
        <w:pStyle w:val="ListParagraph"/>
        <w:numPr>
          <w:ilvl w:val="0"/>
          <w:numId w:val="2"/>
        </w:numPr>
        <w:spacing w:after="80" w:line="264"/>
      </w:pPr>
      <w:r>
        <w:rPr>
          <w:b/>
          <w:bCs/>
        </w:rPr>
        <w:t xml:space="preserve">Procesamiento de datos.</w:t>
      </w:r>
      <w:r>
        <w:t xml:space="preserve"> Se trabaja con 5.808.535 egresos (2019–2024) que FONASA entregó mediante la Ley 20.285 de Transparencia.</w:t>
      </w:r>
    </w:p>
    <w:p>
      <w:pPr>
        <w:pStyle w:val="ListParagraph"/>
        <w:numPr>
          <w:ilvl w:val="0"/>
          <w:numId w:val="2"/>
        </w:numPr>
        <w:spacing w:after="80" w:line="264"/>
      </w:pPr>
      <w:r>
        <w:rPr>
          <w:b/>
          <w:bCs/>
        </w:rPr>
        <w:t xml:space="preserve">Modelos predictivos.</w:t>
      </w:r>
      <w:r>
        <w:t xml:space="preserve"> Dos modelos de aprendizaje automático estiman cuántas muertes y cuántos días de estadía se esperan según el perfil clínico de los pacientes de cada hospital.</w:t>
      </w:r>
    </w:p>
    <w:p>
      <w:pPr>
        <w:pStyle w:val="ListParagraph"/>
        <w:numPr>
          <w:ilvl w:val="0"/>
          <w:numId w:val="2"/>
        </w:numPr>
        <w:spacing w:after="80" w:line="264"/>
      </w:pPr>
      <w:r>
        <w:rPr>
          <w:b/>
          <w:bCs/>
        </w:rPr>
        <w:t xml:space="preserve">Indicador O/E.</w:t>
      </w:r>
      <w:r>
        <w:t xml:space="preserve"> Se compara lo observado con lo esperado y se obtiene la razón Observado/Esperado por hospital.</w:t>
      </w:r>
    </w:p>
    <w:p>
      <w:pPr>
        <w:pStyle w:val="ListParagraph"/>
        <w:numPr>
          <w:ilvl w:val="0"/>
          <w:numId w:val="2"/>
        </w:numPr>
        <w:spacing w:after="80" w:line="264"/>
      </w:pPr>
      <w:r>
        <w:rPr>
          <w:b/>
          <w:bCs/>
        </w:rPr>
        <w:t xml:space="preserve">Plataforma web.</w:t>
      </w:r>
      <w:r>
        <w:t xml:space="preserve"> Muestra los indicadores por hospital y una demo pedagógica del modelo (Fase 6, en desarrollo).</w:t>
      </w:r>
    </w:p>
    <w:p>
      <w:pPr>
        <w:pStyle w:val="Heading1"/>
      </w:pPr>
      <w:r>
        <w:t xml:space="preserve">2. Quiénes lo van a usar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3463"/>
        <w:gridCol w:w="3463"/>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Grupo</w:t>
            </w:r>
          </w:p>
        </w:tc>
        <w:tc>
          <w:tcPr>
            <w:tcW w:type="dxa" w:w="3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necesita</w:t>
            </w:r>
          </w:p>
        </w:tc>
        <w:tc>
          <w:tcPr>
            <w:tcW w:type="dxa" w:w="3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le da el sistema</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Gestores de hospitales y Servicios de Salud</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Saber si su hospital se aleja de lo esperado, para decidir qué procesos revisar.</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Razón O/E de mortalidad y de estadía, con gráficos de embudo.</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MINSAL, FONASA y DIPRES</w:t>
            </w:r>
          </w:p>
        </w:tc>
        <w:tc>
          <w:tcPr>
            <w:tcW w:type="dxa" w:w="3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Una señal estandarizada para priorizar revisiones y asignar recursos.</w:t>
            </w:r>
          </w:p>
        </w:tc>
        <w:tc>
          <w:tcPr>
            <w:tcW w:type="dxa" w:w="3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mismos indicadores, con un método documentado y reproducible.</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Ciudadanía</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Entender cómo funciona un modelo de riesgo y cómo se ve la transparencia en salud.</w:t>
            </w:r>
          </w:p>
        </w:tc>
        <w:tc>
          <w:tcPr>
            <w:tcW w:type="dxa" w:w="3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Una demo pedagógica con un perfil clínico sintético. No compara hospitales.</w:t>
            </w:r>
          </w:p>
        </w:tc>
      </w:tr>
    </w:tbl>
    <w:p>
      <w:pPr>
        <w:spacing w:after="80"/>
      </w:pPr>
    </w:p>
    <w:p>
      <w:pPr>
        <w:pStyle w:val="Heading1"/>
      </w:pPr>
      <w:r>
        <w:t xml:space="preserve">3. Objetivos y criterios de éxito</w:t>
      </w:r>
    </w:p>
    <w:p>
      <w:pPr>
        <w:pStyle w:val="Heading2"/>
      </w:pPr>
      <w:r>
        <w:t xml:space="preserve">3.1 Objetivo del proyecto</w:t>
      </w:r>
    </w:p>
    <w:p>
      <w:pPr>
        <w:spacing w:after="120" w:line="276"/>
      </w:pPr>
      <w:r>
        <w:t xml:space="preserve">Que gestores y autoridades tengan una señal estadística objetiva, comparable entre hospitales y justa con la gravedad de los pacientes, para orientar revisiones internas. Para eso se construyen dos modelos predictivos, un indicador O/E por hospital con gráficos de embudo y un prototipo web.</w:t>
      </w:r>
    </w:p>
    <w:p>
      <w:pPr>
        <w:pStyle w:val="Heading2"/>
      </w:pPr>
      <w:r>
        <w:t xml:space="preserve">3.2 Criterios de éxito del proyecto (no son del modelo)</w:t>
      </w:r>
    </w:p>
    <w:p>
      <w:pPr>
        <w:spacing w:after="120" w:line="276"/>
      </w:pPr>
      <w:r>
        <w:t xml:space="preserve">Estos criterios miden si el sistema sirve y es seguro de usar. Los criterios del modelo están en la sección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4212"/>
        <w:gridCol w:w="3276"/>
      </w:tblGrid>
      <w:tr>
        <w:trPr>
          <w:tblHeader/>
        </w:trPr>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Criterio</w:t>
            </w:r>
          </w:p>
        </w:tc>
        <w:tc>
          <w:tcPr>
            <w:tcW w:type="dxa" w:w="421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Cómo se mide</w:t>
            </w:r>
          </w:p>
        </w:tc>
        <w:tc>
          <w:tcPr>
            <w:tcW w:type="dxa" w:w="32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Meta</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Respuesta rápida</w:t>
            </w:r>
          </w:p>
        </w:tc>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Tiempo de respuesta de la inferencia en la demo, con carga moderada.</w:t>
            </w:r>
          </w:p>
        </w:tc>
        <w:tc>
          <w:tcPr>
            <w:tcW w:type="dxa" w:w="32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Menos de 2 segundos.</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Privacidad</w:t>
            </w:r>
          </w:p>
        </w:tc>
        <w:tc>
          <w:tcPr>
            <w:tcW w:type="dxa" w:w="42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Revisión del código, de la base de datos y de los registros del servidor.</w:t>
            </w:r>
          </w:p>
        </w:tc>
        <w:tc>
          <w:tcPr>
            <w:tcW w:type="dxa" w:w="32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Ningún dato personal guardado en ninguna parte.</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Consistencia</w:t>
            </w:r>
          </w:p>
        </w:tc>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Comparar lo que muestra el tablero con lo que devuelve la API.</w:t>
            </w:r>
          </w:p>
        </w:tc>
        <w:tc>
          <w:tcPr>
            <w:tcW w:type="dxa" w:w="32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Coinciden en todo.</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Comprensión</w:t>
            </w:r>
          </w:p>
        </w:tc>
        <w:tc>
          <w:tcPr>
            <w:tcW w:type="dxa" w:w="42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Pruebas con usuarios representativos, es decir, gestores en salud, sobre la interpretación de los gráficos y las tareas clave.</w:t>
            </w:r>
          </w:p>
        </w:tc>
        <w:tc>
          <w:tcPr>
            <w:tcW w:type="dxa" w:w="32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lista de tareas y la proporción mínima de éxito se definen antes de la prueba, con el profesor guía.</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Uso responsable</w:t>
            </w:r>
          </w:p>
        </w:tc>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Revisión de las funciones de la plataforma.</w:t>
            </w:r>
          </w:p>
        </w:tc>
        <w:tc>
          <w:tcPr>
            <w:tcW w:type="dxa" w:w="32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hay ranking lineal ni recomendación de hospitales.</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Reproducibilidad</w:t>
            </w:r>
          </w:p>
        </w:tc>
        <w:tc>
          <w:tcPr>
            <w:tcW w:type="dxa" w:w="42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Ejecutar todo el proceso desde los archivos originales.</w:t>
            </w:r>
          </w:p>
        </w:tc>
        <w:tc>
          <w:tcPr>
            <w:tcW w:type="dxa" w:w="32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 regeneran los mismos resultados.</w:t>
            </w:r>
          </w:p>
        </w:tc>
      </w:tr>
    </w:tbl>
    <w:p>
      <w:pPr>
        <w:spacing w:after="80"/>
      </w:pPr>
    </w:p>
    <w:p>
      <w:pPr>
        <w:spacing w:after="120" w:line="276"/>
      </w:pPr>
      <w:r>
        <w:rPr>
          <w:b/>
          <w:bCs/>
        </w:rPr>
        <w:t xml:space="preserve">Estado.</w:t>
      </w:r>
      <w:r>
        <w:t xml:space="preserve"> Estos criterios se comprueban en la Fase 6, que está en desarrollo. La reproducibilidad ya se verificó: una reproducción independiente desde cero (octubre de 2026) corrió el código sin cambios sobre los archivos originales y obtuvo los mismos resultados, byte a byte. La lista de tareas de la prueba con usuarios y su proporción mínima de éxito todavía no se fijan; deben quedar escritas antes de la prueba.</w:t>
      </w:r>
    </w:p>
    <w:p>
      <w:pPr>
        <w:pStyle w:val="Heading1"/>
      </w:pPr>
      <w:r>
        <w:t xml:space="preserve">4. Fuente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Aspecto</w:t>
            </w:r>
          </w:p>
        </w:tc>
        <w:tc>
          <w:tcPr>
            <w:tcW w:type="dxa" w:w="69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Detalle</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Fuente</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FONASA, mediante la Ley 20.285 de Transparencia (oficio N.º 23364, solicitud T10901).</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Período</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Egresos hospitalarios 2019 a 2024.</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Volumen</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5.808.536 líneas de datos. Una línea del archivo de 2022 tiene un número de campos distinto y se guardó aparte (Fase 3): quedan </w:t>
            </w:r>
            <w:r>
              <w:rPr>
                <w:b/>
                <w:bCs/>
                <w:sz w:val="19"/>
                <w:szCs w:val="19"/>
              </w:rPr>
              <w:t xml:space="preserve">5.808.535 egresos</w:t>
            </w:r>
            <w:r>
              <w:rPr>
                <w:b w:val="false"/>
                <w:bCs w:val="false"/>
                <w:sz w:val="19"/>
                <w:szCs w:val="19"/>
              </w:rPr>
              <w:t xml:space="preserve">.</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Columnas por registro</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129 variables clínicas y administrativas.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Formato de entrega</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Archivos de texto separados por barra vertical, uno por año.</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Hospitales</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72 códigos distintos: 65 por año en 2019–2022, 68 en 2023 y 72 en 2024.</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Privacidad</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Sin RUT, nombre ni datos de contacto. Ojo: sí traen fechas exactas de nacimiento, ingreso y alta (ver sección 14).</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Nota sobre el identificador</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columna CIP_ENCRIPTADO se llama ID_BENEFICIARIO en 2024 (no en 2019). El código lo maneja solo. Además, el sistema del identificador cambia entre 2020 y 2021: no se puede seguir a una misma persona entre ambos períodos (Fase 2).</w:t>
            </w:r>
          </w:p>
        </w:tc>
      </w:tr>
    </w:tbl>
    <w:p>
      <w:pPr>
        <w:spacing w:after="80"/>
      </w:pPr>
    </w:p>
    <w:p>
      <w:pPr>
        <w:pStyle w:val="Heading1"/>
      </w:pPr>
      <w:r>
        <w:t xml:space="preserve">5. Reglas del modelo</w:t>
      </w:r>
    </w:p>
    <w:p>
      <w:pPr>
        <w:spacing w:after="120" w:line="276"/>
      </w:pPr>
      <w:r>
        <w:t xml:space="preserve">Hay ocho reglas (R1 a R8) que ninguna decisión de implementación puede romper. Cada una dice también qué pasaría si se rompe.</w:t>
      </w:r>
    </w:p>
    <w:p>
      <w:pPr>
        <w:pStyle w:val="Heading2"/>
      </w:pPr>
      <w:r>
        <w:t xml:space="preserve">5.1 Las ocho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1872"/>
        <w:gridCol w:w="3744"/>
        <w:gridCol w:w="3182"/>
      </w:tblGrid>
      <w:tr>
        <w:trPr>
          <w:tblHeader/>
        </w:trPr>
        <w:tc>
          <w:tcPr>
            <w:tcW w:type="dxa" w:w="56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N.º</w:t>
            </w:r>
          </w:p>
        </w:tc>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c>
          <w:tcPr>
            <w:tcW w:type="dxa" w:w="374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dice</w:t>
            </w:r>
          </w:p>
        </w:tc>
        <w:tc>
          <w:tcPr>
            <w:tcW w:type="dxa" w:w="318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pasa si se viola</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R1</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Nada que revele el desenlace</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modelo no puede usar datos que se generan durante la hospitalización y que dependen de cómo le fue al paciente: procedimientos, cirugías, medicamentos, fecha de alta y severidad del GRD. Hay una excepción declarada: los diagnósticos (ver más abajo).</w:t>
            </w:r>
          </w:p>
        </w:tc>
        <w:tc>
          <w:tcPr>
            <w:tcW w:type="dxa" w:w="318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modelo aprendería con información que no existe al momento de predecir. Los resultados serían buenos en el papel e inútiles en la práctica.</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R2</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hospital no puede ser predictor</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código del hospital, el Servicio de Salud y cualquier variable que identifique o describa al establecimiento están prohibidos como predictores.</w:t>
            </w:r>
          </w:p>
        </w:tc>
        <w:tc>
          <w:tcPr>
            <w:tcW w:type="dxa" w:w="318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modelo aprendería la historia de cada hospital y no el riesgo del paciente. El O/E mediría si el modelo reconoce hospitales, no su desempeño.</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R3</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Las enfermedades previas son el núcleo del ajuste</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Las 31 categorías de Elixhauser se calculan solo con los diagnósticos secundarios, nunca con el principal, y todas están en el modelo principal.</w:t>
            </w:r>
          </w:p>
        </w:tc>
        <w:tc>
          <w:tcPr>
            <w:tcW w:type="dxa" w:w="318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Sin ajustar por enfermedades previas, los hospitales con pacientes más complejos parecerían siempre peores.</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R4</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datos originales de FONASA son inmutables</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archivos originales nunca se modifican. Todo se procesa en capas y, después de la ingesta, el código tiene prohibido volver a leerlos.</w:t>
            </w:r>
          </w:p>
        </w:tc>
        <w:tc>
          <w:tcPr>
            <w:tcW w:type="dxa" w:w="318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 perdería la posibilidad de rastrear errores al origen y el proceso dejaría de ser reproducible.</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R5</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Los errores se anulan, no se imputan en la limpieza</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 un valor es imposible, se anula solo ese valor y se documenta. No se reemplaza por un promedio ni por otro valor calculado. Los faltantes se tratan después, en el modelado (Fase 4 y sección 10.4): los modelos de árboles los aceptan tal cual y las líneas base los completan usando solo datos de entrenamiento.</w:t>
            </w:r>
          </w:p>
        </w:tc>
        <w:tc>
          <w:tcPr>
            <w:tcW w:type="dxa" w:w="318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Imputar mete suposiciones que pueden distorsionar los resultados. Un valor real siempre es mejor que uno estimado.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R6</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riesgo de mortalidad del GRD está prohibido</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columna IR_29301_MORTALIDAD está prohibida como predictor bajo cualquier circunstancia, también en los análisis de sensibilidad. Lo mismo vale para la severidad (IR_29301_SEVERIDAD) y el peso (IR_29301_PESO) del GRD (decisión 14).</w:t>
            </w:r>
          </w:p>
        </w:tc>
        <w:tc>
          <w:tcPr>
            <w:tcW w:type="dxa" w:w="318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agrupador calcula esas columnas con todo lo ocurrido en la hospitalización. Usarlas sería copiar un resultado ya calculado (fuga de información) en vez de aprender el riesgo del paciente.</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R7</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Validación sobre datos que el modelo nunca vio</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rendimiento se mide solo con el año 2024, que no se usa en ninguna etapa del entrenamiento ni de la calibración.</w:t>
            </w:r>
          </w:p>
        </w:tc>
        <w:tc>
          <w:tcPr>
            <w:tcW w:type="dxa" w:w="318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Las métricas saldrían demasiado optimistas y no reflejarían el desempeño ante casos nuevos.</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R8</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fallecidos no entrenan el modelo de estadía</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modelo de días de hospitalización se entrena solo con sobrevivientes. Los fallecidos se conservan para estadísticas descriptivas.</w:t>
            </w:r>
          </w:p>
        </w:tc>
        <w:tc>
          <w:tcPr>
            <w:tcW w:type="dxa" w:w="318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fallecidos tienen estadías cortas porque murieron, no por eficiencia. El modelo aprendería que los pacientes graves se van rápido y distorsionaría el O/E de estadía.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60" w:line="264"/>
            </w:pPr>
            <w:r>
              <w:rPr>
                <w:b/>
                <w:bCs/>
              </w:rPr>
              <w:t xml:space="preserve">Lo que hay que tener presente.</w:t>
            </w:r>
            <w:r>
              <w:t xml:space="preserve"> Los diagnósticos son la excepción. FONASA entrega el diagnóstico principal y los secundarios tal como se codificaron al egreso, y no trae el marcador que dice si un diagnóstico ya existía al ingresar. O sea, no es información cien por ciento conocida al ingreso. La usamos igual porque es la forma estándar de ajustar por riesgo con datos administrativos y porque sin ella no hay ajuste posible.</w:t>
            </w:r>
          </w:p>
        </w:tc>
      </w:tr>
    </w:tbl>
    <w:p>
      <w:pPr>
        <w:spacing w:after="100"/>
      </w:pPr>
    </w:p>
    <w:p>
      <w:pPr>
        <w:spacing w:after="120" w:line="276"/>
      </w:pPr>
      <w:r>
        <w:t xml:space="preserve">Para cuidar ese riesgo hacemos cuatro cosas:</w:t>
      </w:r>
    </w:p>
    <w:p>
      <w:pPr>
        <w:pStyle w:val="ListParagraph"/>
        <w:numPr>
          <w:ilvl w:val="0"/>
          <w:numId w:val="2"/>
        </w:numPr>
        <w:spacing w:after="80" w:line="264"/>
      </w:pPr>
      <w:r>
        <w:t xml:space="preserve">De los diagnósticos secundarios solo se usan las 31 categorías del índice de Elixhauser.</w:t>
      </w:r>
    </w:p>
    <w:p>
      <w:pPr>
        <w:pStyle w:val="ListParagraph"/>
        <w:numPr>
          <w:ilvl w:val="0"/>
          <w:numId w:val="2"/>
        </w:numPr>
        <w:spacing w:after="80" w:line="264"/>
      </w:pPr>
      <w:r>
        <w:t xml:space="preserve">No se usan el riesgo de mortalidad, la severidad ni el peso del GRD, ni los procedimientos, tampoco en un análisis de sensibilidad (R6).</w:t>
      </w:r>
    </w:p>
    <w:p>
      <w:pPr>
        <w:pStyle w:val="ListParagraph"/>
        <w:numPr>
          <w:ilvl w:val="0"/>
          <w:numId w:val="2"/>
        </w:numPr>
        <w:spacing w:after="80" w:line="264"/>
      </w:pPr>
      <w:r>
        <w:t xml:space="preserve">Se repitió el análisis sin las cinco categorías más propensas a ser complicaciones (sección 8). No se hizo dentro del proyecto: se corrió después, como análisis 2.1 de la enmienda 01, registrada antes de correr. El indicador resiste: entre el 91 y el 100 % de los hospitales conserva su zona del embudo.</w:t>
      </w:r>
    </w:p>
    <w:p>
      <w:pPr>
        <w:pStyle w:val="ListParagraph"/>
        <w:numPr>
          <w:ilvl w:val="0"/>
          <w:numId w:val="2"/>
        </w:numPr>
        <w:spacing w:after="80" w:line="264"/>
      </w:pPr>
      <w:r>
        <w:t xml:space="preserve">Se muestra el índice de exhaustividad de codificación junto al O/E (sección 11.3) y se declara la limitación en el informe final.</w:t>
      </w:r>
    </w:p>
    <w:p>
      <w:pPr>
        <w:spacing w:after="120" w:line="276"/>
      </w:pPr>
      <w:r>
        <w:rPr>
          <w:b/>
          <w:bCs/>
        </w:rPr>
        <w:t xml:space="preserve">Dónde se comprobó cada regla.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8424"/>
      </w:tblGrid>
      <w:tr>
        <w:trPr>
          <w:tblHeader/>
        </w:trPr>
        <w:tc>
          <w:tcPr>
            <w:tcW w:type="dxa" w:w="9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c>
          <w:tcPr>
            <w:tcW w:type="dxa" w:w="842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Dónde se comprobó (Fases 2 a 5)</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R1</w:t>
            </w:r>
          </w:p>
        </w:tc>
        <w:tc>
          <w:tcPr>
            <w:tcW w:type="dxa" w:w="842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Fase 2 (prueba de fuga de cada columna) y Fase 3 (las columnas prohibidas no pasan a la Capa Plata).</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R2</w:t>
            </w:r>
          </w:p>
        </w:tc>
        <w:tc>
          <w:tcPr>
            <w:tcW w:type="dxa" w:w="842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Fase 4: puerta de control G3 y prueba de identificación del hospital.</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R3</w:t>
            </w:r>
          </w:p>
        </w:tc>
        <w:tc>
          <w:tcPr>
            <w:tcW w:type="dxa" w:w="842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Fase 2 (con el diagnóstico principal, la prevalencia de «tumor sólido» sube 109 %) y Fase 3.</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R4</w:t>
            </w:r>
          </w:p>
        </w:tc>
        <w:tc>
          <w:tcPr>
            <w:tcW w:type="dxa" w:w="842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Fase 3 (Capa Bronce) y reproducción independiente: las huellas SHA-256 de los archivos coinciden.</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R5</w:t>
            </w:r>
          </w:p>
        </w:tc>
        <w:tc>
          <w:tcPr>
            <w:tcW w:type="dxa" w:w="842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Fase 3: tabla de valores anulados por variable y año.</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R6</w:t>
            </w:r>
          </w:p>
        </w:tc>
        <w:tc>
          <w:tcPr>
            <w:tcW w:type="dxa" w:w="842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Fase 2: en 2023 el riesgo de mortalidad del GRD ordena a los pacientes con AUC 0,876 y la severidad con 0,861, sobre el umbral de fuga de 0,85. No pasan a la Capa Plata.</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R7</w:t>
            </w:r>
          </w:p>
        </w:tc>
        <w:tc>
          <w:tcPr>
            <w:tcW w:type="dxa" w:w="842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2024 quedó sellado en la Fase 3 y se abrió una sola vez en la Fase 5 (19-10-2026). Un prototipo anterior ya se había evaluado en 2024 el 27-09-2026 (incidente I-01): 2024 no fue un año ciego para el autor.</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R8</w:t>
            </w:r>
          </w:p>
        </w:tc>
        <w:tc>
          <w:tcPr>
            <w:tcW w:type="dxa" w:w="842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Fase 3: exclusión EX07 (los fallecidos salen de la cohorte de estadía).</w:t>
            </w:r>
          </w:p>
        </w:tc>
      </w:tr>
    </w:tbl>
    <w:p>
      <w:pPr>
        <w:spacing w:after="80"/>
      </w:pPr>
    </w:p>
    <w:p>
      <w:pPr>
        <w:pStyle w:val="Heading2"/>
      </w:pPr>
      <w:r>
        <w:t xml:space="preserve">5.2 Las ocho categorías de las columnas</w:t>
      </w:r>
    </w:p>
    <w:p>
      <w:pPr>
        <w:spacing w:after="120" w:line="276"/>
      </w:pPr>
      <w:r>
        <w:t xml:space="preserve">Cada una de las 129 columnas cae en una de estas ocho categorías. Solo una, FEATURE_BASAL, entra al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9"/>
        <w:gridCol w:w="1498"/>
        <w:gridCol w:w="4773"/>
      </w:tblGrid>
      <w:tr>
        <w:trPr>
          <w:tblHeader/>
        </w:trPr>
        <w:tc>
          <w:tcPr>
            <w:tcW w:type="dxa" w:w="308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Categoría</w:t>
            </w:r>
          </w:p>
        </w:tc>
        <w:tc>
          <w:tcPr>
            <w:tcW w:type="dxa" w:w="149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¿Entra al modelo?</w:t>
            </w:r>
          </w:p>
        </w:tc>
        <w:tc>
          <w:tcPr>
            <w:tcW w:type="dxa" w:w="477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w:t>
            </w:r>
          </w:p>
        </w:tc>
      </w:tr>
      <w:tr>
        <w:trPr>
          <w:cantSplit/>
        </w:trPr>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FEATURE_BASAL</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Sí</w:t>
            </w:r>
          </w:p>
        </w:tc>
        <w:tc>
          <w:tcPr>
            <w:tcW w:type="dxa" w:w="4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Datos que se conocen cuando el paciente llega: edad, sexo, forma de ingreso, procedencia y antecedentes clínicos. Los diagnósticos entran con reserva (R1).</w:t>
            </w:r>
          </w:p>
        </w:tc>
      </w:tr>
      <w:tr>
        <w:trPr>
          <w:cantSplit/>
        </w:trPr>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TARGET</w:t>
            </w:r>
          </w:p>
        </w:tc>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es lo que se predice</w:t>
            </w:r>
          </w:p>
        </w:tc>
        <w:tc>
          <w:tcPr>
            <w:tcW w:type="dxa" w:w="4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 el paciente falleció y cuántos días estuvo internado. El modelo aprende de estos resultados, pero nunca los usa como predictor.</w:t>
            </w:r>
          </w:p>
        </w:tc>
      </w:tr>
      <w:tr>
        <w:trPr>
          <w:cantSplit/>
        </w:trPr>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FUENTE_DERIVADA</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se transforma</w:t>
            </w:r>
          </w:p>
        </w:tc>
        <w:tc>
          <w:tcPr>
            <w:tcW w:type="dxa" w:w="4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Datos crudos que se convierten en otra variable. La fecha de nacimiento sirve para calcular la edad y luego se borra.</w:t>
            </w:r>
          </w:p>
        </w:tc>
      </w:tr>
      <w:tr>
        <w:trPr>
          <w:cantSplit/>
        </w:trPr>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FILTRO_COHORTE</w:t>
            </w:r>
          </w:p>
        </w:tc>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solo define quién se analiza</w:t>
            </w:r>
          </w:p>
        </w:tc>
        <w:tc>
          <w:tcPr>
            <w:tcW w:type="dxa" w:w="4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Sirve para incluir o excluir pacientes. El código GRD saca a los recién nacidos (MDC 15) y a los egresos obstétricos sin comorbilidad (MDC 14); el tipo de actividad saca lo ambulatorio, y el tipo de alta, los episodios sin desenlace conocido.</w:t>
            </w:r>
          </w:p>
        </w:tc>
      </w:tr>
      <w:tr>
        <w:trPr>
          <w:cantSplit/>
        </w:trPr>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LLAVE_AGREGACION</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solo organiza resultados</w:t>
            </w:r>
          </w:p>
        </w:tc>
        <w:tc>
          <w:tcPr>
            <w:tcW w:type="dxa" w:w="4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Código del hospital, Servicio de Salud y año. Se usan al final para agrupar el O/E por establecimiento.</w:t>
            </w:r>
          </w:p>
        </w:tc>
      </w:tr>
      <w:tr>
        <w:trPr>
          <w:cantSplit/>
        </w:trPr>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PROHIBIDA_FUGA</w:t>
            </w:r>
          </w:p>
        </w:tc>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daría la respuesta</w:t>
            </w:r>
          </w:p>
        </w:tc>
        <w:tc>
          <w:tcPr>
            <w:tcW w:type="dxa" w:w="4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Datos que se generan durante la hospitalización o al alta, y el riesgo de mortalidad, la severidad y el peso del GRD.</w:t>
            </w:r>
          </w:p>
        </w:tc>
      </w:tr>
      <w:tr>
        <w:trPr>
          <w:cantSplit/>
        </w:trPr>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DESCARTAR</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sin información útil</w:t>
            </w:r>
          </w:p>
        </w:tc>
        <w:tc>
          <w:tcPr>
            <w:tcW w:type="dxa" w:w="4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Columnas vacías en todos los años o con contenido que no corresponde a ningún código. Incluye FECHAPROCEDIMIENTO1, una de las dos columnas con valores con forma de RUT.</w:t>
            </w:r>
          </w:p>
        </w:tc>
      </w:tr>
      <w:tr>
        <w:trPr>
          <w:cantSplit/>
        </w:trPr>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AUDITORIA_SENSIBILIDAD</w:t>
            </w:r>
          </w:p>
        </w:tc>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w:t>
            </w:r>
          </w:p>
        </w:tc>
        <w:tc>
          <w:tcPr>
            <w:tcW w:type="dxa" w:w="4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Datos personales sensibles: etnia, nacionalidad, previsión, provincia y comuna. No se usan para predecir; solo se describen de forma agregada. El nombre viene del diccionario de datos y no implica un análisis de sensibilidad.</w:t>
            </w:r>
          </w:p>
        </w:tc>
      </w:tr>
    </w:tbl>
    <w:p>
      <w:pPr>
        <w:spacing w:after="80"/>
      </w:pPr>
    </w:p>
    <w:p>
      <w:pPr>
        <w:pStyle w:val="Heading2"/>
      </w:pPr>
      <w:r>
        <w:t xml:space="preserve">5.3 Estado de las variables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2"/>
        <w:gridCol w:w="2527"/>
        <w:gridCol w:w="3931"/>
      </w:tblGrid>
      <w:tr>
        <w:trPr>
          <w:tblHeader/>
        </w:trPr>
        <w:tc>
          <w:tcPr>
            <w:tcW w:type="dxa" w:w="290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252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Categoría</w:t>
            </w:r>
          </w:p>
        </w:tc>
        <w:tc>
          <w:tcPr>
            <w:tcW w:type="dxa" w:w="393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Nota</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Edad, sexo y fin de semana</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FEATURE_BASAL</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 conocen al ingresar y entran al modelo. El mes y el día de la semana no se usan: la Fase 2 midió que no aportan.</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Tipo de ingreso (urgencia o programado) y procedencia</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FEATURE_BASAL</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Entran al modelo. La procedencia entra en dos niveles: TIPO_PROCEDENCIA y su agrupación PROCEDENCIA_AGR (urgencia, programado o derivado de otro hospital).</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Nivel de cuidado al ingreso</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FEATURE_BASAL</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Entra al modelo: marca si el paciente ingresó a una unidad de cuidados especiales (UCI, UTI o intermedios). Es lo único que se toma del servicio de ingreso.</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Diagnóstico principal en dos niveles y 31 indicadores de Elixhauser</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FEATURE_BASAL, con reserva</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 codifican al egreso. Ver R1.</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Hospitalizaciones en los últimos 12 meses y días desde el egreso previo</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se usan</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Decisión 1: se pueden calcular, pero no mejoran la predicción y el identificador cambia de sistema entre 2020 y 2021. No se construyen en la Capa Oro.</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Servicio de ingreso</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entra</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Decisión 2: cambia mucho entre años y depende de la estructura de cada hospital. Solo se deriva de él el nivel de cuidado al ingreso.</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Especialidad médica y paciente derivado</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entran</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Decisión 2: la especialidad cambia mucho entre años y el paciente derivado se asocia con el hospital (R2).</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Procedimientos, cirugías, fechas de intervención, medicamentos y fecha de alta</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PROHIBIDA_FUGA</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Ocurren durante la hospitalización o al alta. La fecha de alta solo sirve para calcular la estadía.</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IR_29301_MORTALIDAD</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PROHIBIDA_FUGA</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Prohibida siempre, tampoco en sensibilidad (R6).</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Severidad y peso del GRD</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PROHIBIDA_FUGA</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Prohibidas siempre, tampoco en sensibilidad (R6, decisión 14).</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Código GRD</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FILTRO_COHORTE</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Solo se usa para excluir pacientes.</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Código del hospital, Servicio de Salud y año</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LLAVE_AGREGACION</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Solo para agrupar resultados (R2).</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Fecha de nacimiento exacta</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FUENTE_DERIVADA</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 usa para la edad y después se borra.</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Etnia, nacionalidad, previsión, provincia y comuna</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AUDITORIA_SENSIBILIDAD</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entran al modelo. Provincia y comuna, además, identifican al hospital.</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Mortalidad y estadía</w:t>
            </w:r>
          </w:p>
        </w:tc>
        <w:tc>
          <w:tcPr>
            <w:tcW w:type="dxa" w:w="252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TARGET</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Son los resultados a predecir.</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Columnas vacías o sin contenido válido</w:t>
            </w:r>
          </w:p>
        </w:tc>
        <w:tc>
          <w:tcPr>
            <w:tcW w:type="dxa" w:w="252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DESCARTAR</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Incluye una de las columnas con valores con forma de RUT.</w:t>
            </w:r>
          </w:p>
        </w:tc>
      </w:tr>
    </w:tbl>
    <w:p>
      <w:pPr>
        <w:spacing w:after="80"/>
      </w:pPr>
    </w:p>
    <w:p>
      <w:pPr>
        <w:spacing w:after="120" w:line="276"/>
      </w:pPr>
      <w:r>
        <w:t xml:space="preserve">En total los dos modelos usan las mismas </w:t>
      </w:r>
      <w:r>
        <w:rPr>
          <w:b/>
          <w:bCs/>
        </w:rPr>
        <w:t xml:space="preserve">40 variables</w:t>
      </w:r>
      <w:r>
        <w:t xml:space="preserve">: 9 basales (edad, sexo, fin de semana, tipo de ingreso, TIPO_PROCEDENCIA, PROCEDENCIA_AGR, nivel de cuidado al ingreso y el diagnóstico principal en dos niveles) más las 31 categorías de Elixhauser.</w:t>
      </w:r>
    </w:p>
    <w:p>
      <w:pPr>
        <w:pStyle w:val="Heading1"/>
      </w:pPr>
      <w:r>
        <w:t xml:space="preserve">6. Arquitectura de procesamiento por capas</w:t>
      </w:r>
    </w:p>
    <w:p>
      <w:pPr>
        <w:spacing w:after="120" w:line="276"/>
      </w:pPr>
      <w:r>
        <w:t xml:space="preserve">El procesamiento tiene capas secuenciales. Cada capa parte de la anterior y ninguna vuelve atrás.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059"/>
        <w:gridCol w:w="5991"/>
      </w:tblGrid>
      <w:tr>
        <w:trPr>
          <w:tblHeader/>
        </w:trPr>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Capa</w:t>
            </w:r>
          </w:p>
        </w:tc>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Formato</w:t>
            </w:r>
          </w:p>
        </w:tc>
        <w:tc>
          <w:tcPr>
            <w:tcW w:type="dxa" w:w="599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contiene y qué garantiza</w:t>
            </w:r>
          </w:p>
        </w:tc>
      </w:tr>
      <w:tr>
        <w:trPr>
          <w:cantSplit/>
        </w:trPr>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Cruda</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Archivos .txt originales de FONASA</w:t>
            </w:r>
          </w:p>
        </w:tc>
        <w:tc>
          <w:tcPr>
            <w:tcW w:type="dxa" w:w="59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Los 6 archivos originales. No se modifican y son la única fuente de verdad. Después de la ingesta el código tiene prohibido volver a leerlos. No es una capa de procesamiento.</w:t>
            </w:r>
          </w:p>
          <w:p>
            <w:pPr>
              <w:spacing w:after="40" w:line="252"/>
            </w:pPr>
            <w:r>
              <w:rPr>
                <w:b w:val="false"/>
                <w:bCs w:val="false"/>
                <w:sz w:val="19"/>
                <w:szCs w:val="19"/>
              </w:rPr>
              <w:t xml:space="preserve">Como contiene fechas exactas (sección 14) y valores con forma de RUT (sección 7, etapa 2), queda con acceso restringido, no se copia y no se sube a GitHub.</w:t>
            </w:r>
          </w:p>
        </w:tc>
      </w:tr>
      <w:tr>
        <w:trPr>
          <w:cantSplit/>
        </w:trPr>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Bronce</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Parquet, por año de archivo</w:t>
            </w:r>
          </w:p>
        </w:tc>
        <w:tc>
          <w:tcPr>
            <w:tcW w:type="dxa" w:w="59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Datos leídos tal como vienen, todo como texto. Las dos columnas con valores con forma de RUT se descartan aquí, en los seis años, sin guardar su contenido. Las líneas que no se pueden leer se guardan aparte con su número de línea y su número de campos, nunca con su contenido.</w:t>
            </w:r>
          </w:p>
          <w:p>
            <w:pPr>
              <w:spacing w:after="40" w:line="252"/>
            </w:pPr>
            <w:r>
              <w:rPr>
                <w:b w:val="false"/>
                <w:bCs w:val="false"/>
                <w:sz w:val="19"/>
                <w:szCs w:val="19"/>
              </w:rPr>
              <w:t xml:space="preserve">Garantía: filas leídas más filas rechazadas es igual al total de líneas del archivo. Se cumplió en los seis años (una línea rechazada, en 2022).</w:t>
            </w:r>
          </w:p>
        </w:tc>
      </w:tr>
      <w:tr>
        <w:trPr>
          <w:cantSplit/>
        </w:trPr>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Plata</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Parquet, por año de egreso</w:t>
            </w:r>
          </w:p>
        </w:tc>
        <w:tc>
          <w:tcPr>
            <w:tcW w:type="dxa" w:w="59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Datos limpios y estandarizados: fechas convertidas, texto normalizado, valores imposibles anulados y episodios censurados identificados. El desenlace (tipo de alta, fecha de alta y estadía) va a un archivo aparte; el de 2024 quedó sellado hasta la Fase 5.</w:t>
            </w:r>
          </w:p>
          <w:p>
            <w:pPr>
              <w:spacing w:after="40" w:line="252"/>
            </w:pPr>
            <w:r>
              <w:rPr>
                <w:b w:val="false"/>
                <w:bCs w:val="false"/>
                <w:sz w:val="19"/>
                <w:szCs w:val="19"/>
              </w:rPr>
              <w:t xml:space="preserve">Garantía: ningún episodio desaparece sin quedar documentado.</w:t>
            </w:r>
          </w:p>
        </w:tc>
      </w:tr>
      <w:tr>
        <w:trPr>
          <w:cantSplit/>
        </w:trPr>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Oro</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Parquet</w:t>
            </w:r>
          </w:p>
        </w:tc>
        <w:tc>
          <w:tcPr>
            <w:tcW w:type="dxa" w:w="59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Variables finales para el modelo: edad, sexo, fin de semana, tipo de ingreso, procedencia, nivel de cuidado al ingreso, diagnóstico en dos niveles e indicadores de Elixhauser. No hay variables de historial (decisión 1).</w:t>
            </w:r>
          </w:p>
          <w:p>
            <w:pPr>
              <w:spacing w:after="40" w:line="252"/>
            </w:pPr>
            <w:r>
              <w:rPr>
                <w:b w:val="false"/>
                <w:bCs w:val="false"/>
                <w:sz w:val="19"/>
                <w:szCs w:val="19"/>
              </w:rPr>
              <w:t xml:space="preserve">La fecha de nacimiento se borra al calcular la edad. Garantía: ninguna variable prohibida está presente.</w:t>
            </w:r>
          </w:p>
        </w:tc>
      </w:tr>
      <w:tr>
        <w:trPr>
          <w:cantSplit/>
        </w:trPr>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Base de datos</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PostgreSQL</w:t>
            </w:r>
          </w:p>
        </w:tc>
        <w:tc>
          <w:tcPr>
            <w:tcW w:type="dxa" w:w="59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Solo guarda resultados agregados y el catálogo de hospitales (código y años en que cada uno trabaja con GRD). Ningún registro de paciente.</w:t>
            </w:r>
          </w:p>
          <w:p>
            <w:pPr>
              <w:spacing w:after="40" w:line="252"/>
            </w:pPr>
            <w:r>
              <w:rPr>
                <w:b w:val="false"/>
                <w:bCs w:val="false"/>
                <w:sz w:val="19"/>
                <w:szCs w:val="19"/>
              </w:rPr>
              <w:t xml:space="preserve">Los archivos de FONASA no traen el nivel de complejidad: se tomó del catálogo de establecimientos del DEIS 2025 (enmienda 02). Cargarlo a la base de la plataforma queda para la Fase 6.</w:t>
            </w:r>
          </w:p>
        </w:tc>
      </w:tr>
    </w:tbl>
    <w:p>
      <w:pPr>
        <w:spacing w:after="80"/>
      </w:pPr>
    </w:p>
    <w:p>
      <w:pPr>
        <w:pStyle w:val="Heading1"/>
      </w:pPr>
      <w:r>
        <w:t xml:space="preserve">7. Etapas del pipeline</w:t>
      </w:r>
    </w:p>
    <w:p>
      <w:pPr>
        <w:pStyle w:val="Heading3"/>
      </w:pPr>
      <w:r>
        <w:t xml:space="preserve">Etapa 1: validar el esquema</w:t>
      </w:r>
    </w:p>
    <w:p>
      <w:pPr>
        <w:spacing w:after="120" w:line="276"/>
      </w:pPr>
      <w:r>
        <w:t xml:space="preserve">Antes de procesar nada se verifica que cada archivo tenga exactamente las 129 columnas esperadas, con los nombres correctos. Si falta una, el proceso se detiene e indica cuál. Si aparece una desconocida, también se detiene hasta decidir qué hacer con ella. Los seis archivos cumplieron.</w:t>
      </w:r>
    </w:p>
    <w:p>
      <w:pPr>
        <w:pStyle w:val="Heading3"/>
      </w:pPr>
      <w:r>
        <w:t xml:space="preserve">Etapa 2: ingesta y datos sensibles (Capa Bronce)</w:t>
      </w:r>
    </w:p>
    <w:p>
      <w:pPr>
        <w:spacing w:after="120" w:line="276"/>
      </w:pPr>
      <w:r>
        <w:t xml:space="preserve">Los 6 archivos se convierten a Parquet y se leen sin corregir nada. Como los datos de FONASA no traen un identificador por registro, el sistema crea el ID_EPISODIO a partir del año del archivo, el número de línea y una huella digital del contenido de la fila. Si se procesa el mismo archivo dos veces, cada fila recibe el mismo identificador.</w:t>
      </w:r>
    </w:p>
    <w:p>
      <w:pPr>
        <w:spacing w:after="120" w:line="276"/>
      </w:pPr>
      <w:r>
        <w:t xml:space="preserve">En esta misma etapa se revisan todas las columnas buscando valores con estructura de identificador personal. Si aparece alguno, se aísla sin guardarlo en ningún registro y solo se anota cuántos hay y en qué columna. </w:t>
      </w:r>
      <w:r>
        <w:rPr>
          <w:b/>
          <w:bCs/>
        </w:rPr>
        <w:t xml:space="preserve">Resultado:</w:t>
      </w:r>
      <w:r>
        <w:t xml:space="preserve"> la Fase 2 encontró 22 valores con forma de RUT en dos columnas de 2019 (USOSPABELLON y FECHAPROCEDIMIENTO1). Solo esas dos columnas, donde ya se sabe que hay RUT, se descartan enteras en los seis años. Ninguna es predictor (la primera es PROHIBIDA_FUGA y la segunda DESCARTAR), así que no se pierde ninguna variable del modelo. En cualquier otra columna, un valor así no lleva a descartarla: el proceso se detiene para revisar el caso, sin guardar el valor, y si fuera un error de digitación se anularía solo ese valor (regla R5).</w:t>
      </w:r>
    </w:p>
    <w:p>
      <w:pPr>
        <w:pStyle w:val="Heading3"/>
      </w:pPr>
      <w:r>
        <w:t xml:space="preserve">Etapa 3: limpieza y estandarización (Capa Plata)</w:t>
      </w:r>
    </w:p>
    <w:p>
      <w:pPr>
        <w:pStyle w:val="ListParagraph"/>
        <w:numPr>
          <w:ilvl w:val="0"/>
          <w:numId w:val="2"/>
        </w:numPr>
        <w:spacing w:after="80" w:line="264"/>
      </w:pPr>
      <w:r>
        <w:t xml:space="preserve">Conversión de fechas a un formato único (los archivos usan dos).</w:t>
      </w:r>
    </w:p>
    <w:p>
      <w:pPr>
        <w:pStyle w:val="ListParagraph"/>
        <w:numPr>
          <w:ilvl w:val="0"/>
          <w:numId w:val="2"/>
        </w:numPr>
        <w:spacing w:after="80" w:line="264"/>
      </w:pPr>
      <w:r>
        <w:t xml:space="preserve">Corrección del separador decimal (coma en vez de punto).</w:t>
      </w:r>
    </w:p>
    <w:p>
      <w:pPr>
        <w:pStyle w:val="ListParagraph"/>
        <w:numPr>
          <w:ilvl w:val="0"/>
          <w:numId w:val="2"/>
        </w:numPr>
        <w:spacing w:after="80" w:line="264"/>
      </w:pPr>
      <w:r>
        <w:t xml:space="preserve">Unificación de la categoría OTRO de la etnia, que viene escrita de dos formas distintas. Se hace aunque la etnia no entre al modelo.</w:t>
      </w:r>
    </w:p>
    <w:p>
      <w:pPr>
        <w:pStyle w:val="ListParagraph"/>
        <w:numPr>
          <w:ilvl w:val="0"/>
          <w:numId w:val="2"/>
        </w:numPr>
        <w:spacing w:after="80" w:line="264"/>
      </w:pPr>
      <w:r>
        <w:t xml:space="preserve">Normalización de diagnósticos: mayúsculas, sin tildes, sin puntos internos y sin espacios extra.</w:t>
      </w:r>
    </w:p>
    <w:p>
      <w:pPr>
        <w:pStyle w:val="ListParagraph"/>
        <w:numPr>
          <w:ilvl w:val="0"/>
          <w:numId w:val="2"/>
        </w:numPr>
        <w:spacing w:after="80" w:line="264"/>
      </w:pPr>
      <w:r>
        <w:t xml:space="preserve">Anulación selectiva de valores imposibles: se anula solo el valor malo y el episodio se conserva.</w:t>
      </w:r>
    </w:p>
    <w:p>
      <w:pPr>
        <w:pStyle w:val="ListParagraph"/>
        <w:numPr>
          <w:ilvl w:val="0"/>
          <w:numId w:val="2"/>
        </w:numPr>
        <w:spacing w:after="80" w:line="264"/>
      </w:pPr>
      <w:r>
        <w:t xml:space="preserve">Identificación de episodios censurados: los traslados a otro hospital y los demás tipos de alta sin desenlace confirmado quedan marcados (sección 9.2).</w:t>
      </w:r>
    </w:p>
    <w:p>
      <w:pPr>
        <w:pStyle w:val="ListParagraph"/>
        <w:numPr>
          <w:ilvl w:val="0"/>
          <w:numId w:val="2"/>
        </w:numPr>
        <w:spacing w:after="80" w:line="264"/>
      </w:pPr>
      <w:r>
        <w:t xml:space="preserve">Revisión de filas repetidas y de episodios del mismo paciente con las mismas fechas. Se cuentan y se documentan.</w:t>
      </w:r>
    </w:p>
    <w:p>
      <w:pPr>
        <w:pStyle w:val="ListParagraph"/>
        <w:numPr>
          <w:ilvl w:val="0"/>
          <w:numId w:val="2"/>
        </w:numPr>
        <w:spacing w:after="80" w:line="264"/>
      </w:pPr>
      <w:r>
        <w:t xml:space="preserve">Conteo de datos faltantes por variable y por año.</w:t>
      </w:r>
    </w:p>
    <w:p>
      <w:pPr>
        <w:pStyle w:val="Heading3"/>
      </w:pPr>
      <w:r>
        <w:t xml:space="preserve">Etapa 4: ingeniería de características (Capa Oro)</w:t>
      </w:r>
    </w:p>
    <w:p>
      <w:pPr>
        <w:spacing w:after="120" w:line="276"/>
      </w:pPr>
      <w:r>
        <w:t xml:space="preserve">Se construyen las variables del modelo. El sistema mantiene la lista de variables prohibidas y, si alguna aparece entre los predictores, el proceso se detiene con un mensaje de error explícito.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2"/>
        <w:gridCol w:w="2153"/>
        <w:gridCol w:w="2246"/>
        <w:gridCol w:w="2059"/>
      </w:tblGrid>
      <w:tr>
        <w:trPr>
          <w:tblHeader/>
        </w:trPr>
        <w:tc>
          <w:tcPr>
            <w:tcW w:type="dxa" w:w="290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2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mide</w:t>
            </w:r>
          </w:p>
        </w:tc>
        <w:tc>
          <w:tcPr>
            <w:tcW w:type="dxa" w:w="224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Fuente</w:t>
            </w:r>
          </w:p>
        </w:tc>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EDAD_ANIOS</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Edad exacta al ingreso</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FECHA_NACIMIENTO y FECHA_INGRESO</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Entra</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SEXO</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Sexo registrado</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SEXO</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Entra</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ES_FIN_SEMANA</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 el ingreso fue sábado o domingo</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FECHA_INGRESO</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Entra (señal baja)</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MES_INGRESO</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Mes del ingreso</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FECHA_INGRESO</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se usa: sin aporte medido en la Fase 2</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TIPO_INGRESO</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Urgencia o programado</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TIPO_INGRESO</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Entra</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TIPO_PROCEDENCIA y PROCEDENCIA_AGR</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 dónde viene el paciente, en detalle y agrupado</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TIPO_PROCEDENCIA</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Entran</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NIVEL_CUIDADO_INGRESO</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 ingresó a una unidad de cuidados especiales</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SERVICIOINGRESO</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Entra</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N_EGRESOS_12M,</w:t>
            </w:r>
          </w:p>
          <w:p>
            <w:pPr>
              <w:spacing w:after="40" w:line="252"/>
            </w:pPr>
            <w:r>
              <w:rPr>
                <w:b/>
                <w:bCs/>
                <w:sz w:val="19"/>
                <w:szCs w:val="19"/>
              </w:rPr>
              <w:t xml:space="preserve">DIAS_DESDE_EGRESO_PREVIO e</w:t>
            </w:r>
          </w:p>
          <w:p>
            <w:pPr>
              <w:spacing w:after="40" w:line="252"/>
            </w:pPr>
            <w:r>
              <w:rPr>
                <w:b/>
                <w:bCs/>
                <w:sz w:val="19"/>
                <w:szCs w:val="19"/>
              </w:rPr>
              <w:t xml:space="preserve">HISTORIAL_INCOMPLETO</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Historial de hospitalizaciones previas</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CIP_ENCRIPTADO e historial</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se usan ni se calculan (decisión 1)</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CIE10_3C</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Primeros 3 caracteres del diagnóstico principal</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DIAGNOSTICO1</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Entra con reserva. Los códigos con menos de 100 egresos en 2019–2022 pasan a un nivel común (RARO)</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GRUPO_CLINICO</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Capítulo CIE-10 del diagnóstico principal</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DIAGNOSTICO1</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Entra con reserva</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ELIX_01 a ELIX_31</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31 indicadores de enfermedades crónicas previas</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DIAGNOSTICO2 a DIAGNOSTICO35</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Entran con reserva</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PUNTAJE_VAN_WALRAVEN</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Puntaje ponderado que resume el nivel total de comorbilidad (van Walraven et al., 2009)</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ELIX_01 a ELIX_31</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Solo en la línea base y como referencia: es una combinación exacta de las 31 categorías</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N_DX_SECUNDARIOS</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Cantidad de diagnósticos secundarios registrados</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DIAGNOSTICO2 a DIAGNOSTICO35</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Solo para el índice de exhaustividad. No es predictor</w:t>
            </w:r>
          </w:p>
        </w:tc>
      </w:tr>
      <w:tr>
        <w:trPr>
          <w:cantSplit/>
        </w:trPr>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MORTALIDAD_BINARIA</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 el paciente falleció (1) o sobrevivió (0)</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TIPOALTA</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Resultado a predecir</w:t>
            </w:r>
          </w:p>
        </w:tc>
      </w:tr>
      <w:tr>
        <w:trPr>
          <w:cantSplit/>
        </w:trPr>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ESTANCIA</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Días de hospitalización, recortados en 53 (sección 10.2)</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FECHAALTA menos FECHA_INGRESO</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Resultado a predecir</w:t>
            </w:r>
          </w:p>
        </w:tc>
      </w:tr>
    </w:tbl>
    <w:p>
      <w:pPr>
        <w:spacing w:after="80"/>
      </w:pPr>
    </w:p>
    <w:p>
      <w:pPr>
        <w:spacing w:after="120" w:line="276"/>
      </w:pPr>
      <w:r>
        <w:rPr>
          <w:b/>
          <w:bCs/>
        </w:rPr>
        <w:t xml:space="preserve">Sobre el diagnóstico principal.</w:t>
      </w:r>
      <w:r>
        <w:t xml:space="preserve"> Tiene más de 9.500 códigos distintos y muchos tienen muy pocos casos. Si se usaran todos, el modelo no aprendería bien. Si se usaran solo categorías amplias, se perdería información clínica. Por eso se usan dos niveles: una categoría amplia y un código de 3 caracteres.</w:t>
      </w:r>
    </w:p>
    <w:p>
      <w:pPr>
        <w:spacing w:after="120" w:line="276"/>
      </w:pPr>
      <w:r>
        <w:rPr>
          <w:b/>
          <w:bCs/>
        </w:rPr>
        <w:t xml:space="preserve">Sobre el historial del paciente.</w:t>
      </w:r>
      <w:r>
        <w:t xml:space="preserve"> No se usa en el modelo. La Fase 2 comprobó que se puede calcular (el identificador es válido en el 99,8 % de los egresos de 2023), pero que no mejora la predicción (el AUC sube 0,000 y 0,003). Además, el sistema del identificador cambia entre 2020 y 2021, así que los pacientes de 2019 y 2020 no se pueden unir con los de 2021 en adelante. Por lo mismo, la marca HISTORIAL_INCOMPLETO no hizo falta.</w:t>
      </w:r>
    </w:p>
    <w:p>
      <w:pPr>
        <w:pStyle w:val="Heading1"/>
      </w:pPr>
      <w:r>
        <w:t xml:space="preserve">8. El índice de Elixhauser: el ajuste clave</w:t>
      </w:r>
    </w:p>
    <w:p>
      <w:pPr>
        <w:spacing w:after="120" w:line="276"/>
      </w:pPr>
      <w:r>
        <w:t xml:space="preserve">La parte más importante del ajuste por riesgo es medir las enfermedades que el paciente ya tenía. Para eso se usa el índice de Elixhauser, en la versión para códigos CIE-10 (Elixhauser et al., 1998; Quan et al., 2005). El sistema recorre hasta 34 diagnósticos secundarios por paciente y marca con 1 o 0 cuáles de las 31 categorías están presentes. Se calcula solo con los diagnósticos secundarios, nunca con el principal, que es el motivo del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Grupo</w:t>
            </w:r>
          </w:p>
        </w:tc>
        <w:tc>
          <w:tcPr>
            <w:tcW w:type="dxa" w:w="69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Categorías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Cardiovasculares</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Insuficiencia cardíaca, arritmias, valvulopatía, trastornos de la circulación pulmonar, enfermedad vascular periférica, hipertensión no complicada e hipertensión complicada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Neurológicas</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Parálisis y otros trastornos neurológicos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Respiratorias</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Enfermedad pulmonar crónica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Metabólicas y endocrinas</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Diabetes sin complicación, diabetes con complicación, hipotiroidismo, obesidad, trastornos de líquidos y electrolitos, pérdida de peso</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Renales y hepáticas</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Insuficiencia renal, enfermedad hepática, úlcera péptica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Oncológicas</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Linfoma, cáncer metastásico, tumor sólido sin metástasis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Hematológicas</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Coagulopatía, anemia por pérdida de sangre, anemia por deficiencia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Psiquiátricas y otras</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VIH/SIDA, artritis reumatoide, abuso de alcohol, abuso de drogas, psicosis, depresión</w:t>
            </w:r>
          </w:p>
        </w:tc>
      </w:tr>
    </w:tbl>
    <w:p>
      <w:pPr>
        <w:spacing w:after="80"/>
      </w:pPr>
    </w:p>
    <w:p>
      <w:pPr>
        <w:pStyle w:val="Heading2"/>
      </w:pPr>
      <w:r>
        <w:t xml:space="preserve">8.1 Por qué 31 variables y no un índice único</w:t>
      </w:r>
    </w:p>
    <w:p>
      <w:pPr>
        <w:spacing w:after="120" w:line="276"/>
      </w:pPr>
      <w:r>
        <w:t xml:space="preserve">El riesgo de combinar dos enfermedades no es la suma de los riesgos por separado. Con variables independientes, los modelos basados en árboles pueden descubrir esas combinaciones solos. Un índice único las esconde.</w:t>
      </w:r>
    </w:p>
    <w:p>
      <w:pPr>
        <w:pStyle w:val="Heading2"/>
      </w:pPr>
      <w:r>
        <w:t xml:space="preserve">8.2 Las categorías que podrían ser complicaciones</w:t>
      </w:r>
    </w:p>
    <w:p>
      <w:pPr>
        <w:spacing w:after="120" w:line="276"/>
      </w:pPr>
      <w:r>
        <w:t xml:space="preserve">Como los datos no dicen si un diagnóstico estaba presente al ingreso, algunas categorías pueden registrar complicaciones de la hospitalización y no enfermedades previas. La lista de la Fase 1 para el análisis de sensibilidad son cinco: </w:t>
      </w:r>
      <w:r>
        <w:rPr>
          <w:b/>
          <w:bCs/>
        </w:rPr>
        <w:t xml:space="preserve">trastornos de la circulación pulmonar (ELIX_04), coagulopatía (ELIX_22), pérdida de peso (ELIX_24), trastornos de líquidos y electrolitos (ELIX_25) y anemia por pérdida de sangre (ELIX_26)</w:t>
      </w:r>
      <w:r>
        <w:t xml:space="preserve">. La Fase 2 midió que cuatro de ellas están entre las cinco con mayor índice de complicación de la base completa. El análisis sin estas cinco es el 2.1 de la enmienda 01 (sección 10.5).</w:t>
      </w:r>
    </w:p>
    <w:p>
      <w:pPr>
        <w:pStyle w:val="Heading1"/>
      </w:pPr>
      <w:r>
        <w:t xml:space="preserve">9. Definición de la cohorte</w:t>
      </w:r>
    </w:p>
    <w:p>
      <w:pPr>
        <w:pStyle w:val="Heading2"/>
      </w:pPr>
      <w:r>
        <w:t xml:space="preserve">9.1 Qué población se analiza</w:t>
      </w:r>
    </w:p>
    <w:p>
      <w:pPr>
        <w:pStyle w:val="ListParagraph"/>
        <w:numPr>
          <w:ilvl w:val="0"/>
          <w:numId w:val="2"/>
        </w:numPr>
        <w:spacing w:after="80" w:line="264"/>
      </w:pPr>
      <w:r>
        <w:rPr>
          <w:b/>
          <w:bCs/>
        </w:rPr>
        <w:t xml:space="preserve">Hospitales.</w:t>
      </w:r>
      <w:r>
        <w:t xml:space="preserve"> Entran los que operaban con GRD en cada año. La Fase 2 los contó en los datos: 65 hospitales en cada año de 2019 a 2022, 68 en 2023 y 72 en 2024. Cada hospital se compara solo en los años en que estaba en GRD; la lista por año es el catálogo de la Fase 3. Los códigos se contrastaron con el catálogo de establecimientos de FONASA (uno de 2024 no figura) y con el catálogo oficial del DEIS 2025, que aporta el nivel de complejidad, un dato que los archivos de FONASA no traen. Según el DEIS, los 72 son 52 hospitales generales de alta complejidad, 14 de mediana complejidad, 3 institutos de especialidad y 3 pediátricos (enmienda 02).</w:t>
      </w:r>
    </w:p>
    <w:p>
      <w:pPr>
        <w:pStyle w:val="ListParagraph"/>
        <w:numPr>
          <w:ilvl w:val="0"/>
          <w:numId w:val="2"/>
        </w:numPr>
        <w:spacing w:after="80" w:line="264"/>
      </w:pPr>
      <w:r>
        <w:rPr>
          <w:b/>
          <w:bCs/>
        </w:rPr>
        <w:t xml:space="preserve">Edad.</w:t>
      </w:r>
      <w:r>
        <w:t xml:space="preserve"> Solo adultos, de 18 años o más (decisión 5, adoptada). Los patrones de mortalidad y estadía en niños son distintos y no conviene mezclarlos. La Fase 2 midió que incluir a menores y recién nacidos no mejora el modelo de los adultos y tampoco sirve para los niños. Por eso los 3 hospitales pediátricos quedan fuera del indicador.</w:t>
      </w:r>
    </w:p>
    <w:p>
      <w:pPr>
        <w:pStyle w:val="Heading2"/>
      </w:pPr>
      <w:r>
        <w:t xml:space="preserve">9.2 Qué hacemos con cada tipo de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tblHeader/>
        </w:trPr>
        <w:tc>
          <w:tcPr>
            <w:tcW w:type="dxa" w:w="299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Tipo de alta</w:t>
            </w:r>
          </w:p>
        </w:tc>
        <w:tc>
          <w:tcPr>
            <w:tcW w:type="dxa" w:w="636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Tratamiento</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Fallecido</w:t>
            </w:r>
          </w:p>
        </w:tc>
        <w:tc>
          <w:tcPr>
            <w:tcW w:type="dxa" w:w="63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Mortalidad igual a 1. Entra al modelo de mortalidad y no al de estadía.</w:t>
            </w:r>
          </w:p>
        </w:tc>
      </w:tr>
      <w:tr>
        <w:trPr>
          <w:cantSplit/>
        </w:trPr>
        <w:tc>
          <w:tcPr>
            <w:tcW w:type="dxa" w:w="299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Alta médica (a domicilio)</w:t>
            </w:r>
          </w:p>
        </w:tc>
        <w:tc>
          <w:tcPr>
            <w:tcW w:type="dxa" w:w="63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Mortalidad igual a 0. Entra a los dos modelos.</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Alta voluntaria y fuga del paciente</w:t>
            </w:r>
          </w:p>
        </w:tc>
        <w:tc>
          <w:tcPr>
            <w:tcW w:type="dxa" w:w="63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Mortalidad igual a 0. Entran a los dos modelos. La enmienda 02 las sacó del modelo de estadía como prueba y el indicador no cambió.</w:t>
            </w:r>
          </w:p>
        </w:tc>
      </w:tr>
      <w:tr>
        <w:trPr>
          <w:cantSplit/>
        </w:trPr>
        <w:tc>
          <w:tcPr>
            <w:tcW w:type="dxa" w:w="299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Traslado a otro hospital (derivación a otro hospital, a una institución privada o a otros centros)</w:t>
            </w:r>
          </w:p>
        </w:tc>
        <w:tc>
          <w:tcPr>
            <w:tcW w:type="dxa" w:w="63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Censurado. Sale del entrenamiento y del cálculo del O/E. Su desenlace no se rastrea (sección 9.4). La tasa de traslado saliente de cada hospital se muestra junto al O/E.</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Hospitalización domiciliaria</w:t>
            </w:r>
          </w:p>
        </w:tc>
        <w:tc>
          <w:tcPr>
            <w:tcW w:type="dxa" w:w="63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Censurado: la atención sigue fuera del hospital y el desenlace no se conoce.</w:t>
            </w:r>
          </w:p>
        </w:tc>
      </w:tr>
      <w:tr>
        <w:trPr>
          <w:cantSplit/>
        </w:trPr>
        <w:tc>
          <w:tcPr>
            <w:tcW w:type="dxa" w:w="299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Traslado entrante (llega desde otro hospital)</w:t>
            </w:r>
          </w:p>
        </w:tc>
        <w:tc>
          <w:tcPr>
            <w:tcW w:type="dxa" w:w="63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 marca con TIPO_PROCEDENCIA, se conserva y </w:t>
            </w:r>
            <w:r>
              <w:rPr>
                <w:b/>
                <w:bCs/>
                <w:sz w:val="19"/>
                <w:szCs w:val="19"/>
              </w:rPr>
              <w:t xml:space="preserve">entra a los modelos y al O/E</w:t>
            </w:r>
            <w:r>
              <w:rPr>
                <w:b w:val="false"/>
                <w:bCs w:val="false"/>
                <w:sz w:val="19"/>
                <w:szCs w:val="19"/>
              </w:rPr>
              <w:t xml:space="preserve">, ajustado por esa variable (decisión 16). Se informa la proporción de traslados entrantes de cada hospital. La versión 2 decía que no entraba: ver sección 9.4.</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Otros tipos (no identificada o desconocido)</w:t>
            </w:r>
          </w:p>
        </w:tc>
        <w:tc>
          <w:tcPr>
            <w:tcW w:type="dxa" w:w="63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Censurados. La Fase 2 listó los 12 valores de TIPOALTA y cada uno tiene su tratamiento en </w:t>
            </w:r>
            <w:r>
              <w:rPr>
                <w:rFonts w:ascii="Consolas" w:cs="Consolas" w:eastAsia="Consolas" w:hAnsi="Consolas"/>
                <w:b w:val="false"/>
                <w:bCs w:val="false"/>
                <w:sz w:val="19"/>
                <w:szCs w:val="19"/>
              </w:rPr>
              <w:t xml:space="preserve">tipoalta_roles.csv</w:t>
            </w:r>
            <w:r>
              <w:rPr>
                <w:b w:val="false"/>
                <w:bCs w:val="false"/>
                <w:sz w:val="19"/>
                <w:szCs w:val="19"/>
              </w:rPr>
              <w:t xml:space="preserve">. Regla por defecto: si no se puede confirmar que el paciente sobrevivió, se trata como censurado.</w:t>
            </w:r>
          </w:p>
        </w:tc>
      </w:tr>
    </w:tbl>
    <w:p>
      <w:pPr>
        <w:spacing w:after="80"/>
      </w:pPr>
    </w:p>
    <w:p>
      <w:pPr>
        <w:pStyle w:val="Heading2"/>
      </w:pPr>
      <w:r>
        <w:t xml:space="preserve">9.3 Cascada de exclusiones</w:t>
      </w:r>
    </w:p>
    <w:p>
      <w:pPr>
        <w:spacing w:after="120" w:line="276"/>
      </w:pPr>
      <w:r>
        <w:t xml:space="preserve">El sistema genera un reporte de la cascada completa, en el estilo CONSORT, y verifica que ningún paciente desaparezca sin quedar documentado: en los seis años, las exclusiones más los que quedan suman exactamente el total. Las cifras son las medidas en la Fase 3. Las exclusiones que no usan el desenlace se cuentan en 2019–2024; las que lo usan, en 2019–2023, porque el desenlace de 2024 se abrió recién en la Fase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246"/>
        <w:gridCol w:w="3557"/>
      </w:tblGrid>
      <w:tr>
        <w:trPr>
          <w:tblHeader/>
        </w:trPr>
        <w:tc>
          <w:tcPr>
            <w:tcW w:type="dxa" w:w="355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Paso</w:t>
            </w:r>
          </w:p>
        </w:tc>
        <w:tc>
          <w:tcPr>
            <w:tcW w:type="dxa" w:w="224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355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Por qué</w:t>
            </w: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GRD no asignable (sin código, código inválido o MDC 99)</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5.072 (2019–2024)</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GRD válido no es factible clasificar la casuística clínica del egreso.</w:t>
            </w:r>
          </w:p>
        </w:tc>
      </w:tr>
      <w:tr>
        <w:trPr>
          <w:cantSplit/>
        </w:trPr>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Recién nacidos (MDC 15)</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146.928 (2019–2024)</w:t>
            </w:r>
          </w:p>
        </w:tc>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neonatología necesita su propio ajuste (peso al nacer, edad gestacional). El grupo incluye prematuros y neonatos enfermos, no solo sanos.</w:t>
            </w: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Egresos obstétricos sin comorbilidades (MDC 14 sin categorías de Elixhauser)</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428.501 (2019–2024)</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Eventos obstétricos sin complicación, con mortalidad basal casi nula y estadía protocolizada. Excluir el MDC 14 completo se probó en la enmienda 02 y no cambia el indicador.</w:t>
            </w:r>
          </w:p>
        </w:tc>
      </w:tr>
      <w:tr>
        <w:trPr>
          <w:cantSplit/>
        </w:trPr>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Cohorte A</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5.228.034</w:t>
            </w:r>
          </w:p>
        </w:tc>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Punto de partida de las demás cohortes.</w:t>
            </w: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Menores de 18 años o edad desconocida</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833.581 (2019–2024)</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Su riesgo es otro (decisión 5).</w:t>
            </w:r>
          </w:p>
        </w:tc>
      </w:tr>
      <w:tr>
        <w:trPr>
          <w:cantSplit/>
        </w:trPr>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Cohorte B: adultos</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4.394.453</w:t>
            </w:r>
          </w:p>
        </w:tc>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Actividad distinta de hospitalización</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867.589 (2019–2024)</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actividad ambulatoria casi no tiene muertes (decisión 15).</w:t>
            </w:r>
          </w:p>
        </w:tc>
      </w:tr>
      <w:tr>
        <w:trPr>
          <w:cantSplit/>
        </w:trPr>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Cohorte C: adultos hospitalizados</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3.526.864 (2019–2024)</w:t>
            </w:r>
          </w:p>
        </w:tc>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Única cohorte que existe también en 2024 antes de abrir el desenlace.</w:t>
            </w: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Traslados salientes y altas sin desenlace confirmado</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221.353 (2019–2023)</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Desenlace intrahospitalario desconocido: derivaciones a otros hospitales o centros, hospitalización domiciliaria y altas sin dato. Excluirlos evita contar como sobreviviente a quien pudo morir en otro lugar.</w:t>
            </w:r>
          </w:p>
        </w:tc>
      </w:tr>
      <w:tr>
        <w:trPr>
          <w:cantSplit/>
        </w:trPr>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Cohorte D: modelo de mortalidad</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2.640.061 (2019–2023) y 598.522 en 2024</w:t>
            </w:r>
          </w:p>
        </w:tc>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 de 5,1 % en 2019–2023.</w:t>
            </w: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Fallecidos (solo salen del modelo de estadía)</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134.857 (2019–2023)</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Regla R8.</w:t>
            </w:r>
          </w:p>
        </w:tc>
      </w:tr>
      <w:tr>
        <w:trPr>
          <w:cantSplit/>
        </w:trPr>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Sobrevivientes con estadía de 0 días o desconocida (solo salen del modelo de estadía)</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108.848 (2019–2023)</w:t>
            </w:r>
          </w:p>
        </w:tc>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conservan en el modelo de mortalidad.</w:t>
            </w: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Cohorte E: modelo de estadía</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2.396.356 (2019–2023) y 545.784 en 2024</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p>
        </w:tc>
      </w:tr>
      <w:tr>
        <w:trPr>
          <w:cantSplit/>
        </w:trPr>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Traslados entrantes (no se excluyen)</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233.783 en la cohorte D de 2019–2023 (8,9 %)</w:t>
            </w:r>
          </w:p>
        </w:tc>
        <w:tc>
          <w:tcPr>
            <w:tcW w:type="dxa" w:w="355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conservan en las cohortes D y E (decisión 16). Mueren más que el resto (7,9 % frente a 4,8 %), y esa diferencia la recoge la procedencia, que entra como predictor.</w:t>
            </w:r>
          </w:p>
        </w:tc>
      </w:tr>
      <w:tr>
        <w:trPr>
          <w:cantSplit/>
        </w:trPr>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Hospitales bajo el volumen mínimo</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de 72 en 2024</w:t>
            </w:r>
          </w:p>
        </w:tc>
        <w:tc>
          <w:tcPr>
            <w:tcW w:type="dxa" w:w="355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3 pediátricos. Su indicador sería muy inestable (sección 11.2).</w:t>
            </w:r>
          </w:p>
        </w:tc>
      </w:tr>
    </w:tbl>
    <w:p>
      <w:pPr>
        <w:spacing w:after="80"/>
      </w:pPr>
    </w:p>
    <w:p>
      <w:pPr>
        <w:spacing w:after="120" w:line="276"/>
      </w:pPr>
      <w:r>
        <w:rPr>
          <w:b/>
          <w:bCs/>
        </w:rPr>
        <w:t xml:space="preserve">Una exclusión que usa información del egreso.</w:t>
      </w:r>
      <w:r>
        <w:t xml:space="preserve"> Las exclusiones de recién nacidos y de egresos obstétricos sin comorbilidades usan el código GRD, que se asigna al egreso, y la segunda además depende de los diagnósticos secundarios: en parte dependen de cómo terminó el episodio. El efecto en la mortalidad es pequeño (la enmienda 02 sacó el MDC 14 completo, salen 46 muertes en 2019–2023 y el indicador no cambia), pero cambia el denominador de los hospitales materno-infantiles. Se declara como limitación (sección 16).</w:t>
      </w:r>
    </w:p>
    <w:p>
      <w:pPr>
        <w:pStyle w:val="Heading2"/>
      </w:pPr>
      <w:r>
        <w:t xml:space="preserve">9.4 Cómo tratamos los traslados</w:t>
      </w:r>
    </w:p>
    <w:p>
      <w:pPr>
        <w:spacing w:after="120" w:line="276"/>
      </w:pPr>
      <w:r>
        <w:rPr>
          <w:b/>
          <w:bCs/>
        </w:rPr>
        <w:t xml:space="preserve">Traslados salientes.</w:t>
      </w:r>
      <w:r>
        <w:t xml:space="preserve"> La versión 2 proponía buscar con el identificador encriptado si el paciente trasladado reaparecía en otro hospital, para recuperar su desenlace. No se hizo. La Fase 2 mostró que el rastreo era posible (con una ventana de 30 días, entre el 40 y el 47 % de los traslados salientes reaparece en otro hospital, según el año), pero el identificador cambia de sistema entre 2020 y 2021. El rastreo solo serviría dentro de 2021–2024: la cohorte quedaría definida de una forma en los años de entrenamiento y de otra en los demás, y los modelos y el O/E dejarían de ser comparables entre años. Por eso los traslados salientes quedan censurados, el sesgo de alta anticipada se declara como limitación y la tasa de traslado saliente de cada hospital se muestra junto al O/E. La Fase 3 no implementó el rastreo (antes de abrir 2024) y la versión 4 lo retiró formalmente (después).</w:t>
      </w:r>
    </w:p>
    <w:p>
      <w:pPr>
        <w:spacing w:after="120" w:line="276"/>
      </w:pPr>
      <w:r>
        <w:rPr>
          <w:b/>
          <w:bCs/>
        </w:rPr>
        <w:t xml:space="preserve">Traslados entrantes.</w:t>
      </w:r>
      <w:r>
        <w:t xml:space="preserve"> La versión 2 decía que se marcaban pero no entraban a los modelos ni al O/E. Las Fases 3 y 4 (18 y 19 de octubre, antes de abrir 2024) los incluyeron sin que una puerta de control lo detectara. La Fase 5 lo declaró como desviación y la versión 4 lo adoptó como decisión, ya después de abrir 2024. Para saber si importa, la enmienda 01 (análisis 2.6) repitió el indicador sin ellos: entre el 94 y el 100 % de los hospitales conserva su zona del embudo y la correlación de orden del O/E es de al menos 0,97.</w:t>
      </w:r>
    </w:p>
    <w:p>
      <w:pPr>
        <w:pStyle w:val="Heading1"/>
      </w:pPr>
      <w:r>
        <w:t xml:space="preserve">10. Modelos predictivos</w:t>
      </w:r>
    </w:p>
    <w:p>
      <w:pPr>
        <w:spacing w:after="120" w:line="276"/>
      </w:pPr>
      <w:r>
        <w:t xml:space="preserve">Los dos modelos usan las mismas 40 variables (sección 5.3). La regla para elegir el modelo final se fijó antes de entrenar: un modelo más complejo reemplaza al más simple solo si mejora la métrica principal en los dos pliegues de validación por un margen mínimo y no empeora la calibración en 2023.</w:t>
      </w:r>
    </w:p>
    <w:p>
      <w:pPr>
        <w:pStyle w:val="Heading2"/>
      </w:pPr>
      <w:r>
        <w:t xml:space="preserve">10.1 Modelo de mortalidad (clasificación)</w:t>
      </w:r>
    </w:p>
    <w:p>
      <w:pPr>
        <w:spacing w:after="120" w:line="276"/>
      </w:pPr>
      <w:r>
        <w:t xml:space="preserve">Predice la probabilidad de que un paciente fallezca durante su hospitalización. Se entrena solo con episodios de desenlace conocido (cohorte D).</w:t>
      </w:r>
    </w:p>
    <w:p>
      <w:pPr>
        <w:spacing w:after="120" w:line="276"/>
      </w:pPr>
      <w:r>
        <w:t xml:space="preserve">Se compararon tres algoritmos: regresión logística (la línea base), LightGBM y XGBoost (Ke et al., 2017; Chen y Guestrin, 2016). La elección se hace con tres criterios: qué tan bien separa a quienes mueren de quienes sobreviven (PR AUC), qué tan realistas son las probabilidades (Brier Score y curvas de calibración) y qué tan estable es en años posteriores. No damos por hecho que gana el modelo más complejo. Como con millones de registros casi cualquier diferencia sale significativa, «mejor» se definió con un margen fijado antes de entrenar (Fase 4): un modelo de árboles reemplaza a la logística solo si mejora el PR AUC en al menos 0,01 en los dos pliegues de validación y su calibración en 2023 no es peor (tolerancias de 0,02 en el logaritmo del O/E global y de 0,05 en la pendiente). Si no, el modelo final es la logística. La comparación se documenta con curvas de calibración superpuestas y tamaño del efecto, no con significancia estadística.</w:t>
      </w:r>
    </w:p>
    <w:p>
      <w:pPr>
        <w:spacing w:after="120" w:line="276"/>
      </w:pPr>
      <w:r>
        <w:rPr>
          <w:b/>
          <w:bCs/>
        </w:rPr>
        <w:t xml:space="preserve">Resultado (Fase 4).</w:t>
      </w:r>
      <w:r>
        <w:t xml:space="preserve"> LightGBM superó a la logística por 0,033 de PR AUC y XGBoost no superó a LightGBM (−0,001): el modelo final es LightGBM. Para comparar con otros estudios se reporta también el estadístico C (AUC ROC): 0,933 en 2023 y 0,932 en 2024. El Brier Score se reporta como Brier Skill Score, pero no tuvo un margen propio en la regla, y la calibración funcionó como condición y no como primer criterio de orden; se declara. La enmienda 01 (análisis 2.5) comprobó que con la logística el indicador casi no cambia: entre el 94 y el 100 % de los hospitales queda en la misma zona.</w:t>
      </w:r>
    </w:p>
    <w:p>
      <w:pPr>
        <w:spacing w:after="120" w:line="276"/>
      </w:pPr>
      <w:r>
        <w:t xml:space="preserve">No se rebalancean las clases ni se ponderan. El indicador O/E suma las probabilidades predichas y las compara con las muertes reales. Si alteramos la proporción de muertes al entrenar, esa suma deja de coincidir con la realidad y el indicador se desarma. Solo los años de entrenamiento (2019–2022) tienen 110.622 muertes en la cohorte D, así que hay datos de sobra para entrenar con la distribución natural (Steyerberg et al., 2010; Van Calster et al., 2019).</w:t>
      </w:r>
    </w:p>
    <w:p>
      <w:pPr>
        <w:pStyle w:val="Heading2"/>
      </w:pPr>
      <w:r>
        <w:t xml:space="preserve">10.2 Modelo de estadía (regresión)</w:t>
      </w:r>
    </w:p>
    <w:p>
      <w:pPr>
        <w:spacing w:after="120" w:line="276"/>
      </w:pPr>
      <w:r>
        <w:t xml:space="preserve">Predice cuántos días debería estar hospitalizado un paciente según su perfil. Se entrena solo con sobrevivientes (cohorte E), porque los fallecidos tienen estadías cortas por haber muerto y no por eficiencia, y eso le enseñaría al modelo algo falso. La estadía de los fallecidos se reporta aparte como estadística descriptiva.</w:t>
      </w:r>
    </w:p>
    <w:p>
      <w:pPr>
        <w:spacing w:after="120" w:line="276"/>
      </w:pPr>
      <w:r>
        <w:t xml:space="preserve">Se compararon LightGBM y XGBoost con objetivo Poisson o Tweedie, frente a dos líneas base: regresión de Poisson y regresión lineal. Esto modela el promedio directamente. La alternativa de pasar a logaritmo y volver con exponencial subestima el promedio, y eso distorsionaría el denominador del O/E. </w:t>
      </w:r>
      <w:r>
        <w:rPr>
          <w:b/>
          <w:bCs/>
        </w:rPr>
        <w:t xml:space="preserve">Resultado (Fase 4):</w:t>
      </w:r>
      <w:r>
        <w:t xml:space="preserve"> quedó LightGBM con objetivo Tweedie (potencia 1,80). Mejoró la devianza de la línea base en 6,7 % y XGBoost no mejoró a LightGBM. La elección usó la devianza de Poisson, que pesa menos las estadías extremas que el RMSE, y además se reporta el error absoluto medio (sección 12).</w:t>
      </w:r>
    </w:p>
    <w:p>
      <w:pPr>
        <w:spacing w:after="120" w:line="276"/>
      </w:pPr>
      <w:r>
        <w:rPr>
          <w:b/>
          <w:bCs/>
        </w:rPr>
        <w:t xml:space="preserve">Estadías muy largas (decisión 7).</w:t>
      </w:r>
      <w:r>
        <w:t xml:space="preserve"> Ninguna estadía cuenta por más de 53 días, el percentil 99 de los sobrevivientes de 2019–2022, ni en los días observados ni en los esperados. Nadie sale de la cohorte; solo se recorta el exceso. El tope se calculó una sola vez con 2019–2022 y no se recalcula con años posteriores. Afecta al 0,96 % de los sobrevivientes, que suman el 10,9 % de los días; el recorte quita el 4,1 % de los días. Hay estadías de hasta 3.146 días. El indicador de estadía no mide las estadías extremas.</w:t>
      </w:r>
    </w:p>
    <w:p>
      <w:pPr>
        <w:pStyle w:val="Heading2"/>
      </w:pPr>
      <w:r>
        <w:t xml:space="preserve">10.3 Partición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498"/>
        <w:gridCol w:w="6552"/>
      </w:tblGrid>
      <w:tr>
        <w:trPr>
          <w:tblHeader/>
        </w:trPr>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Período</w:t>
            </w:r>
          </w:p>
        </w:tc>
        <w:tc>
          <w:tcPr>
            <w:tcW w:type="dxa" w:w="149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Rol</w:t>
            </w:r>
          </w:p>
        </w:tc>
        <w:tc>
          <w:tcPr>
            <w:tcW w:type="dxa" w:w="655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Descripción</w:t>
            </w:r>
          </w:p>
        </w:tc>
      </w:tr>
      <w:tr>
        <w:trPr>
          <w:cantSplit/>
        </w:trPr>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2019 a 2022</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Entrenamiento</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modelo aprende los patrones asociados al riesgo. Los hiperparámetros se eligen con dos pliegues hacia adelante: entrenar con 2019–2020 y validar con 2021, y entrenar con 2019–2021 y validar con 2022. Nunca se usa el futuro para predecir el pasado.</w:t>
            </w:r>
          </w:p>
        </w:tc>
      </w:tr>
      <w:tr>
        <w:trPr>
          <w:cantSplit/>
        </w:trPr>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2023</w:t>
            </w:r>
          </w:p>
        </w:tc>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Calibración</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 recalibra el nivel de las predicciones con 2023. Se compararon tres opciones (sin recalibrar, Platt e isotónica) y se eligió la mejor: Platt en mortalidad y un factor único en estadía. Sin recalibrar, el O/E global de 2023 era 0,87 en mortalidad y 0,94 en estadía, fuera de la banda 0,95–1,05.</w:t>
            </w:r>
          </w:p>
        </w:tc>
      </w:tr>
      <w:tr>
        <w:trPr>
          <w:cantSplit/>
        </w:trPr>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2024</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Prueba definitiva</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 abrió una sola vez, el 19-10-2026, con los modelos congelados y un protocolo de evaluación pre-registrado 48 minutos antes, sin ajustes posteriores. Es el resultado principal (Moons et al., 2015).</w:t>
            </w:r>
          </w:p>
        </w:tc>
      </w:tr>
    </w:tbl>
    <w:p>
      <w:pPr>
        <w:spacing w:after="80"/>
      </w:pPr>
    </w:p>
    <w:p>
      <w:pPr>
        <w:spacing w:after="120" w:line="276"/>
      </w:pPr>
      <w:r>
        <w:rPr>
          <w:b/>
          <w:bCs/>
        </w:rPr>
        <w:t xml:space="preserve">Pandemia (decisión 17).</w:t>
      </w:r>
      <w:r>
        <w:t xml:space="preserve"> Los años 2020 y 2021 se mantienen en el entrenamiento: la mortalidad de 2020–2022 fue 1,37 veces la de 2019, y la recalibración con 2023, un año posterior, corrige el nivel de las probabilidades. Los dos pliegues de selección caen en años de pandemia. La sensibilidad sin 2020–2021 no se hizo dentro del proyecto; se corrió después, como análisis 2.2 de la enmienda 01: entre el 95 y el 100 % de los hospitales conserva su zona.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Dos aclaraciones sobre 2024</w:t>
            </w:r>
          </w:p>
          <w:p>
            <w:pPr>
              <w:spacing w:after="60" w:line="264"/>
              <w:ind w:left="240" w:hanging="200"/>
            </w:pPr>
            <w:r>
              <w:t xml:space="preserve">•  </w:t>
            </w:r>
            <w:r>
              <w:rPr>
                <w:b/>
                <w:bCs/>
              </w:rPr>
              <w:t xml:space="preserve">2024 no fue un año ciego para el autor.</w:t>
            </w:r>
            <w:r>
              <w:t xml:space="preserve"> El 27-09-2026 un prototipo anterior se evaluó en ese año y publicó sus resultados (incidente I-01). El protocolo pre-registrado garantiza que el pipeline definitivo no se ajustó mirando 2024, pero no borra ese contacto previo.</w:t>
            </w:r>
          </w:p>
          <w:p>
            <w:pPr>
              <w:spacing w:after="60" w:line="264"/>
              <w:ind w:left="240" w:hanging="200"/>
            </w:pPr>
            <w:r>
              <w:t xml:space="preserve">•  </w:t>
            </w:r>
            <w:r>
              <w:rPr>
                <w:b/>
                <w:bCs/>
              </w:rPr>
              <w:t xml:space="preserve">Los análisis posteriores no usan 2024 para decidir.</w:t>
            </w:r>
            <w:r>
              <w:t xml:space="preserve"> Las enmiendas 01 y 02 se validan con un diseño anidado: entrenar con 2019–2021, elegir con 2022 y evaluar en 2023. 2024 se muestra solo como dato secundario, porque ya está abierto. La regla de lectura de esos análisis: al menos el 80 % de los hospitales conserva su zona del embudo y la correlación de orden del O/E (ρ de Spearman) es de al menos 0,90.</w:t>
            </w:r>
          </w:p>
        </w:tc>
      </w:tr>
    </w:tbl>
    <w:p>
      <w:pPr>
        <w:spacing w:after="100"/>
      </w:pPr>
    </w:p>
    <w:p>
      <w:pPr>
        <w:pStyle w:val="Heading2"/>
      </w:pPr>
      <w:r>
        <w:t xml:space="preserve">10.4 Datos faltantes y codificación de las variables</w:t>
      </w:r>
    </w:p>
    <w:p>
      <w:pPr>
        <w:spacing w:after="120" w:line="276"/>
      </w:pPr>
      <w:r>
        <w:t xml:space="preserve">Los valores imposibles se anulan en la limpieza (R5), así que los faltantes crecen un poco después de la Capa Plata. Aun así, en las variables del modelo son menos del 1 % en cada año. Así se tratan, igual en los dos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621"/>
        <w:gridCol w:w="1872"/>
        <w:gridCol w:w="2433"/>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262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Si falta</w:t>
            </w:r>
          </w:p>
        </w:tc>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Árboles (LightGBM y XGBoost)</w:t>
            </w:r>
          </w:p>
        </w:tc>
        <w:tc>
          <w:tcPr>
            <w:tcW w:type="dxa" w:w="243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Líneas base (logística, Poisson y lineal)</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Sexo, tipo de ingreso, TIPO_PROCEDENCIA y PROCEDENCIA_AGR</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Categoría propia «(sin dato)». Un valor que no corresponde a ningún código queda como «(sin mapeo)».</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Variable categórica</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Una columna 0/1 por categoría (one-hot)</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Diagnóstico principal (CIE10_3C)</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«(sin dato)»</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Variable categórica</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One-hot</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Capítulo CIE-10 (GRUPO_CLINICO)</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«(sin dato)» o «sin capítulo»</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Variable categórica</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One-hot</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Edad</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hay: los egresos sin edad válida salen en la cohorte B</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Numérica</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Estandarizada y con una curva (splines), porque el riesgo no crece en línea recta con la edad</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Nivel de cuidado al ingreso</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Vacío si falta el servicio de ingreso (menos de 0,8 % por año)</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árbol aprende hacia qué lado mandar los vacíos</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 completa con 0 y se agrega una marca de «faltaba»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Fin de semana y las 31 de Elixhauser</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hay: la fecha de ingreso siempre está y la ausencia de un diagnóstico es 0</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Binarias</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Binarias</w:t>
            </w:r>
          </w:p>
        </w:tc>
      </w:tr>
    </w:tbl>
    <w:p>
      <w:pPr>
        <w:spacing w:after="80"/>
      </w:pPr>
    </w:p>
    <w:p>
      <w:pPr>
        <w:spacing w:after="120" w:line="276"/>
      </w:pPr>
      <w:r>
        <w:rPr>
          <w:b/>
          <w:bCs/>
        </w:rPr>
        <w:t xml:space="preserve">Cómo entra el diagnóstico principal.</w:t>
      </w:r>
      <w:r>
        <w:t xml:space="preserve"> El código de 3 caracteres tiene 1.520 niveles en 2019–2022. Los 824 con al menos 100 egresos se conservan y los 696 restantes pasan a un nivel común, RARO. Como el modelo recibe también el capítulo CIE-10 (GRUPO_CLINICO), un código raro no pierde la información de su capítulo. Ningún código se reemplaza por su mortalidad promedio, así que el desenlace no entra a las variables.</w:t>
      </w:r>
    </w:p>
    <w:p>
      <w:pPr>
        <w:spacing w:after="120" w:line="276"/>
      </w:pPr>
      <w:r>
        <w:rPr>
          <w:b/>
          <w:bCs/>
        </w:rPr>
        <w:t xml:space="preserve">Todo se aprende solo con el entrenamiento.</w:t>
      </w:r>
      <w:r>
        <w:t xml:space="preserve"> Los niveles que se conservan, las categorías de la codificación y la escala y la curva de la edad se calculan solo con 2019–2022. Un código que aparece en 2023 o 2024 y no estaba en 2019–2022 pasa a RARO; en las líneas base, una categoría nueva queda con todas sus columnas en 0.</w:t>
      </w:r>
    </w:p>
    <w:p>
      <w:pPr>
        <w:pStyle w:val="Heading2"/>
      </w:pPr>
      <w:r>
        <w:t xml:space="preserve">10.5 Todos los análisis de sensibilidad</w:t>
      </w:r>
    </w:p>
    <w:p>
      <w:pPr>
        <w:spacing w:after="120" w:line="276"/>
      </w:pPr>
      <w:r>
        <w:t xml:space="preserve">Los análisis de sensibilidad estaban repartidos en el informe. Esta tabla los junta, con lo que se hizo con cada uno. Los que se corrieron siguen la regla de lectura de las enmiendas (al menos el 80 % de los hospitales en la misma zona y ρ de al menos 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2246"/>
        <w:gridCol w:w="2808"/>
      </w:tblGrid>
      <w:tr>
        <w:trPr>
          <w:tblHeader/>
        </w:trPr>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Análisis</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cambia</w:t>
            </w:r>
          </w:p>
        </w:tc>
        <w:tc>
          <w:tcPr>
            <w:tcW w:type="dxa" w:w="224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c>
          <w:tcPr>
            <w:tcW w:type="dxa" w:w="280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Pandemia</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Entrenar sin 2020 y 2021</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Hecho: enmienda 01, análisis 2.2</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Cumple: 95–100 % de los hospitales en la misma zona, ρ ≥ 0,99</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Categorías de Elixhauser que podrían ser complicaciones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Sacar ELIX_04, 22, 24, 25 y 26 (sección 8.2)</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Hecho: análisis 2.1</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Cumple: 91–100 %, ρ 0,93–0,99</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Sin ninguna comorbilidad</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Sacar las 31 categorías</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Hecho: análisis 2.4</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cumple en mortalidad 2024 (88,4 %, ρ 0,88); cumple en el diseño anidado</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Variables condicionales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Sacar tipo de ingreso, procedencia y nivel de cuidado</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Hecho: análisis 2.3</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cumple en mortalidad (ρ 0,89 en 2023 y 0,80 en 2024)</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Algoritmo</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Logística en vez de LightGBM</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Hecho: análisis 2.5</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Cumple: 94–100 %, ρ 0,98</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Traslados entrantes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Evaluar sin ellos</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Hecho: análisis 2.6</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Cumple: 94–100 %, ρ ≥ 0,97</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Cohortes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Sacar el MDC 14 completo; sacar el alta voluntaria y la fuga de la estadía</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Hecho: enmienda 02</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Cumple: en 2023 ningún hospital cambia de zona (ρ ≥ 0,996)</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Cuidados paliativos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Sacar los egresos con Z51.5</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Hecho: enmienda 02</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Cumple: 96,9 y 95,7 %</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Comparar entre pares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Un embudo por tamaño o por complejidad (catálogo DEIS)</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Hecho: análisis 3.1b y enmienda 02</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 estadía 2024, los hospitales fuera bajan de 15,9 % a 5,8 % (tamaño) y a 11,6 % (complejidad)</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Institutos de especialidad</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Informarlos aparte</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Hecho: análisis 3.1a</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Cumple: el resto no cambia</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Severidad del GRD</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Agregarla como predictor</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se hace: prohibida (R6)</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Historial incompleto de 2019</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Revisar el efecto de la marca</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No aplica: no se usa el historial (decisión 1)</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Rastreo de traslados salientes</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Recuperar su desenlace</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Retirado: el identificador cambia entre 2020 y 2021 (decisión 13)</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 muestra la tasa de traslado por hospital</w:t>
            </w:r>
          </w:p>
        </w:tc>
      </w:tr>
    </w:tbl>
    <w:p>
      <w:pPr>
        <w:spacing w:after="80"/>
      </w:pPr>
    </w:p>
    <w:p>
      <w:pPr>
        <w:pStyle w:val="Heading1"/>
      </w:pPr>
      <w:r>
        <w:t xml:space="preserve">11. Definición del indicador O/E</w:t>
      </w:r>
    </w:p>
    <w:p>
      <w:pPr>
        <w:pStyle w:val="ListParagraph"/>
        <w:numPr>
          <w:ilvl w:val="0"/>
          <w:numId w:val="2"/>
        </w:numPr>
        <w:spacing w:after="80" w:line="264"/>
      </w:pPr>
      <w:r>
        <w:rPr>
          <w:b/>
          <w:bCs/>
        </w:rPr>
        <w:t xml:space="preserve">O/E de mortalidad de un hospital:</w:t>
      </w:r>
      <w:r>
        <w:t xml:space="preserve"> muertes observadas en 2024 divididas por la suma de las probabilidades de muerte que el modelo predijo para sus pacientes.</w:t>
      </w:r>
    </w:p>
    <w:p>
      <w:pPr>
        <w:pStyle w:val="ListParagraph"/>
        <w:numPr>
          <w:ilvl w:val="0"/>
          <w:numId w:val="2"/>
        </w:numPr>
        <w:spacing w:after="80" w:line="264"/>
      </w:pPr>
      <w:r>
        <w:rPr>
          <w:b/>
          <w:bCs/>
        </w:rPr>
        <w:t xml:space="preserve">O/E de estadía de un hospital:</w:t>
      </w:r>
      <w:r>
        <w:t xml:space="preserve"> días de estadía observados divididos por la suma de los días esperados, solo con sobrevivientes y con el tope de 53 días en ambos.</w:t>
      </w:r>
    </w:p>
    <w:p>
      <w:pPr>
        <w:spacing w:after="120" w:line="276"/>
      </w:pPr>
      <w:r>
        <w:t xml:space="preserve">Un valor de 1,0 significa que el hospital está dentro de lo esperado. Sobre 1,0 significa más eventos de los esperados y bajo 1,0 significa menos. Se calcula por hospital para el año de prueba, 2024.</w:t>
      </w:r>
    </w:p>
    <w:p>
      <w:pPr>
        <w:pStyle w:val="Heading2"/>
      </w:pPr>
      <w:r>
        <w:t xml:space="preserve">11.1 Gráficos de embudo y corrección de sobredispersión</w:t>
      </w:r>
    </w:p>
    <w:p>
      <w:pPr>
        <w:spacing w:after="120" w:line="276"/>
      </w:pPr>
      <w:r>
        <w:t xml:space="preserve">Cada hospital se dibuja como un punto según su volumen, junto con límites de control al 95 % y al 99,8 %. Los hospitales dentro de los límites tienen variaciones que el azar puede explicar.</w:t>
      </w:r>
    </w:p>
    <w:p>
      <w:pPr>
        <w:spacing w:after="120" w:line="276"/>
      </w:pPr>
      <w:r>
        <w:t xml:space="preserve">Con millones de egresos, si asumimos que toda la variación entre hospitales es azar de muestreo, casi todos saldrían marcados como atípicos. Por eso se aplica la corrección de Spiegelhalter (2005): estima cuánta variación extra real hay entre hospitales y ensancha los límites en esa medida. Así solo se destacan los hospitales con variaciones realmente inusuales.</w:t>
      </w:r>
    </w:p>
    <w:p>
      <w:pPr>
        <w:spacing w:after="120" w:line="276"/>
      </w:pPr>
      <w:r>
        <w:rPr>
          <w:b/>
          <w:bCs/>
        </w:rPr>
        <w:t xml:space="preserve">Cómo quedó.</w:t>
      </w:r>
      <w:r>
        <w:t xml:space="preserve"> La corrección es aditiva: la variación extra (τ²) se estima con el método de DerSimonian y Laird (1986) sobre los puntajes z winsorizados al 10 %, como fija el protocolo pre-registrado. En 2024 quedó fuera del 95 % el 15,9 % de los hospitales en las dos tareas. Ese porcentaje no debe leerse contra un 5 % «esperado por azar»: la enmienda 01 (análisis 3.4c) mostró que, con la variación real entre hospitales, este embudo deja fuera del 95 % entre el 11,6 y el 13,2 % aunque ningún hospital sea anómalo.</w:t>
      </w:r>
    </w:p>
    <w:p>
      <w:pPr>
        <w:spacing w:after="120" w:line="276"/>
      </w:pPr>
      <w:r>
        <w:rPr>
          <w:b/>
          <w:bCs/>
        </w:rPr>
        <w:t xml:space="preserve">Estadía.</w:t>
      </w:r>
      <w:r>
        <w:t xml:space="preserve"> El O/E de estadía es una suma de días, con mucha más varianza que un conteo de muertes. Por eso sus límites usan la dispersión del modelo: el promedio de los residuos de Pearson al cuadrado (enfoque quasi-Poisson), que en 2024 fue 5,3, multiplica la varianza de un conteo antes de sumar la variación entre hospitales. Así lo fijó el protocolo pre-registrado de la Fase 5.</w:t>
      </w:r>
    </w:p>
    <w:p>
      <w:pPr>
        <w:spacing w:after="120" w:line="276"/>
      </w:pPr>
      <w:r>
        <w:rPr>
          <w:b/>
          <w:bCs/>
        </w:rPr>
        <w:t xml:space="preserve">Intervalo de cada hospital.</w:t>
      </w:r>
      <w:r>
        <w:t xml:space="preserve"> Además de su lugar en el embudo, cada hospital tiene un intervalo de confianza del 95 % para su O/E: exacto de Poisson en mortalidad y normal, con la misma dispersión, en estadía. La tabla que publica la plataforma lo incluye.</w:t>
      </w:r>
    </w:p>
    <w:p>
      <w:pPr>
        <w:pStyle w:val="Heading2"/>
      </w:pPr>
      <w:r>
        <w:t xml:space="preserve">11.2 Volumen mínimo por hospital</w:t>
      </w:r>
    </w:p>
    <w:p>
      <w:pPr>
        <w:spacing w:after="120" w:line="276"/>
      </w:pPr>
      <w:r>
        <w:t xml:space="preserve">El umbral se fijó antes de mirar los resultados, para no elegirlo a conveniencia, y quedó adoptado (decisión 6): un hospital entra al indicador si en el año tiene al menos </w:t>
      </w:r>
      <w:r>
        <w:rPr>
          <w:b/>
          <w:bCs/>
        </w:rPr>
        <w:t xml:space="preserve">500 egresos analizables</w:t>
      </w:r>
      <w:r>
        <w:t xml:space="preserve"> y al menos </w:t>
      </w:r>
      <w:r>
        <w:rPr>
          <w:b/>
          <w:bCs/>
        </w:rPr>
        <w:t xml:space="preserve">10 muertes esperadas</w:t>
      </w:r>
      <w:r>
        <w:t xml:space="preserve">, medidas con las muertes esperadas (no las observadas) en todas las fases. En estadía, el protocolo de la Fase 5 aplica el mismo corte sobre los días esperados, así que en la práctica decide el de 500 egresos. En 2024 entran 69 de los 72 hospitales; los 3 que quedan fuera son los pediátricos.</w:t>
      </w:r>
    </w:p>
    <w:p>
      <w:pPr>
        <w:spacing w:after="120" w:line="276"/>
      </w:pPr>
      <w:r>
        <w:t xml:space="preserve">Además, no se publica ninguna cifra basada en 1 a 9 casos, para evitar que se pueda reidentificar a un paciente. Tampoco una cifra que permita reconstruir un conteo así a partir de otras publicadas (por ejemplo, una tasa multiplicada por un tamaño, o un total menos sus partes). Esta segunda parte se agregó después del incidente I-11, y el código la verifica antes de publicar.</w:t>
      </w:r>
    </w:p>
    <w:p>
      <w:pPr>
        <w:pStyle w:val="Heading2"/>
      </w:pPr>
      <w:r>
        <w:t xml:space="preserve">11.3 Índice de exhaustividad de codificación</w:t>
      </w:r>
    </w:p>
    <w:p>
      <w:pPr>
        <w:spacing w:after="120" w:line="276"/>
      </w:pPr>
      <w:r>
        <w:t xml:space="preserve">Mide qué tan completa es la documentación de enfermedades en cada hospital. Para cada paciente se compara cuántas enfermedades se registraron con cuántas se esperarían según su diagnóstico principal, su edad y su sexo, y después se resume por hospital. Los códigos de factores sociales (Z55 a Z65) y de embarazo y parto normal (Z34 a Z39 y O80) no cuentan. Sirve para dos cosas: mostrar qué tan completa es la codificación y vigilar el upcoding, que es exagerar la gravedad de los pacientes. Cuantas más enfermedades se registran, más riesgo esperado hay y más baja artificialmente el O/E. Se muestra junto al O/E y no entra al modelo.</w:t>
      </w:r>
    </w:p>
    <w:p>
      <w:pPr>
        <w:spacing w:after="120" w:line="276"/>
      </w:pPr>
      <w:r>
        <w:t xml:space="preserve">El modelo simple que da el número esperado se construyó en la Fase 4 (no en la Fase 3, como decía la versión 2). En 2024 el índice global fue 1,038 respecto de 2023: se registran algo más de diagnósticos que el año anterior.</w:t>
      </w:r>
    </w:p>
    <w:p>
      <w:pPr>
        <w:pStyle w:val="Heading2"/>
      </w:pPr>
      <w:r>
        <w:t xml:space="preserve">11.4 Qué no es este indicador</w:t>
      </w:r>
    </w:p>
    <w:p>
      <w:pPr>
        <w:spacing w:after="120" w:line="276"/>
      </w:pPr>
      <w:r>
        <w:t xml:space="preserve">Es una señal estadística de desempeño ajustada por riesgo. No es una medida directa de la calidad asistencial, no prueba causalidad y no reemplaza las auditorías clínicas. Tampoco se presenta como ranking.</w:t>
      </w:r>
    </w:p>
    <w:p>
      <w:pPr>
        <w:pStyle w:val="Heading1"/>
      </w:pPr>
      <w:r>
        <w:t xml:space="preserve">12. Criterios de aceptación del modelo</w:t>
      </w:r>
    </w:p>
    <w:p>
      <w:pPr>
        <w:spacing w:after="120" w:line="276"/>
      </w:pPr>
      <w:r>
        <w:t xml:space="preserve">Los criterios se revisan dos veces. Primero en 2023, antes de congelar el modelo: ahí se eligen el algoritmo y la recalibración, y la última columna de la tabla dice qué se hace si algo falla (Fase 4). Después, el modelo congelado se evalúa una sola vez en 2024, un año que nunca vio. </w:t>
      </w:r>
      <w:r>
        <w:rPr>
          <w:b/>
          <w:bCs/>
        </w:rPr>
        <w:t xml:space="preserve">Si en 2024 un criterio no se cumple, se reporta tal cual y se discute en el informe final, sin volver a tocar el modelo.</w:t>
      </w:r>
      <w:r>
        <w:t xml:space="preserve"> El reporte sigue la guía TRIPOD+AI para modelos de predicción con aprendizaje automático (Collins et al.,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808"/>
        <w:gridCol w:w="2434"/>
        <w:gridCol w:w="2433"/>
      </w:tblGrid>
      <w:tr>
        <w:trPr>
          <w:tblHeader/>
        </w:trPr>
        <w:tc>
          <w:tcPr>
            <w:tcW w:type="dxa" w:w="168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Criterio</w:t>
            </w:r>
          </w:p>
        </w:tc>
        <w:tc>
          <w:tcPr>
            <w:tcW w:type="dxa" w:w="280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Métrica y umbral</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garantiza</w:t>
            </w:r>
          </w:p>
        </w:tc>
        <w:tc>
          <w:tcPr>
            <w:tcW w:type="dxa" w:w="243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Si no se cumple en 2023 (antes de congelar)</w:t>
            </w:r>
          </w:p>
        </w:tc>
      </w:tr>
      <w:tr>
        <w:trPr>
          <w:cantSplit/>
        </w:trPr>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Discriminación de mortalidad</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PR AUC mayor que el de la regresión logística. Se reporta como ganancia relativa sobre la prevalencia de la cohorte final y como diferencia con la logística. Se reporta también el estadístico C (AUC ROC).</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Distingue a quienes mueren de quienes sobreviven. Se usa PR AUC porque la mortalidad es poco frecuente.</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modelo final es la regresión logística.</w:t>
            </w:r>
          </w:p>
        </w:tc>
      </w:tr>
      <w:tr>
        <w:trPr>
          <w:cantSplit/>
        </w:trPr>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Error de estadía</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RMSE menor que el de la regresión lineal y la regresión Poisson. Se reporta también el error absoluto medio (MAE), menos sensible a las estadías extremas.</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días predichos son más precisos que los de un modelo simple.</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modelo final es la línea base.</w:t>
            </w:r>
          </w:p>
        </w:tc>
      </w:tr>
      <w:tr>
        <w:trPr>
          <w:cantSplit/>
        </w:trPr>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Calibración</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Brier Skill Score mayor que cero.</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Las probabilidades son realistas y mejores que usar solo la prevalencia.</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 recalibra con 2023. Si sigue sin cumplirse, no se usa el modelo para el indicador y se revisan las variables.</w:t>
            </w:r>
          </w:p>
        </w:tc>
      </w:tr>
      <w:tr>
        <w:trPr>
          <w:cantSplit/>
        </w:trPr>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Pendiente de calibración</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Entre 0,8 y 1,2.</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La magnitud de las probabilidades es correcta, no solo su orden.</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 recalibra con 2023. Si no alcanza, se reporta la desviación y se analiza el efecto de la pandemia.</w:t>
            </w:r>
          </w:p>
        </w:tc>
      </w:tr>
      <w:tr>
        <w:trPr>
          <w:cantSplit/>
        </w:trPr>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O/E global de mortalidad</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Entre 0,95 y 1,05.</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modelo no sobreestima ni subestima las muertes del conjunto.</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Mismo tratamiento que la pendiente de calibración.</w:t>
            </w:r>
          </w:p>
        </w:tc>
      </w:tr>
      <w:tr>
        <w:trPr>
          <w:cantSplit/>
        </w:trPr>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O/E global de estadía</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Entre 0,95 y 1,05, igual que en mortalidad (decisión 9).</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días esperados no están sesgados en el conjunto.</w:t>
            </w:r>
          </w:p>
        </w:tc>
        <w:tc>
          <w:tcPr>
            <w:tcW w:type="dxa" w:w="243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 revisa la regla de estadías largas y el objetivo Poisson o Tweedie.</w:t>
            </w:r>
          </w:p>
        </w:tc>
      </w:tr>
      <w:tr>
        <w:trPr>
          <w:cantSplit/>
        </w:trPr>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Gráficos de embudo</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Límites al 95 % y 99,8 % con corrección de sobredispersión.</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Separa variaciones reales de las que explica el azar.</w:t>
            </w:r>
          </w:p>
        </w:tc>
        <w:tc>
          <w:tcPr>
            <w:tcW w:type="dxa" w:w="243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es pasa o no pasa. Si casi todos los hospitales quedan marcados, se revisa la corrección y la calibración.</w:t>
            </w:r>
          </w:p>
        </w:tc>
      </w:tr>
    </w:tbl>
    <w:p>
      <w:pPr>
        <w:spacing w:after="80"/>
      </w:pPr>
    </w:p>
    <w:p>
      <w:pPr>
        <w:spacing w:after="120" w:line="276"/>
      </w:pPr>
      <w:r>
        <w:rPr>
          <w:b/>
          <w:bCs/>
        </w:rPr>
        <w:t xml:space="preserve">Resultado en 2024 (Fase 5).</w:t>
      </w:r>
      <w:r>
        <w:t xml:space="preserve"> Los criterios se aplicaron con intervalos de confianza del 95 % (1.000 remuestreos de hospitales completos). Se cumplen los siete: cinco con holgura y dos en el límite.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680"/>
        <w:gridCol w:w="2246"/>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Criterio</w:t>
            </w:r>
          </w:p>
        </w:tc>
        <w:tc>
          <w:tcPr>
            <w:tcW w:type="dxa" w:w="46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 en 2024</w:t>
            </w:r>
          </w:p>
        </w:tc>
        <w:tc>
          <w:tcPr>
            <w:tcW w:type="dxa" w:w="224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Veredicto</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Discriminación de mortalidad</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PR AUC 0,033 mayor que la logística (IC 0,028–0,038)</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Cumple</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Error de estadía</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RMSE 0,19 días menor que la regresión lineal y 0,25 menor que la de Poisson</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Cumple</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Calibración</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Brier Skill Score 0,227</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Cumple</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Pendiente de calibración</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1,018</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Cumple</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O/E global de mortalidad</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0,979 (IC 0,937–1,021)</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Cumple con incertidumbre</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O/E global de estadía</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0,957 (IC 0,929–0,984: todo el intervalo bajo 1)</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Cumple con incertidumbre</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Gráficos de embudo</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15,9 % de los hospitales fuera del 95 % en ambas tareas (ver 11.1)</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No es pasa o no pasa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Estadístico C de mortalidad</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0,932 (informativo)</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Error absoluto medio de estadía</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4,16 días (informativo)</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Lo que no calzaba con esta regla</w:t>
            </w:r>
          </w:p>
          <w:p>
            <w:pPr>
              <w:spacing w:after="60" w:line="264"/>
            </w:pPr>
            <w:r>
              <w:t xml:space="preserve">El protocolo de la Fase 5 (versión 1.0, pre-registrado el 19-10-2026) todavía tenía un «plan B»: si en 2024 el modelo no superaba a la logística (o a la línea base, en estadía), el resultado oficial pasaba a ser ese modelo simple, también congelado. Eso usa 2024 para elegir, justo lo que la regla R7 quiere evitar (la R6 en la numeración de la versión 2). No se activó, porque los siete criterios se cumplieron, y no se usará en evaluaciones futuras.</w:t>
            </w:r>
          </w:p>
        </w:tc>
      </w:tr>
    </w:tbl>
    <w:p>
      <w:pPr>
        <w:spacing w:after="100"/>
      </w:pPr>
    </w:p>
    <w:p>
      <w:pPr>
        <w:pStyle w:val="Heading1"/>
      </w:pPr>
      <w:r>
        <w:t xml:space="preserve">13. Impacto ético y social</w:t>
      </w:r>
    </w:p>
    <w:p>
      <w:pPr>
        <w:spacing w:after="120" w:line="276"/>
      </w:pPr>
      <w:r>
        <w:t xml:space="preserve">Publicar indicadores de hospitales tiene riesgos conocidos (Fung et al., 2008; Shahian et al., 2010). Los reconocemos y los mitigamos desde el diseño.</w:t>
      </w:r>
    </w:p>
    <w:p>
      <w:pPr>
        <w:pStyle w:val="ListParagraph"/>
        <w:numPr>
          <w:ilvl w:val="0"/>
          <w:numId w:val="2"/>
        </w:numPr>
        <w:spacing w:after="80" w:line="264"/>
      </w:pPr>
      <w:r>
        <w:rPr>
          <w:b/>
          <w:bCs/>
        </w:rPr>
        <w:t xml:space="preserve">Upcoding.</w:t>
      </w:r>
      <w:r>
        <w:t xml:space="preserve"> Si registrar más enfermedades baja el O/E, los hospitales podrían exagerar la gravedad. La mitigación es el índice de exhaustividad, que lo hace visible.</w:t>
      </w:r>
    </w:p>
    <w:p>
      <w:pPr>
        <w:pStyle w:val="ListParagraph"/>
        <w:numPr>
          <w:ilvl w:val="0"/>
          <w:numId w:val="2"/>
        </w:numPr>
        <w:spacing w:after="80" w:line="264"/>
      </w:pPr>
      <w:r>
        <w:rPr>
          <w:b/>
          <w:bCs/>
        </w:rPr>
        <w:t xml:space="preserve">Selección de pacientes.</w:t>
      </w:r>
      <w:r>
        <w:t xml:space="preserve"> Publicar resultados puede llevar a evitar a los pacientes más graves. Por eso no hay ranking lineal. Se usan gráficos de embudo, que solo destacan a quienes se salen de lo esperado.</w:t>
      </w:r>
    </w:p>
    <w:p>
      <w:pPr>
        <w:pStyle w:val="ListParagraph"/>
        <w:numPr>
          <w:ilvl w:val="0"/>
          <w:numId w:val="2"/>
        </w:numPr>
        <w:spacing w:after="80" w:line="264"/>
      </w:pPr>
      <w:r>
        <w:rPr>
          <w:b/>
          <w:bCs/>
        </w:rPr>
        <w:t xml:space="preserve">Alta anticipada.</w:t>
      </w:r>
      <w:r>
        <w:t xml:space="preserve"> Un hospital puede bajar su mortalidad dando de alta o trasladando a pacientes terminales. Con datos administrativos esto no se corrige del todo. Lo declaramos y mostramos la tasa de traslados.</w:t>
      </w:r>
    </w:p>
    <w:p>
      <w:pPr>
        <w:pStyle w:val="ListParagraph"/>
        <w:numPr>
          <w:ilvl w:val="0"/>
          <w:numId w:val="2"/>
        </w:numPr>
        <w:spacing w:after="80" w:line="264"/>
      </w:pPr>
      <w:r>
        <w:rPr>
          <w:b/>
          <w:bCs/>
        </w:rPr>
        <w:t xml:space="preserve">Diferencias de recursos.</w:t>
      </w:r>
      <w:r>
        <w:t xml:space="preserve"> El modelo mide el riesgo clínico del paciente. No considera infraestructura, presupuesto ni dotación de personal.</w:t>
      </w:r>
    </w:p>
    <w:p>
      <w:pPr>
        <w:pStyle w:val="Heading2"/>
      </w:pPr>
      <w:r>
        <w:t xml:space="preserve">13.1 El módulo para la ciudadanía</w:t>
      </w:r>
    </w:p>
    <w:p>
      <w:pPr>
        <w:spacing w:after="120" w:line="276"/>
      </w:pPr>
      <w:r>
        <w:t xml:space="preserve">En el diseño original, la demo cruzaba el perfil que ingresaba el usuario con el desempeño de cada hospital. Eso la convertía en un recomendador de hospitales. Lo eliminamos por dos razones: en el sistema público el paciente no elige hospital, y el desempeño de un hospital depende de recursos del territorio que el ciudadano no puede cambiar.</w:t>
      </w:r>
    </w:p>
    <w:p>
      <w:pPr>
        <w:spacing w:after="120" w:line="276"/>
      </w:pPr>
      <w:r>
        <w:t xml:space="preserve">Lo que queda es una demo pedagógica: el usuario ingresa un perfil clínico sintético, el sistema calcula un riesgo y muestra cuánto aportó cada variable con SHAP (Lundberg et al., 2020), calculado de forma exacta con el propio modelo LightGBM. SHAP es una explicación matemática del modelo, no una relación causal biológica. La demo no muestra métricas de hospitales.</w:t>
      </w:r>
    </w:p>
    <w:p>
      <w:pPr>
        <w:spacing w:after="120" w:line="276"/>
      </w:pPr>
      <w:r>
        <w:rPr>
          <w:b/>
          <w:bCs/>
        </w:rPr>
        <w:t xml:space="preserve">Decisión (decisión 10).</w:t>
      </w:r>
      <w:r>
        <w:t xml:space="preserve"> El prototipo muestra los hospitales solo por código, ordenados por código y sin ranking. Advertencia: los códigos DEIS son públicos y los catálogos los traducen a nombres. El código no anonimiza; solo evita destacar nombres.</w:t>
      </w:r>
    </w:p>
    <w:p>
      <w:pPr>
        <w:pStyle w:val="Heading1"/>
      </w:pPr>
      <w:r>
        <w:t xml:space="preserve">14. Privacidad y marco legal</w:t>
      </w:r>
    </w:p>
    <w:p>
      <w:pPr>
        <w:pStyle w:val="Heading2"/>
      </w:pPr>
      <w:r>
        <w:t xml:space="preserve">14.1 Qué traen los datos</w:t>
      </w:r>
    </w:p>
    <w:p>
      <w:pPr>
        <w:spacing w:after="120" w:line="276"/>
      </w:pPr>
      <w:r>
        <w:t xml:space="preserve">Los datos no traen nombre, RUT ni contacto. Pero sí traen fechas exactas de nacimiento, ingreso y alta. Combinadas con el hospital y el diagnóstico, esas fechas pueden permitir reidentificar a una persona. Por eso no basta con decir que los datos son anónimos y tomamos medidas adicionales.</w:t>
      </w:r>
    </w:p>
    <w:p>
      <w:pPr>
        <w:pStyle w:val="Heading2"/>
      </w:pPr>
      <w:r>
        <w:t xml:space="preserve">14.2 Medidas</w:t>
      </w:r>
    </w:p>
    <w:p>
      <w:pPr>
        <w:pStyle w:val="ListParagraph"/>
        <w:numPr>
          <w:ilvl w:val="0"/>
          <w:numId w:val="2"/>
        </w:numPr>
        <w:spacing w:after="80" w:line="264"/>
      </w:pPr>
      <w:r>
        <w:t xml:space="preserve">La fecha de nacimiento se borra en la Capa Oro, después de calcular la edad.</w:t>
      </w:r>
    </w:p>
    <w:p>
      <w:pPr>
        <w:pStyle w:val="ListParagraph"/>
        <w:numPr>
          <w:ilvl w:val="0"/>
          <w:numId w:val="2"/>
        </w:numPr>
        <w:spacing w:after="80" w:line="264"/>
      </w:pPr>
      <w:r>
        <w:t xml:space="preserve">La Capa Cruda y las capas Bronce, Plata y Oro quedan con acceso restringido y fuera de GitHub.</w:t>
      </w:r>
    </w:p>
    <w:p>
      <w:pPr>
        <w:pStyle w:val="ListParagraph"/>
        <w:numPr>
          <w:ilvl w:val="0"/>
          <w:numId w:val="2"/>
        </w:numPr>
        <w:spacing w:after="80" w:line="264"/>
      </w:pPr>
      <w:r>
        <w:t xml:space="preserve">PostgreSQL y la plataforma web no guardan registros individuales.</w:t>
      </w:r>
    </w:p>
    <w:p>
      <w:pPr>
        <w:pStyle w:val="ListParagraph"/>
        <w:numPr>
          <w:ilvl w:val="0"/>
          <w:numId w:val="2"/>
        </w:numPr>
        <w:spacing w:after="80" w:line="264"/>
      </w:pPr>
      <w:r>
        <w:t xml:space="preserve">La demo no guarda el perfil que ingresa el usuario, ni en la base ni en los registros del servidor.</w:t>
      </w:r>
    </w:p>
    <w:p>
      <w:pPr>
        <w:pStyle w:val="ListParagraph"/>
        <w:numPr>
          <w:ilvl w:val="0"/>
          <w:numId w:val="2"/>
        </w:numPr>
        <w:spacing w:after="80" w:line="264"/>
      </w:pPr>
      <w:r>
        <w:t xml:space="preserve">No se publica ninguna cifra basada en 1 a 9 casos, ni una que permita reconstruirla (sección 11.2).</w:t>
      </w:r>
    </w:p>
    <w:p>
      <w:pPr>
        <w:pStyle w:val="Heading2"/>
      </w:pPr>
      <w:r>
        <w:t xml:space="preserve">14.3 Marco legal</w:t>
      </w:r>
    </w:p>
    <w:p>
      <w:pPr>
        <w:spacing w:after="120" w:line="276"/>
      </w:pPr>
      <w:r>
        <w:t xml:space="preserve">La Ley 20.285 de Transparencia da el acceso a los datos (Congreso Nacional de Chile, 2008).</w:t>
      </w:r>
    </w:p>
    <w:p>
      <w:pPr>
        <w:spacing w:after="120" w:line="276"/>
      </w:pPr>
      <w:r>
        <w:rPr>
          <w:b/>
          <w:bCs/>
        </w:rPr>
        <w:t xml:space="preserve">Protección de datos personales.</w:t>
      </w:r>
      <w:r>
        <w:t xml:space="preserve"> El proyecto se redacta asumiendo la Ley 21.719, publicada el 13 de diciembre de 2024, que entra en vigencia el 1 de diciembre de 2026 y reemplaza el régimen de la Ley 19.628, vigente hasta esa fecha. Un proyecto de ley en el Senado (boletín 18.623-07) propone aplazarla al 1 de diciembre de 2027, pero mientras no se apruebe la fecha legal sigue siendo diciembre de 2026: casi todo el proyecto se ejecuta bajo la nueva ley. Los datos de salud son datos sensibles, y por eso se mantienen las medidas de la sección 14.2. La fecha de vigencia se revisará antes del informe final (situación al 25 de octubre de 2026).</w:t>
      </w:r>
    </w:p>
    <w:p>
      <w:pPr>
        <w:spacing w:after="120" w:line="276"/>
      </w:pPr>
      <w:r>
        <w:rPr>
          <w:b/>
          <w:bCs/>
        </w:rPr>
        <w:t xml:space="preserve">Lo que queda por hacer</w:t>
      </w:r>
      <w:r>
        <w:t xml:space="preserve"> (recomendaciones del profesor guía, 24-10-2026):</w:t>
      </w:r>
    </w:p>
    <w:p>
      <w:pPr>
        <w:pStyle w:val="ListParagraph"/>
        <w:numPr>
          <w:ilvl w:val="0"/>
          <w:numId w:val="2"/>
        </w:numPr>
        <w:spacing w:after="80" w:line="264"/>
      </w:pPr>
      <w:r>
        <w:rPr>
          <w:b/>
          <w:bCs/>
        </w:rPr>
        <w:t xml:space="preserve">Comité de Ética Institucional de la USACH.</w:t>
      </w:r>
      <w:r>
        <w:t xml:space="preserve"> Presentar el proyecto. Los datos ya se procesaron (octubre de 2026) sin esa revisión, y se declara. La presentación debe hacerse antes de publicar la plataforma o mostrar resultados a terceros.</w:t>
      </w:r>
    </w:p>
    <w:p>
      <w:pPr>
        <w:pStyle w:val="ListParagraph"/>
        <w:numPr>
          <w:ilvl w:val="0"/>
          <w:numId w:val="2"/>
        </w:numPr>
        <w:spacing w:after="80" w:line="264"/>
      </w:pPr>
      <w:r>
        <w:rPr>
          <w:b/>
          <w:bCs/>
        </w:rPr>
        <w:t xml:space="preserve">Condiciones de uso de FONASA.</w:t>
      </w:r>
      <w:r>
        <w:t xml:space="preserve"> Pedir por escrito si la entrega permite publicar resultados por hospital. Hay borradores de cartas que no se han enviado. Mientras no haya respuesta, los resultados se presentan en un entorno académico, agregados y solo con códigos.</w:t>
      </w:r>
    </w:p>
    <w:p>
      <w:pPr>
        <w:pStyle w:val="Heading1"/>
      </w:pPr>
      <w:r>
        <w:t xml:space="preserve">15. Recursos y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tblHeader/>
        </w:trPr>
        <w:tc>
          <w:tcPr>
            <w:tcW w:type="dxa" w:w="224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Recurso</w:t>
            </w:r>
          </w:p>
        </w:tc>
        <w:tc>
          <w:tcPr>
            <w:tcW w:type="dxa" w:w="711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Detalle</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Equipo</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Procesador Intel Core i5 de 13.ª generación (12 núcleos), 16 GB de RAM, Linux (Ubuntu).</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Tarjeta gráfica</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NVIDIA GeForce RTX 2050. No se usa para entrenar: los modelos de árboles sobre datos tabulares aprovechan mejor el procesador.</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Datos</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Python 3.13, Polars, Pandas, NumPy y PyArrow.</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Modelado</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scikit-learn, LightGBM, XGBoost y Optuna (búsqueda de hiperparámetros). Las explicaciones SHAP se calculan con LightGBM.</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Backend y base</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FastAPI y PostgreSQL.</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Frontend</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Vue.js.</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Control del entorno</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requirements-lock.txt (versiones exactas), Dockerfile, Git y GitHub.</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Metodología</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CRISP-DM (Schröer et al., 2021).</w:t>
            </w:r>
          </w:p>
        </w:tc>
      </w:tr>
    </w:tbl>
    <w:p>
      <w:pPr>
        <w:spacing w:after="80"/>
      </w:pPr>
    </w:p>
    <w:p>
      <w:pPr>
        <w:spacing w:after="120" w:line="276"/>
      </w:pPr>
      <w:r>
        <w:rPr>
          <w:b/>
          <w:bCs/>
        </w:rPr>
        <w:t xml:space="preserve">Restricciones.</w:t>
      </w:r>
    </w:p>
    <w:p>
      <w:pPr>
        <w:pStyle w:val="ListParagraph"/>
        <w:numPr>
          <w:ilvl w:val="0"/>
          <w:numId w:val="2"/>
        </w:numPr>
        <w:spacing w:after="80" w:line="264"/>
      </w:pPr>
      <w:r>
        <w:rPr>
          <w:b/>
          <w:bCs/>
        </w:rPr>
        <w:t xml:space="preserve">Memoria.</w:t>
      </w:r>
      <w:r>
        <w:t xml:space="preserve"> 16 GB son pocos para 5,8 millones de registros con muchas variables. Se trabaja con Parquet, tipos de datos compactos, lectura por lotes de 200.000 filas y solo las columnas necesarias. En la reproducción independiente, la preparación de los datos no pasó de 3,1 GB. Los modelos se entrenan con 2 hilos y semilla fija, lo que además hace los resultados repetibles.</w:t>
      </w:r>
    </w:p>
    <w:p>
      <w:pPr>
        <w:pStyle w:val="ListParagraph"/>
        <w:numPr>
          <w:ilvl w:val="0"/>
          <w:numId w:val="2"/>
        </w:numPr>
        <w:spacing w:after="80" w:line="264"/>
      </w:pPr>
      <w:r>
        <w:rPr>
          <w:b/>
          <w:bCs/>
        </w:rPr>
        <w:t xml:space="preserve">Plazo.</w:t>
      </w:r>
      <w:r>
        <w:t xml:space="preserve"> El cronograma es apretado (sección 15.1).</w:t>
      </w:r>
    </w:p>
    <w:p>
      <w:pPr>
        <w:pStyle w:val="ListParagraph"/>
        <w:numPr>
          <w:ilvl w:val="0"/>
          <w:numId w:val="2"/>
        </w:numPr>
        <w:spacing w:after="80" w:line="264"/>
      </w:pPr>
      <w:r>
        <w:rPr>
          <w:b/>
          <w:bCs/>
        </w:rPr>
        <w:t xml:space="preserve">Acceso a expertos.</w:t>
      </w:r>
      <w:r>
        <w:t xml:space="preserve"> Hoy no hay una persona con perfil clínico revisando las decisiones (decisión 12, sección 17).</w:t>
      </w:r>
    </w:p>
    <w:p>
      <w:pPr>
        <w:pStyle w:val="ListParagraph"/>
        <w:numPr>
          <w:ilvl w:val="0"/>
          <w:numId w:val="2"/>
        </w:numPr>
        <w:spacing w:after="80" w:line="264"/>
      </w:pPr>
      <w:r>
        <w:rPr>
          <w:b/>
          <w:bCs/>
        </w:rPr>
        <w:t xml:space="preserve">Datos.</w:t>
      </w:r>
      <w:r>
        <w:t xml:space="preserve"> No se pueden compartir ni publicar los archivos originales.</w:t>
      </w:r>
    </w:p>
    <w:p>
      <w:pPr>
        <w:pStyle w:val="Heading2"/>
      </w:pPr>
      <w:r>
        <w:t xml:space="preserve">15.1 Cronograma</w:t>
      </w:r>
    </w:p>
    <w:p>
      <w:pPr>
        <w:spacing w:after="120" w:line="276"/>
      </w:pPr>
      <w:r>
        <w:t xml:space="preserve">El informe de seminario planificó el proyecto en 17 semanas (Carta Gantt). La tabla compara ese plan con las fechas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685"/>
        <w:gridCol w:w="3931"/>
        <w:gridCol w:w="1685"/>
      </w:tblGrid>
      <w:tr>
        <w:trPr>
          <w:tblHeader/>
        </w:trPr>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Fase</w:t>
            </w:r>
          </w:p>
        </w:tc>
        <w:tc>
          <w:tcPr>
            <w:tcW w:type="dxa" w:w="168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Plan del seminario</w:t>
            </w:r>
          </w:p>
        </w:tc>
        <w:tc>
          <w:tcPr>
            <w:tcW w:type="dxa" w:w="393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Fecha real</w:t>
            </w:r>
          </w:p>
        </w:tc>
        <w:tc>
          <w:tcPr>
            <w:tcW w:type="dxa" w:w="168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1. Comprensión del dominio</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Semanas 1 y 2</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Publicada en GitHub el 27-09-2026; versión 6 el 25-10-2026</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Cerrada</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2. Comprensión de los datos</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Semanas 2 a 5</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Base completa del 16 al 18-10-2026</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Cerrada</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3. Preparación de los datos</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Semanas 5 y 6</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18-10-2026</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Cerrada</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4. Modelado</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Semanas 6 a 11</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19-10-2026 (modelos congelados)</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Cerrada</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5. Evaluación</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Semanas 11 a 14</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19-10-2026 (apertura única de 2024); enmiendas el 21 y 22-10-2026</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Cerrada</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6. Despliegue</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Semanas 14 a 17</w:t>
            </w:r>
          </w:p>
        </w:tc>
        <w:tc>
          <w:tcPr>
            <w:tcW w:type="dxa" w:w="39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Plan de 3 semanas: desarrollo en las semanas 1 y 2; prueba con usuarios desde el día 8, según se consigan participantes</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 desarrollo</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Informe final</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Todo el proyecto</w:t>
            </w:r>
          </w:p>
        </w:tc>
        <w:tc>
          <w:tcPr>
            <w:tcW w:type="dxa" w:w="39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 paralelo</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 curso</w:t>
            </w:r>
          </w:p>
        </w:tc>
      </w:tr>
    </w:tbl>
    <w:p>
      <w:pPr>
        <w:spacing w:after="80"/>
      </w:pPr>
    </w:p>
    <w:p>
      <w:pPr>
        <w:spacing w:after="120" w:line="276"/>
      </w:pPr>
      <w:r>
        <w:t xml:space="preserve">La fecha de entrega final la fija el calendario de titulación y se confirmará con el profesor guía.</w:t>
      </w:r>
    </w:p>
    <w:p>
      <w:pPr>
        <w:pStyle w:val="Heading2"/>
      </w:pPr>
      <w:r>
        <w:t xml:space="preserve">15.2 Qué es esencial y qué es deseable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310"/>
        <w:gridCol w:w="2434"/>
        <w:gridCol w:w="2621"/>
      </w:tblGrid>
      <w:tr>
        <w:trPr>
          <w:tblHeader/>
        </w:trPr>
        <w:tc>
          <w:tcPr>
            <w:tcW w:type="dxa" w:w="299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Parte</w:t>
            </w:r>
          </w:p>
        </w:tc>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Prioridad</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c>
          <w:tcPr>
            <w:tcW w:type="dxa" w:w="262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Si el plazo aprieta</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Pipeline de datos (capas Bronce a Oro)</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Esencial</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Hecho (Fase 3)</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r>
        <w:trPr>
          <w:cantSplit/>
        </w:trPr>
        <w:tc>
          <w:tcPr>
            <w:tcW w:type="dxa" w:w="299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Modelos de mortalidad y estadía</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Esencial</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Hechos y congelados (Fase 4)</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Indicador O/E con embudos y control de privacidad</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Esencial</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Hecho (Fase 5 y enmiendas)</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r>
        <w:trPr>
          <w:cantSplit/>
        </w:trPr>
        <w:tc>
          <w:tcPr>
            <w:tcW w:type="dxa" w:w="299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Informe final</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Esencial</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 curso</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API y tablero de indicadores</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Deseable</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En desarrollo (Fase 6)</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Queda como prototipo mínimo: API y tablero de solo lectura</w:t>
            </w:r>
          </w:p>
        </w:tc>
      </w:tr>
      <w:tr>
        <w:trPr>
          <w:cantSplit/>
        </w:trPr>
        <w:tc>
          <w:tcPr>
            <w:tcW w:type="dxa" w:w="299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Demo para la ciudadanía</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Deseable</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En desarrollo (Fase 6)</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Es lo primero que se simplifica o se deja fuera</w:t>
            </w:r>
          </w:p>
        </w:tc>
      </w:tr>
      <w:tr>
        <w:trPr>
          <w:cantSplit/>
        </w:trPr>
        <w:tc>
          <w:tcPr>
            <w:tcW w:type="dxa" w:w="299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Prueba con gestores de salud</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Deseable</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Sin participantes todavía</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Se hace con pocos usuarios; hay que reclutarlos con tiempo</w:t>
            </w:r>
          </w:p>
        </w:tc>
      </w:tr>
    </w:tbl>
    <w:p>
      <w:pPr>
        <w:spacing w:after="80"/>
      </w:pPr>
    </w:p>
    <w:p>
      <w:pPr>
        <w:pStyle w:val="Heading1"/>
      </w:pPr>
      <w:r>
        <w:t xml:space="preserve">16. Alcance y limitaciones</w:t>
      </w:r>
    </w:p>
    <w:p>
      <w:pPr>
        <w:spacing w:after="120" w:line="276"/>
      </w:pPr>
      <w:r>
        <w:t xml:space="preserve">El sistema no pretende:</w:t>
      </w:r>
    </w:p>
    <w:p>
      <w:pPr>
        <w:pStyle w:val="ListParagraph"/>
        <w:numPr>
          <w:ilvl w:val="0"/>
          <w:numId w:val="2"/>
        </w:numPr>
        <w:spacing w:after="80" w:line="264"/>
      </w:pPr>
      <w:r>
        <w:t xml:space="preserve">Emitir un dictamen definitivo sobre la calidad clínica de un establecimiento.</w:t>
      </w:r>
    </w:p>
    <w:p>
      <w:pPr>
        <w:pStyle w:val="ListParagraph"/>
        <w:numPr>
          <w:ilvl w:val="0"/>
          <w:numId w:val="2"/>
        </w:numPr>
        <w:spacing w:after="80" w:line="264"/>
      </w:pPr>
      <w:r>
        <w:t xml:space="preserve">Señalar responsabilidades ni generar rankings.</w:t>
      </w:r>
    </w:p>
    <w:p>
      <w:pPr>
        <w:pStyle w:val="ListParagraph"/>
        <w:numPr>
          <w:ilvl w:val="0"/>
          <w:numId w:val="2"/>
        </w:numPr>
        <w:spacing w:after="80" w:line="264"/>
      </w:pPr>
      <w:r>
        <w:t xml:space="preserve">Corregir por completo el sesgo de alta anticipada. Para hacerlo habría que vincular los egresos con el Registro Civil y calcular la mortalidad a 30 días después del alta, y eso está fuera del alcance.</w:t>
      </w:r>
    </w:p>
    <w:p>
      <w:pPr>
        <w:pStyle w:val="ListParagraph"/>
        <w:numPr>
          <w:ilvl w:val="0"/>
          <w:numId w:val="2"/>
        </w:numPr>
        <w:spacing w:after="80" w:line="264"/>
      </w:pPr>
      <w:r>
        <w:t xml:space="preserve">Considerar diferencias de infraestructura, presupuesto o dotación de personal.</w:t>
      </w:r>
    </w:p>
    <w:p>
      <w:pPr>
        <w:spacing w:after="120" w:line="276"/>
      </w:pPr>
      <w:r>
        <w:t xml:space="preserve">El sistema sí pretende:</w:t>
      </w:r>
    </w:p>
    <w:p>
      <w:pPr>
        <w:pStyle w:val="ListParagraph"/>
        <w:numPr>
          <w:ilvl w:val="0"/>
          <w:numId w:val="2"/>
        </w:numPr>
        <w:spacing w:after="80" w:line="264"/>
      </w:pPr>
      <w:r>
        <w:t xml:space="preserve">Entregar una señal estadística objetiva que oriente revisiones internas y la asignación de recursos.</w:t>
      </w:r>
    </w:p>
    <w:p>
      <w:pPr>
        <w:pStyle w:val="ListParagraph"/>
        <w:numPr>
          <w:ilvl w:val="0"/>
          <w:numId w:val="2"/>
        </w:numPr>
        <w:spacing w:after="80" w:line="264"/>
      </w:pPr>
      <w:r>
        <w:t xml:space="preserve">Ser reproducible de principio a fin.</w:t>
      </w:r>
    </w:p>
    <w:p>
      <w:pPr>
        <w:pStyle w:val="ListParagraph"/>
        <w:numPr>
          <w:ilvl w:val="0"/>
          <w:numId w:val="2"/>
        </w:numPr>
        <w:spacing w:after="80" w:line="264"/>
      </w:pPr>
      <w:r>
        <w:t xml:space="preserve">Documentar cada exclusión, decisión y limitación.</w:t>
      </w:r>
    </w:p>
    <w:p>
      <w:pPr>
        <w:spacing w:after="120" w:line="276"/>
      </w:pPr>
      <w:r>
        <w:t xml:space="preserve">Limitaciones que hay que tener presentes:</w:t>
      </w:r>
    </w:p>
    <w:p>
      <w:pPr>
        <w:pStyle w:val="ListParagraph"/>
        <w:numPr>
          <w:ilvl w:val="0"/>
          <w:numId w:val="2"/>
        </w:numPr>
        <w:spacing w:after="80" w:line="264"/>
      </w:pPr>
      <w:r>
        <w:t xml:space="preserve">Todo depende de la calidad de la codificación de los datos.</w:t>
      </w:r>
    </w:p>
    <w:p>
      <w:pPr>
        <w:pStyle w:val="ListParagraph"/>
        <w:numPr>
          <w:ilvl w:val="0"/>
          <w:numId w:val="2"/>
        </w:numPr>
        <w:spacing w:after="80" w:line="264"/>
      </w:pPr>
      <w:r>
        <w:t xml:space="preserve">Los diagnósticos no tienen el marcador de presente al ingreso.</w:t>
      </w:r>
    </w:p>
    <w:p>
      <w:pPr>
        <w:pStyle w:val="ListParagraph"/>
        <w:numPr>
          <w:ilvl w:val="0"/>
          <w:numId w:val="2"/>
        </w:numPr>
        <w:spacing w:after="80" w:line="264"/>
      </w:pPr>
      <w:r>
        <w:t xml:space="preserve">Solo se mide la mortalidad dentro del hospital y los días de estadía, que son parte de la calidad y no toda.</w:t>
      </w:r>
    </w:p>
    <w:p>
      <w:pPr>
        <w:pStyle w:val="ListParagraph"/>
        <w:numPr>
          <w:ilvl w:val="0"/>
          <w:numId w:val="2"/>
        </w:numPr>
        <w:spacing w:after="80" w:line="264"/>
      </w:pPr>
      <w:r>
        <w:t xml:space="preserve">El indicador no prueba causalidad.</w:t>
      </w:r>
    </w:p>
    <w:p>
      <w:pPr>
        <w:pStyle w:val="ListParagraph"/>
        <w:numPr>
          <w:ilvl w:val="0"/>
          <w:numId w:val="2"/>
        </w:numPr>
        <w:spacing w:after="80" w:line="264"/>
      </w:pPr>
      <w:r>
        <w:t xml:space="preserve">El indicador evalúa la atención de adultos: los 3 hospitales pediátricos quedan fuera y la atención infantil y neonatal de los demás hospitales no se mide.</w:t>
      </w:r>
    </w:p>
    <w:p>
      <w:pPr>
        <w:pStyle w:val="ListParagraph"/>
        <w:numPr>
          <w:ilvl w:val="0"/>
          <w:numId w:val="2"/>
        </w:numPr>
        <w:spacing w:after="80" w:line="264"/>
      </w:pPr>
      <w:r>
        <w:t xml:space="preserve">El indicador de estadía no mide las estadías extremas (más de 53 días).</w:t>
      </w:r>
    </w:p>
    <w:p>
      <w:pPr>
        <w:pStyle w:val="ListParagraph"/>
        <w:numPr>
          <w:ilvl w:val="0"/>
          <w:numId w:val="2"/>
        </w:numPr>
        <w:spacing w:after="80" w:line="264"/>
      </w:pPr>
      <w:r>
        <w:t xml:space="preserve">Las exclusiones de recién nacidos y de egresos obstétricos sin comorbilidades usan el código GRD, que se asigna al egreso: dependen en parte de cómo terminó el episodio (sección 9.3).</w:t>
      </w:r>
    </w:p>
    <w:p>
      <w:pPr>
        <w:pStyle w:val="ListParagraph"/>
        <w:numPr>
          <w:ilvl w:val="0"/>
          <w:numId w:val="2"/>
        </w:numPr>
        <w:spacing w:after="80" w:line="264"/>
      </w:pPr>
      <w:r>
        <w:t xml:space="preserve">Los traslados salientes quedan censurados y su desenlace no se recupera: el sesgo de alta anticipada no se corrige.</w:t>
      </w:r>
    </w:p>
    <w:p>
      <w:pPr>
        <w:pStyle w:val="ListParagraph"/>
        <w:numPr>
          <w:ilvl w:val="0"/>
          <w:numId w:val="2"/>
        </w:numPr>
        <w:spacing w:after="80" w:line="264"/>
      </w:pPr>
      <w:r>
        <w:t xml:space="preserve">Los traslados entrantes se incluyen, ajustados por la procedencia. Los hospitales de derivación reciben más, y su O/E debe leerse con ese contexto.</w:t>
      </w:r>
    </w:p>
    <w:p>
      <w:pPr>
        <w:pStyle w:val="ListParagraph"/>
        <w:numPr>
          <w:ilvl w:val="0"/>
          <w:numId w:val="2"/>
        </w:numPr>
        <w:spacing w:after="80" w:line="264"/>
      </w:pPr>
      <w:r>
        <w:t xml:space="preserve">El O/E de estadía depende del tamaño del hospital: en el tercio de hospitales con menos egresos es 0,85–0,86, y en los que llevan menos de 2 años en GRD, 0,79–0,83 (enmienda 01). No es comparable entre hospitales de distinto tamaño.</w:t>
      </w:r>
    </w:p>
    <w:p>
      <w:pPr>
        <w:pStyle w:val="ListParagraph"/>
        <w:numPr>
          <w:ilvl w:val="0"/>
          <w:numId w:val="2"/>
        </w:numPr>
        <w:spacing w:after="80" w:line="264"/>
      </w:pPr>
      <w:r>
        <w:t xml:space="preserve">El orden de los hospitales en mortalidad depende de las variables condicionales (nivel de cuidado, tipo de ingreso y procedencia): sin ellas, la correlación de orden del O/E baja a 0,80–0,89 (enmienda 01, análisis 2.3, el único que no cumple la regla de lectura). Su validación clínica sigue pendiente (decisión 12).</w:t>
      </w:r>
    </w:p>
    <w:p>
      <w:pPr>
        <w:pStyle w:val="ListParagraph"/>
        <w:numPr>
          <w:ilvl w:val="0"/>
          <w:numId w:val="2"/>
        </w:numPr>
        <w:spacing w:after="80" w:line="264"/>
      </w:pPr>
      <w:r>
        <w:t xml:space="preserve">Los 3 institutos de especialidad se comparan con hospitales generales. Informarlos aparte no cambia la lectura del resto (enmienda 01, análisis 3.1a).</w:t>
      </w:r>
    </w:p>
    <w:p>
      <w:pPr>
        <w:pStyle w:val="ListParagraph"/>
        <w:numPr>
          <w:ilvl w:val="0"/>
          <w:numId w:val="2"/>
        </w:numPr>
        <w:spacing w:after="80" w:line="264"/>
      </w:pPr>
      <w:r>
        <w:t xml:space="preserve">El resultado se evalúa en un solo año de prueba, 2024, que no fue ciego para el autor (incidente I-01).</w:t>
      </w:r>
    </w:p>
    <w:p>
      <w:pPr>
        <w:pStyle w:val="Heading1"/>
      </w:pPr>
      <w:r>
        <w:t xml:space="preserve">17. Decisiones de diseño: cómo quedaron</w:t>
      </w:r>
    </w:p>
    <w:p>
      <w:pPr>
        <w:spacing w:after="120" w:line="276"/>
      </w:pPr>
      <w:r>
        <w:t xml:space="preserve">La versión 2 dejaba estas decisiones pendientes con el profesor guía, con la columna «Resolución» vacía. La Fase 2 midió la evidencia de cada una y las fases siguientes las ejecutaron. Esta tabla dice cómo quedó cada una y, si cambió, cuándo. La versión 2 listaba 11 de las 17 decisiones; las otras 6 (3, 4, 7, 8, 9 y 14) se agregan para que la tabla esté completa.</w:t>
      </w:r>
    </w:p>
    <w:p>
      <w:pPr>
        <w:spacing w:after="120" w:line="276"/>
      </w:pPr>
      <w:r>
        <w:t xml:space="preserve">El profesor guía comentó estas decisiones en su revisión técnica del 24-10-2026. La mayoría ya estaba resuelta con la evidencia de la Fase 2, que responde a esos comentarios en su informe (sección 9). Queda una que depende del autor: la validación clínica (12). La constancia escrita del profesor se firmará después de los resultados (ver </w:t>
      </w:r>
      <w:r>
        <w:rPr>
          <w:rFonts w:ascii="Consolas" w:cs="Consolas" w:eastAsia="Consolas" w:hAnsi="Consolas"/>
          <w:sz w:val="19"/>
          <w:szCs w:val="19"/>
        </w:rPr>
        <w:t xml:space="preserve">docs/gobernanza/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1872"/>
        <w:gridCol w:w="1872"/>
        <w:gridCol w:w="3089"/>
        <w:gridCol w:w="1965"/>
      </w:tblGrid>
      <w:tr>
        <w:trPr>
          <w:tblHeader/>
        </w:trPr>
        <w:tc>
          <w:tcPr>
            <w:tcW w:type="dxa" w:w="56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N.º</w:t>
            </w:r>
          </w:p>
        </w:tc>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Decisión</w:t>
            </w:r>
          </w:p>
        </w:tc>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proponía (versión 2)</w:t>
            </w:r>
          </w:p>
        </w:tc>
        <w:tc>
          <w:tcPr>
            <w:tcW w:type="dxa" w:w="308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Resolución (lo ejecutado)</w:t>
            </w:r>
          </w:p>
        </w:tc>
        <w:tc>
          <w:tcPr>
            <w:tcW w:type="dxa" w:w="196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¿Cambió? ¿Cuándo?</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usa el historial de hospitalizaciones previas como predictor?</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Variables de hospitalización previa en 12 meses y días desde el último egreso.</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se puede calcular, pero no aporta (AUC +0,000 y +0,003) y el identificador cambia de sistema entre 2020 y 2021.</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Sí: de propuesta a descartada (Fase 2, antes de abrir 2024).</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¿Entran al modelo el servicio de ingreso, la especialidad y la marca de paciente derivado?</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Evaluar si registran la gravedad del paciente o la capacidad del hospital.</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entran. Sí entran el nivel de cuidado al ingreso, el tipo de ingreso y la procedencia (dos niveles). Sin ellas, el orden en mortalidad cambia (análisis 2.3).</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Resuelta con la Fase 2 y aplicada en la Fase 3, antes de abrir. Validación clínica pendiente.</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¿Entran al modelo la previsión, la nacionalidad, la provincia y la comuna?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Dejarlas fuera del modelo principal.</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entran. Provincia y comuna, además, identifican al hospital.</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¿Entra la etnia al modelo?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Guardarla para describir, sin analizarla en esta tesis.</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entra; solo se describe.</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analiza solo a los adultos?</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Restringir el alcance a adultos (18 años o más).</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Sí. Los 3 hospitales pediátricos quedan fuera.</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volumen mínimo necesita un hospital para entrar al indicador?</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500 egresos y 10 muertes esperadas.</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500 egresos y 10 muertes esperadas (no observadas). En estadía, el protocolo de la Fase 5 aplica el mismo corte sobre los días esperados: en la práctica decide el de 500 egresos. 69 de 72 hospitales evaluados en 2024. Ninguna cifra de 1 a 9 casos, ni reconstruible.</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(el umbral de estadía lo fijó el protocolo de la Fase 5, antes de abrir).</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¿Cómo se tratan las estadías muy largas?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Definir la regla solo con 2019–2022.</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Tope en el percentil 99 de 2019–2022: 53 días, en observados y esperados.</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8</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repite el análisis sin las categorías de Elixhauser que podrían ser complicaciones?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Repetirlo sin las cinco categorías más propensas a ser complicaciones.</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se hizo en el proyecto. Se corrió después como análisis 2.1 de la enmienda 01 y cumple la regla de lectura (sección 10.5).</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Sí: retirada en la versión 3 y hecha después como enmienda (después de abrir).</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rango se exige al O/E global de estadía?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Entre 0,95 y 1,05.</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Ese rango, con objetivo Tweedie. En 2024: 0,957.</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¿Muestra el prototipo los nombres de los hospitales?</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Mostrar nombres o anonimizar en el prototipo.</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solo códigos, ordenados por código y sin ranking. Los códigos DEIS son públicos y no anonimizan.</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Resuelta en la Fase 5 (19-10). Coincide con lo que sugiere el profesor.</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se hace con los valores con forma de RUT?</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Definir cómo se tratan.</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22 valores en dos columnas de 2019: se cuentan, no se guardan y esas dos columnas se descartan en Bronce (sección 7).</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¿Quién valida clínicamente las reglas?</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Definir una revisión médica de las definiciones.</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Sin contraparte clínica. Nadie validó la exclusión obstétrica, la procedencia ni el nivel de cuidado. El profesor recomienda conseguir al menos una persona con perfil clínico.</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Pendiente: decisión del autor.</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13</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rastrea el desenlace de los traslados salientes?</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Reconstruir la trayectoria del paciente entre hospitales.</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quedan censurados y se muestra la tasa de traslado saliente (sección 9.4).</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Sí: la Fase 3 no lo implementó (antes de abrir); la versión 4 lo retiró (después).</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14</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usa la severidad del GRD?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Usarla solo en un análisis de sensibilidad aparte.</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prohibida sin excepciones, junto con el riesgo de mortalidad y el peso del GRD (R6).</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Sí: de sensibilidad a prohibida (Fase 2, antes de abrir).</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se hace con las estadías de 0 días y la actividad ambulatoria?</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Decidir su tratamiento en mortalidad.</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actividad ambulatoria sale. La estadía de 0 días queda en mortalidad y sale de estadía.</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16</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excluyen los traslados entrantes?</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Excluirlos de los modelos y del O/E.</w:t>
            </w:r>
          </w:p>
        </w:tc>
        <w:tc>
          <w:tcPr>
            <w:tcW w:type="dxa" w:w="30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entran a las cohortes D y E y al O/E, ajustados por la procedencia; se informa su proporción por hospital. Sin ellos el indicador casi no cambia (análisis 2.6).</w:t>
            </w:r>
          </w:p>
        </w:tc>
        <w:tc>
          <w:tcPr>
            <w:tcW w:type="dxa" w:w="196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Sí: las Fases 3 y 4 los incluyeron antes de abrir sin que se detectara; la versión 4 lo adoptó después.</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17</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entrena con los años de pandemia (2020 y 2021)?</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Incluir o excluir 2020 y 2021.</w:t>
            </w:r>
          </w:p>
        </w:tc>
        <w:tc>
          <w:tcPr>
            <w:tcW w:type="dxa" w:w="30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Sí: 2019–2022 completo y recalibración con 2023. La sensibilidad sin 2020–2021 se corrió como análisis 2.2 de la enmienda 01 y cumple la regla.</w:t>
            </w:r>
          </w:p>
        </w:tc>
        <w:tc>
          <w:tcPr>
            <w:tcW w:type="dxa" w:w="196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Parcial: el análisis llegó después de abrir.</w:t>
            </w:r>
          </w:p>
        </w:tc>
      </w:tr>
    </w:tbl>
    <w:p>
      <w:pPr>
        <w:spacing w:after="80"/>
      </w:pPr>
    </w:p>
    <w:p>
      <w:pPr>
        <w:spacing w:after="120" w:line="276"/>
      </w:pPr>
      <w:r>
        <w:rPr>
          <w:color w:val="404040"/>
          <w:sz w:val="17"/>
          <w:szCs w:val="17"/>
        </w:rPr>
        <w:t xml:space="preserve">* No estaba en la tabla de la versión 2.</w:t>
      </w:r>
    </w:p>
    <w:p>
      <w:pPr>
        <w:pStyle w:val="Heading1"/>
      </w:pPr>
      <w:r>
        <w:t xml:space="preserve">18.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Término</w:t>
            </w:r>
          </w:p>
        </w:tc>
        <w:tc>
          <w:tcPr>
            <w:tcW w:type="dxa" w:w="655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Definición</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GRD (Grupos Relacionados por Diagnóstico)</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Sistema que agrupa hospitalizaciones con características clínicas parecidas y consumo de recursos comparable.</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MDC (Categoría Diagnóstica Mayor)</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Los dos primeros dígitos del código GRD. Agrupan los episodios por sistema del cuerpo; por ejemplo, el MDC 15 son los recién nacidos y el MDC 14, el embarazo y el parto.</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Razón O/E</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Cociente entre los eventos reales de un hospital y los que el modelo esperaba para sus pacientes. El valor 1,0 indica lo esperado.</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Índice de Elixhauser</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Medida estándar que resume las enfermedades previas de un paciente en 31 categorías de sí o no, sacadas de los diagnósticos secundarios.</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Score de van Walraven</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Suma ponderada de las categorías de Elixhauser, donde cada una pesa según su relación histórica con la mortalidad.</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Presente al ingreso (POA)</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Marcador que indica si un diagnóstico ya existía al entrar al hospital. Los datos de FONASA no lo traen.</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Dato censurado</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Episodio cuyo resultado final se desconoce, que aquí son principalmente los traslados a otro hospital.</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Fuga de información (data leakage)</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Error que ocurre cuando el modelo usa información del futuro para predecir el presente. Hace que los resultados parezcan mejores de lo que son.</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Partición temporal</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División de los datos por período: los años antiguos entrenan y los recientes evalúan.</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Diseño anidado</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Partición que usan las enmiendas para no volver a decidir con 2024: entrenar con 2019–2021, elegir con 2022 y evaluar en 2023.</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Calibración</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Qué tan parecidas son las probabilidades que predice el modelo a la frecuencia real de los eventos.</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Brier Score y Brier Skill Score</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El Brier Score mide el error de las probabilidades. El Skill Score lo compara con un modelo que solo usa la prevalencia, y si es mayor que cero lo supera.</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Pendiente de calibración</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Número que indica si las probabilidades del modelo son demasiado extremas o demasiado tímidas. El valor ideal es 1.</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PR AUC</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Métrica que combina precisión y sensibilidad, útil cuando el evento es poco frecuente.</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Gráfico de embudo (funnel plot)</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Gráfico que muestra el O/E de cada hospital con límites de control que separan variaciones reales de las que explica el azar.</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Sobredispersión</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Situación en que los hospitales varían más entre sí de lo que explicaría el azar de muestreo.</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Percentil 99</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El valor que deja al 99 % de los casos por debajo. Aquí se usa para recortar las estadías extremas (53 días).</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Upcoding</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Registrar más enfermedades o más graves de las reales, lo que sube el riesgo esperado y baja el O/E.</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Alta anticipada</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Dar de alta o trasladar a un paciente grave antes de que fallezca, de modo que la muerte no quede en las estadísticas del hospital.</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Parquet</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Formato de archivo por columnas, mucho más rápido de leer en análisis que el texto plano.</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Arquitectura medallón</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Organización de los datos en capas, de Cruda a Oro, donde cada una agrega calidad sobre la anterior.</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Enmienda</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Análisis agregado al protocolo después de abrir 2024, con su código registrado (huella SHA-256 y fecha en GitHub) antes de correrlo.</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CIP_ENCRIPTADO</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Identificador cifrado del paciente que entrega FONASA (en 2024 se llama ID_BENEFICIARIO). Cambia de sistema entre 2020 y 2021.</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CONSORT</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Forma estándar de reportar cuántos casos salen en cada paso de una selección, para que nadie desaparezca sin quedar contado.</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SHAP</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Método que reparte una predicción entre las variables del modelo para mostrar cuánto aportó cada una (Lundberg et al., 2020).</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Tweedie</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Familia de distribuciones para valores no negativos y muy dispersos, como los días de estadía. El modelo de estadía usa potencia 1,80.</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Recalibración (Platt e isotónica)</w:t>
            </w:r>
          </w:p>
        </w:tc>
        <w:tc>
          <w:tcPr>
            <w:tcW w:type="dxa" w:w="655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Ajuste posterior de las predicciones para que su nivel coincida con lo observado. Platt usa una curva logística; la isotónica, una escalera creciente. En estadía se usó un factor único.</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Estadístico C (AUC ROC)</w:t>
            </w:r>
          </w:p>
        </w:tc>
        <w:tc>
          <w:tcPr>
            <w:tcW w:type="dxa" w:w="655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Probabilidad de que el modelo asigne más riesgo a un paciente que muere que a uno que sobrevive. 0,5 es azar y 1 es perfecto.</w:t>
            </w:r>
          </w:p>
        </w:tc>
      </w:tr>
    </w:tbl>
    <w:p>
      <w:pPr>
        <w:spacing w:after="80"/>
      </w:pPr>
    </w:p>
    <w:p>
      <w:pPr>
        <w:pStyle w:val="Heading1"/>
      </w:pPr>
      <w:r>
        <w:t xml:space="preserve">19. Referencias</w:t>
      </w:r>
    </w:p>
    <w:p>
      <w:pPr>
        <w:spacing w:after="120" w:line="276"/>
        <w:ind w:left="400" w:hanging="400"/>
      </w:pPr>
      <w:r>
        <w:t xml:space="preserve">Chen, T. y Guestrin, C. (2016). XGBoost: A scalable tree boosting system. </w:t>
      </w:r>
      <w:r>
        <w:rPr>
          <w:i/>
          <w:iCs/>
        </w:rPr>
        <w:t xml:space="preserve">Proceedings of the 22nd ACM SIGKDD International Conference on Knowledge Discovery and Data Mining</w:t>
      </w:r>
      <w:r>
        <w:t xml:space="preserve">.</w:t>
      </w:r>
    </w:p>
    <w:p>
      <w:pPr>
        <w:spacing w:after="120" w:line="276"/>
        <w:ind w:left="400" w:hanging="400"/>
      </w:pPr>
      <w:r>
        <w:t xml:space="preserve">Cid, C., Dawson, N., Medina, C., Espinoza, A. y Bastías, G. (2024). Lecciones y desafíos del uso de los Grupos Relacionados por el Diagnóstico en Chile. </w:t>
      </w:r>
      <w:r>
        <w:rPr>
          <w:i/>
          <w:iCs/>
        </w:rPr>
        <w:t xml:space="preserve">Revista Panamericana de Salud Pública, 48</w:t>
      </w:r>
      <w:r>
        <w:t xml:space="preserve">, e67. doi: 10.26633/RPSP.2024.67</w:t>
      </w:r>
    </w:p>
    <w:p>
      <w:pPr>
        <w:spacing w:after="120" w:line="276"/>
        <w:ind w:left="400" w:hanging="400"/>
      </w:pPr>
      <w:r>
        <w:t xml:space="preserve">Collins, G. S., Moons, K. G. M., Dhiman, P., Riley, R. D., Beam, A. L., Van Calster, B., ... Logullo, P. (2024). TRIPOD+AI statement: updated guidance for reporting clinical prediction models that use regression or machine learning methods. </w:t>
      </w:r>
      <w:r>
        <w:rPr>
          <w:i/>
          <w:iCs/>
        </w:rPr>
        <w:t xml:space="preserve">BMJ, 385</w:t>
      </w:r>
      <w:r>
        <w:t xml:space="preserve">, e078378. doi: 10.1136/bmj-2023-078378</w:t>
      </w:r>
    </w:p>
    <w:p>
      <w:pPr>
        <w:spacing w:after="120" w:line="276"/>
        <w:ind w:left="400" w:hanging="400"/>
      </w:pPr>
      <w:r>
        <w:t xml:space="preserve">Comisión Nacional de Productividad. (2020). </w:t>
      </w:r>
      <w:r>
        <w:rPr>
          <w:i/>
          <w:iCs/>
        </w:rPr>
        <w:t xml:space="preserve">Uso eficiente de quirófanos electivos y gestión de lista de espera quirúrgica</w:t>
      </w:r>
      <w:r>
        <w:t xml:space="preserve">. Santiago, Chile: Comisión Nacional de Productividad.</w:t>
      </w:r>
    </w:p>
    <w:p>
      <w:pPr>
        <w:spacing w:after="120" w:line="276"/>
        <w:ind w:left="400" w:hanging="400"/>
      </w:pPr>
      <w:r>
        <w:t xml:space="preserve">Congreso Nacional de Chile. (2008). Ley 20.285 sobre acceso a la información pública. https://www.bcn.cl/leychile/navegar?idNorma=276363</w:t>
      </w:r>
    </w:p>
    <w:p>
      <w:pPr>
        <w:spacing w:after="120" w:line="276"/>
        <w:ind w:left="400" w:hanging="400"/>
      </w:pPr>
      <w:r>
        <w:t xml:space="preserve">DerSimonian, R. y Laird, N. (1986). Meta-analysis in clinical trials. </w:t>
      </w:r>
      <w:r>
        <w:rPr>
          <w:i/>
          <w:iCs/>
        </w:rPr>
        <w:t xml:space="preserve">Controlled Clinical Trials, 7</w:t>
      </w:r>
      <w:r>
        <w:t xml:space="preserve">(3), 177-188. doi: 10.1016/0197-2456(86)90046-2</w:t>
      </w:r>
    </w:p>
    <w:p>
      <w:pPr>
        <w:spacing w:after="120" w:line="276"/>
        <w:ind w:left="400" w:hanging="400"/>
      </w:pPr>
      <w:r>
        <w:t xml:space="preserve">Elixhauser, A., Steiner, C., Harris, D. R. y Coffey, R. M. (1998). Comorbidity measures for use with administrative data. </w:t>
      </w:r>
      <w:r>
        <w:rPr>
          <w:i/>
          <w:iCs/>
        </w:rPr>
        <w:t xml:space="preserve">Medical Care, 36</w:t>
      </w:r>
      <w:r>
        <w:t xml:space="preserve">(1), 8-27.</w:t>
      </w:r>
    </w:p>
    <w:p>
      <w:pPr>
        <w:spacing w:after="120" w:line="276"/>
        <w:ind w:left="400" w:hanging="400"/>
      </w:pPr>
      <w:r>
        <w:t xml:space="preserve">Fung, C. H., Lim, Y.-W., Mattke, S., Damberg, C. y Shekelle, P. G. (2008). Systematic review: the evidence that publishing patient care performance data improves quality of care. </w:t>
      </w:r>
      <w:r>
        <w:rPr>
          <w:i/>
          <w:iCs/>
        </w:rPr>
        <w:t xml:space="preserve">Annals of Internal Medicine, 148</w:t>
      </w:r>
      <w:r>
        <w:t xml:space="preserve">(2), 111-123. doi: 10.7326/0003-4819-148-2-200801150-00006</w:t>
      </w:r>
    </w:p>
    <w:p>
      <w:pPr>
        <w:spacing w:after="120" w:line="276"/>
        <w:ind w:left="400" w:hanging="400"/>
      </w:pPr>
      <w:r>
        <w:t xml:space="preserve">Ke, G., Meng, Q., Finley, T., Wang, T., Chen, W., Ma, W., Ye, Q. y Liu, T.-Y. (2017). LightGBM: A highly efficient gradient boosting decision tree. </w:t>
      </w:r>
      <w:r>
        <w:rPr>
          <w:i/>
          <w:iCs/>
        </w:rPr>
        <w:t xml:space="preserve">Advances in Neural Information Processing Systems, 30</w:t>
      </w:r>
      <w:r>
        <w:t xml:space="preserve">.</w:t>
      </w:r>
    </w:p>
    <w:p>
      <w:pPr>
        <w:spacing w:after="120" w:line="276"/>
        <w:ind w:left="400" w:hanging="400"/>
      </w:pPr>
      <w:r>
        <w:t xml:space="preserve">Lundberg, S. M., Erion, G., Chen, H., DeGrave, A., Prutkin, J. M., Nair, B., ... Lee, S.-I. (2020). From local explanations to global understanding with explainable AI for trees. </w:t>
      </w:r>
      <w:r>
        <w:rPr>
          <w:i/>
          <w:iCs/>
        </w:rPr>
        <w:t xml:space="preserve">Nature Machine Intelligence, 2</w:t>
      </w:r>
      <w:r>
        <w:t xml:space="preserve">, 56-67. doi: 10.1038/s42256-019-0138-9</w:t>
      </w:r>
    </w:p>
    <w:p>
      <w:pPr>
        <w:spacing w:after="120" w:line="276"/>
        <w:ind w:left="400" w:hanging="400"/>
      </w:pPr>
      <w:r>
        <w:t xml:space="preserve">Moons, K. G. M., Altman, D. G., Reitsma, J. B., Ioannidis, J. P. A., Macaskill, P., Steyerberg, E. W., ... Collins, G. S. (2015). Transparent reporting of a multivariable prediction model for individual prognosis or diagnosis (TRIPOD): explanation and elaboration. </w:t>
      </w:r>
      <w:r>
        <w:rPr>
          <w:i/>
          <w:iCs/>
        </w:rPr>
        <w:t xml:space="preserve">Annals of Internal Medicine, 162</w:t>
      </w:r>
      <w:r>
        <w:t xml:space="preserve">(1), W1-W73. doi: 10.7326/M14-0698</w:t>
      </w:r>
    </w:p>
    <w:p>
      <w:pPr>
        <w:spacing w:after="120" w:line="276"/>
        <w:ind w:left="400" w:hanging="400"/>
      </w:pPr>
      <w:r>
        <w:t xml:space="preserve">Quan, H., Sundararajan, V., Halfon, P., Fong, A., Burnand, B., Luthi, J.-C., ... Ghali, W. A. (2005). Coding algorithms for defining comorbidities in ICD-9-CM and ICD-10 administrative data. </w:t>
      </w:r>
      <w:r>
        <w:rPr>
          <w:i/>
          <w:iCs/>
        </w:rPr>
        <w:t xml:space="preserve">Medical Care, 43</w:t>
      </w:r>
      <w:r>
        <w:t xml:space="preserve">(11), 1130-1139.</w:t>
      </w:r>
    </w:p>
    <w:p>
      <w:pPr>
        <w:spacing w:after="120" w:line="276"/>
        <w:ind w:left="400" w:hanging="400"/>
      </w:pPr>
      <w:r>
        <w:t xml:space="preserve">Schröer, C., Kruse, F. y Marx Gómez, J. (2021). A systematic literature review on applying CRISP-DM process model. </w:t>
      </w:r>
      <w:r>
        <w:rPr>
          <w:i/>
          <w:iCs/>
        </w:rPr>
        <w:t xml:space="preserve">Procedia Computer Science, 181</w:t>
      </w:r>
      <w:r>
        <w:t xml:space="preserve">, 526-534. doi: 10.1016/j.procs.2021.01.199</w:t>
      </w:r>
    </w:p>
    <w:p>
      <w:pPr>
        <w:spacing w:after="120" w:line="276"/>
        <w:ind w:left="400" w:hanging="400"/>
      </w:pPr>
      <w:r>
        <w:t xml:space="preserve">Shahian, D. M., Wolf, R. E., Iezzoni, L. I., Kirle, L. y Normand, S.-L. T. (2010). Variability in the measurement of hospital-wide mortality rates. </w:t>
      </w:r>
      <w:r>
        <w:rPr>
          <w:i/>
          <w:iCs/>
        </w:rPr>
        <w:t xml:space="preserve">New England Journal of Medicine, 363</w:t>
      </w:r>
      <w:r>
        <w:t xml:space="preserve">(26), 2530-2539. doi: 10.1056/NEJMsa1006396</w:t>
      </w:r>
    </w:p>
    <w:p>
      <w:pPr>
        <w:spacing w:after="120" w:line="276"/>
        <w:ind w:left="400" w:hanging="400"/>
      </w:pPr>
      <w:r>
        <w:t xml:space="preserve">Spiegelhalter, D. J. (2005). Funnel plots for comparing institutional performance. </w:t>
      </w:r>
      <w:r>
        <w:rPr>
          <w:i/>
          <w:iCs/>
        </w:rPr>
        <w:t xml:space="preserve">Statistics in Medicine, 24</w:t>
      </w:r>
      <w:r>
        <w:t xml:space="preserve">(8), 1185-1202. doi: 10.1002/sim.1970</w:t>
      </w:r>
    </w:p>
    <w:p>
      <w:pPr>
        <w:spacing w:after="120" w:line="276"/>
        <w:ind w:left="400" w:hanging="400"/>
      </w:pPr>
      <w:r>
        <w:t xml:space="preserve">Steyerberg, E. W., Vickers, A. J., Cook, N. R., Gerds, T., Gonen, M., Obuchowski, N., ... Kattan, M. W. (2010). Assessing the performance of prediction models: a framework for traditional and novel measures. </w:t>
      </w:r>
      <w:r>
        <w:rPr>
          <w:i/>
          <w:iCs/>
        </w:rPr>
        <w:t xml:space="preserve">Epidemiology, 21</w:t>
      </w:r>
      <w:r>
        <w:t xml:space="preserve">(1), 128-138. doi: 10.1097/EDE.0b013e3181c30fb2</w:t>
      </w:r>
    </w:p>
    <w:p>
      <w:pPr>
        <w:spacing w:after="120" w:line="276"/>
        <w:ind w:left="400" w:hanging="400"/>
      </w:pPr>
      <w:r>
        <w:t xml:space="preserve">Urbina, I. y Sugg, D. (2021). </w:t>
      </w:r>
      <w:r>
        <w:rPr>
          <w:i/>
          <w:iCs/>
        </w:rPr>
        <w:t xml:space="preserve">Análisis de la eficiencia de los hospitales públicos de alta complejidad en Chile entre 2014 y 2018</w:t>
      </w:r>
      <w:r>
        <w:t xml:space="preserve">. Santiago, Chile: Dirección de Presupuestos, Ministerio de Hacienda.</w:t>
      </w:r>
    </w:p>
    <w:p>
      <w:pPr>
        <w:spacing w:after="120" w:line="276"/>
        <w:ind w:left="400" w:hanging="400"/>
      </w:pPr>
      <w:r>
        <w:t xml:space="preserve">Van Calster, B., McLernon, D. J., van Smeden, M., Wynants, L. y Steyerberg, E. W. (2019). Calibration: the Achilles heel of predictive analytics. </w:t>
      </w:r>
      <w:r>
        <w:rPr>
          <w:i/>
          <w:iCs/>
        </w:rPr>
        <w:t xml:space="preserve">BMC Medicine, 17</w:t>
      </w:r>
      <w:r>
        <w:t xml:space="preserve">(1), 230. doi: 10.1186/s12916-019-1466-7</w:t>
      </w:r>
    </w:p>
    <w:p>
      <w:pPr>
        <w:spacing w:after="120" w:line="276"/>
        <w:ind w:left="400" w:hanging="400"/>
      </w:pPr>
      <w:r>
        <w:t xml:space="preserve">van Walraven, C., Austin, P. C., Jennings, A., Quan, H. y Forster, A. J. (2009). A modification of the Elixhauser comorbidity measures into a point system for hospital death using administrative data. </w:t>
      </w:r>
      <w:r>
        <w:rPr>
          <w:i/>
          <w:iCs/>
        </w:rPr>
        <w:t xml:space="preserve">Medical Care, 47</w:t>
      </w:r>
      <w:r>
        <w:t xml:space="preserve">(6), 626-633.</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Informe Técnico Fase 1 (Versión 6)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Fase 1 (Versión 6)</dc:title>
  <dc:creator>Felipe Ignacio Baeza Muñoz</dc:creator>
  <dc:description>Fase 1 v6: restaura la versión 2 y la corrige según lo ejecutado</dc:description>
  <cp:lastModifiedBy>Un-named</cp:lastModifiedBy>
  <cp:revision>1</cp:revision>
  <dcterms:created xsi:type="dcterms:W3CDTF">2026-10-25T22:20:33.200Z</dcterms:created>
  <dcterms:modified xsi:type="dcterms:W3CDTF">2026-10-25T22:20:33.206Z</dcterms:modified>
</cp:coreProperties>
</file>

<file path=docProps/custom.xml><?xml version="1.0" encoding="utf-8"?>
<Properties xmlns="http://schemas.openxmlformats.org/officeDocument/2006/custom-properties" xmlns:vt="http://schemas.openxmlformats.org/officeDocument/2006/docPropsVTypes"/>
</file>