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Nota de la versión incluida en el repositorio (21-10-2026).</w:t>
      </w:r>
      <w:r>
        <w:t xml:space="preserve"> </w:t>
      </w:r>
      <w:r>
        <w:t xml:space="preserve">Esta auditoría se escribió antes de la reproducción independiente. Después, el proyecto completo se corrió desde los archivos originales y todo lo que sostiene la tesis salió idéntico byte a byte (ver</w:t>
      </w:r>
      <w:r>
        <w:t xml:space="preserve"> </w:t>
      </w:r>
      <w:r>
        <w:rPr>
          <w:rStyle w:val="VerbatimChar"/>
        </w:rPr>
        <w:t xml:space="preserve">Plan_de_correccion_resumen.docx</w:t>
      </w:r>
      <w:r>
        <w:t xml:space="preserve"> </w:t>
      </w:r>
      <w:r>
        <w:t xml:space="preserve">y los informes v5). Se corrigió una afirmación (el modelo de estadía usa pérdida Tweedie, no Poisson) y se retiró una cifra que permitía reconstruir un conteo suprimido.</w:t>
      </w:r>
    </w:p>
    <w:bookmarkStart w:id="40" w:name="Xd23a71e5453d1bb88b94ef4b98446f19fa4aff9"/>
    <w:p>
      <w:pPr>
        <w:pStyle w:val="Heading1"/>
      </w:pPr>
      <w:r>
        <w:t xml:space="preserve">Auditoría metodológica de las Fases 1 a 5: indicador O/E hospitalario con GRD 2019–2024</w:t>
      </w:r>
    </w:p>
    <w:p>
      <w:pPr>
        <w:pStyle w:val="FirstParagraph"/>
      </w:pPr>
      <w:r>
        <w:rPr>
          <w:bCs/>
          <w:b/>
        </w:rPr>
        <w:t xml:space="preserve">Material revisado.</w:t>
      </w:r>
      <w:r>
        <w:t xml:space="preserve"> </w:t>
      </w:r>
      <w:r>
        <w:t xml:space="preserve">El informe de seminario (</w:t>
      </w:r>
      <w:r>
        <w:rPr>
          <w:rStyle w:val="VerbatimChar"/>
        </w:rPr>
        <w:t xml:space="preserve">docs/informe.pdf</w:t>
      </w:r>
      <w:r>
        <w:t xml:space="preserve">, 3 de agosto de 2026) como punto de partida; los informes v4 «consenso» de las Fases 1 a 4 (y la v3 de la Fase 1, para comparar); los tres documentos de la Fase 5 (plan, preparación y cierre); el código de</w:t>
      </w:r>
      <w:r>
        <w:t xml:space="preserve"> </w:t>
      </w:r>
      <w:r>
        <w:rPr>
          <w:rStyle w:val="VerbatimChar"/>
        </w:rPr>
        <w:t xml:space="preserve">fase3_preparacion</w:t>
      </w:r>
      <w:r>
        <w:t xml:space="preserve">,</w:t>
      </w:r>
      <w:r>
        <w:t xml:space="preserve"> </w:t>
      </w:r>
      <w:r>
        <w:rPr>
          <w:rStyle w:val="VerbatimChar"/>
        </w:rPr>
        <w:t xml:space="preserve">fase4_modelado</w:t>
      </w:r>
      <w:r>
        <w:t xml:space="preserve"> </w:t>
      </w:r>
      <w:r>
        <w:t xml:space="preserve">y</w:t>
      </w:r>
      <w:r>
        <w:t xml:space="preserve"> </w:t>
      </w:r>
      <w:r>
        <w:rPr>
          <w:rStyle w:val="VerbatimChar"/>
        </w:rPr>
        <w:t xml:space="preserve">fase5_evaluacion</w:t>
      </w:r>
      <w:r>
        <w:t xml:space="preserve">, con sus configuraciones, pruebas y tablas de salida; y una selección de tablas de</w:t>
      </w:r>
      <w:r>
        <w:t xml:space="preserve"> </w:t>
      </w:r>
      <w:r>
        <w:rPr>
          <w:rStyle w:val="VerbatimChar"/>
        </w:rPr>
        <w:t xml:space="preserve">fase2_eda</w:t>
      </w:r>
      <w:r>
        <w:t xml:space="preserve">.</w:t>
      </w:r>
    </w:p>
    <w:p>
      <w:pPr>
        <w:pStyle w:val="BodyText"/>
      </w:pPr>
      <w:r>
        <w:rPr>
          <w:bCs/>
          <w:b/>
        </w:rPr>
        <w:t xml:space="preserve">Cómo se verificó.</w:t>
      </w:r>
      <w:r>
        <w:t xml:space="preserve"> </w:t>
      </w:r>
      <w:r>
        <w:t xml:space="preserve">No ejecuté el pipeline sobre los microdatos: la carpeta conectada</w:t>
      </w:r>
      <w:r>
        <w:t xml:space="preserve"> </w:t>
      </w:r>
      <w:r>
        <w:rPr>
          <w:rStyle w:val="VerbatimChar"/>
        </w:rPr>
        <w:t xml:space="preserve">data seminario</w:t>
      </w:r>
      <w:r>
        <w:t xml:space="preserve"> </w:t>
      </w:r>
      <w:r>
        <w:t xml:space="preserve">contiene los extractos de unos 25 MB por año, no la base completa. Con las tablas publicadas recalculé el τ² de los embudos, simulé el procedimiento del embudo, re-basé el esperado, crucé hospitales con el catálogo y calculé correlaciones y pruebas de rangos. Cuando una afirmación viene de mi experiencia y no del material, lo digo.</w:t>
      </w:r>
    </w:p>
    <w:p>
      <w:pPr>
        <w:pStyle w:val="BodyText"/>
      </w:pPr>
      <w:r>
        <w:rPr>
          <w:bCs/>
          <w:b/>
        </w:rPr>
        <w:t xml:space="preserve">Dos premisas del encargo que no coinciden con el material.</w:t>
      </w:r>
      <w:r>
        <w:t xml:space="preserve"> </w:t>
      </w:r>
      <w:r>
        <w:t xml:space="preserve">(1) Los documentos describen el proyecto como de la carrera</w:t>
      </w:r>
      <w:r>
        <w:t xml:space="preserve"> </w:t>
      </w:r>
      <w:r>
        <w:rPr>
          <w:iCs/>
          <w:i/>
        </w:rPr>
        <w:t xml:space="preserve">Ingeniería de Ejecución en Computación e Informática</w:t>
      </w:r>
      <w:r>
        <w:t xml:space="preserve">, no como tesis de magíster. Califico con el estándar de magíster que se pidió e indico la diferencia. (2)</w:t>
      </w:r>
      <w:r>
        <w:t xml:space="preserve"> </w:t>
      </w:r>
      <w:r>
        <w:rPr>
          <w:bCs/>
          <w:b/>
        </w:rPr>
        <w:t xml:space="preserve">El modelo de estadía no usa transformación logarítmica.</w:t>
      </w:r>
      <w:r>
        <w:t xml:space="preserve"> </w:t>
      </w:r>
      <w:r>
        <w:t xml:space="preserve">Es un LightGBM con pérdida Tweedie (potencia 1,80; Optuna elegía entre Poisson y Tweedie) sobre la estadía topada (</w:t>
      </w:r>
      <w:r>
        <w:rPr>
          <w:rStyle w:val="VerbatimChar"/>
        </w:rPr>
        <w:t xml:space="preserve">modelado/candidatos.py</w:t>
      </w:r>
      <w:r>
        <w:t xml:space="preserve">,</w:t>
      </w:r>
      <w:r>
        <w:t xml:space="preserve"> </w:t>
      </w:r>
      <w:r>
        <w:rPr>
          <w:rStyle w:val="VerbatimChar"/>
        </w:rPr>
        <w:t xml:space="preserve">modelado/tuning.py</w:t>
      </w:r>
      <w:r>
        <w:t xml:space="preserve">). Esto es coherente con lo que el informe de seminario ya había decidido (§5.3).</w:t>
      </w:r>
    </w:p>
    <w:p>
      <w:r>
        <w:pict>
          <v:rect style="width:0;height:1.5pt" o:hralign="center" o:hrstd="t" o:hr="t"/>
        </w:pict>
      </w:r>
    </w:p>
    <w:bookmarkStart w:id="23" w:name="Xdedce0e588a8b575e90e46f39a4fb1adf857355"/>
    <w:p>
      <w:pPr>
        <w:pStyle w:val="Heading2"/>
      </w:pPr>
      <w:r>
        <w:t xml:space="preserve">0. El informe de seminario como punto de partida y lo que cambió</w:t>
      </w:r>
    </w:p>
    <w:bookmarkStart w:id="20" w:name="qué-tiene-de-bueno-el-informe"/>
    <w:p>
      <w:pPr>
        <w:pStyle w:val="Heading3"/>
      </w:pPr>
      <w:r>
        <w:t xml:space="preserve">0.1 Qué tiene de bueno el informe</w:t>
      </w:r>
    </w:p>
    <w:p>
      <w:pPr>
        <w:numPr>
          <w:ilvl w:val="0"/>
          <w:numId w:val="1001"/>
        </w:numPr>
        <w:pStyle w:val="Compact"/>
      </w:pPr>
      <w:r>
        <w:t xml:space="preserve">Delimita bien el problema y deja claro desde el inicio qué</w:t>
      </w:r>
      <w:r>
        <w:t xml:space="preserve"> </w:t>
      </w:r>
      <w:r>
        <w:rPr>
          <w:bCs/>
          <w:b/>
        </w:rPr>
        <w:t xml:space="preserve">no</w:t>
      </w:r>
      <w:r>
        <w:t xml:space="preserve"> </w:t>
      </w:r>
      <w:r>
        <w:t xml:space="preserve">es el indicador: no es una medida definitiva de calidad, no prueba causalidad y no es un ranking (§4.3 y §5.2).</w:t>
      </w:r>
    </w:p>
    <w:p>
      <w:pPr>
        <w:numPr>
          <w:ilvl w:val="0"/>
          <w:numId w:val="1001"/>
        </w:numPr>
        <w:pStyle w:val="Compact"/>
      </w:pPr>
      <w:r>
        <w:t xml:space="preserve">Se adelanta a los modos de falla de los indicadores tipo HSMR descritos por Shahian (2010): sobredispersión, alta anticipada y aversión al riesgo. También elimina el «recomendador de hospitales» por razones éticas, una decisión madura.</w:t>
      </w:r>
    </w:p>
    <w:p>
      <w:pPr>
        <w:numPr>
          <w:ilvl w:val="0"/>
          <w:numId w:val="1001"/>
        </w:numPr>
        <w:pStyle w:val="Compact"/>
      </w:pPr>
      <w:r>
        <w:t xml:space="preserve">Argumenta bien cuatro decisiones técnicas: no rebalancear clases porque el O/E depende de la calibración, usar una partición temporal 2019–2022 / 2023 / 2024, aplicar Spiegelhalter en los embudos y modelar la estadía con un objetivo Poisson o Tweedie en vez de log + exp.</w:t>
      </w:r>
    </w:p>
    <w:p>
      <w:pPr>
        <w:numPr>
          <w:ilvl w:val="0"/>
          <w:numId w:val="1001"/>
        </w:numPr>
        <w:pStyle w:val="Compact"/>
      </w:pPr>
      <w:r>
        <w:t xml:space="preserve">Reconoce el riesgo de que falte el marcador de diagnóstico presente al ingreso (POA,</w:t>
      </w:r>
      <w:r>
        <w:t xml:space="preserve"> </w:t>
      </w:r>
      <w:r>
        <w:rPr>
          <w:iCs/>
          <w:i/>
        </w:rPr>
        <w:t xml:space="preserve">present on admission</w:t>
      </w:r>
      <w:r>
        <w:t xml:space="preserve">).</w:t>
      </w:r>
    </w:p>
    <w:bookmarkEnd w:id="20"/>
    <w:bookmarkStart w:id="21" w:name="Xd3d99f43160280388208594aa448c3d636d9e3d"/>
    <w:p>
      <w:pPr>
        <w:pStyle w:val="Heading3"/>
      </w:pPr>
      <w:r>
        <w:t xml:space="preserve">0.2 Debilidades propias del informe (las heredó el proyecto o las corrigió)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Debilidad del informe</w:t>
            </w:r>
          </w:p>
        </w:tc>
        <w:tc>
          <w:tcPr/>
          <w:p>
            <w:pPr>
              <w:pStyle w:val="Compact"/>
              <w:jc w:val="left"/>
            </w:pPr>
            <w:r>
              <w:t xml:space="preserve">Evidencia</w:t>
            </w:r>
          </w:p>
        </w:tc>
        <w:tc>
          <w:tcPr/>
          <w:p>
            <w:pPr>
              <w:pStyle w:val="Compact"/>
              <w:jc w:val="left"/>
            </w:pPr>
            <w:r>
              <w:t xml:space="preserve">Estado actual</w:t>
            </w:r>
          </w:p>
        </w:tc>
      </w:tr>
      <w:tr>
        <w:tc>
          <w:tcPr/>
          <w:p>
            <w:pPr>
              <w:pStyle w:val="Compact"/>
              <w:jc w:val="left"/>
            </w:pPr>
            <w:r>
              <w:t xml:space="preserve">Afirma que la lista blanca de Elixhauser «excluye por diseño las complicaciones agudas, resolviendo de raíz» la fuga (§6.1, Fase 2). Es falso: Elixhauser sin POA incluye coagulopatía, trastornos hidroelectrolíticos y pérdida de peso, que a menudo se adquieren en el hospital.</w:t>
            </w:r>
          </w:p>
        </w:tc>
        <w:tc>
          <w:tcPr/>
          <w:p>
            <w:pPr>
              <w:pStyle w:val="Compact"/>
              <w:jc w:val="left"/>
            </w:pPr>
            <w:r>
              <w:t xml:space="preserve">informe.pdf §6.1</w:t>
            </w:r>
          </w:p>
        </w:tc>
        <w:tc>
          <w:tcPr/>
          <w:p>
            <w:pPr>
              <w:pStyle w:val="Compact"/>
              <w:jc w:val="left"/>
            </w:pPr>
            <w:r>
              <w:t xml:space="preserve">La Fase 1 v4 lo corrige en el texto, pero retiró la salvaguarda prometida (ver H-02).</w:t>
            </w:r>
          </w:p>
        </w:tc>
      </w:tr>
      <w:tr>
        <w:tc>
          <w:tcPr/>
          <w:p>
            <w:pPr>
              <w:pStyle w:val="Compact"/>
              <w:jc w:val="left"/>
            </w:pPr>
            <w:r>
              <w:t xml:space="preserve">La prevalencia base es 2,78 %, que no corresponde a ninguna cohorte del modelo.</w:t>
            </w:r>
          </w:p>
        </w:tc>
        <w:tc>
          <w:tcPr/>
          <w:p>
            <w:pPr>
              <w:pStyle w:val="Compact"/>
              <w:jc w:val="left"/>
            </w:pPr>
            <w:r>
              <w:t xml:space="preserve">F1 v4 §9.5</w:t>
            </w:r>
          </w:p>
        </w:tc>
        <w:tc>
          <w:tcPr/>
          <w:p>
            <w:pPr>
              <w:pStyle w:val="Compact"/>
              <w:jc w:val="left"/>
            </w:pPr>
            <w:r>
              <w:t xml:space="preserve">Corregida: 5,11 % (D 2019–2023), 4,26 % (2023) y 4,32 % (2024, calculada con</w:t>
            </w:r>
            <w:r>
              <w:t xml:space="preserve"> </w:t>
            </w:r>
            <w:r>
              <w:rPr>
                <w:rStyle w:val="VerbatimChar"/>
              </w:rPr>
              <w:t xml:space="preserve">subgrupos_mortalidad.csv</w:t>
            </w:r>
            <w:r>
              <w:t xml:space="preserve">).</w:t>
            </w:r>
          </w:p>
        </w:tc>
      </w:tr>
      <w:tr>
        <w:tc>
          <w:tcPr/>
          <w:p>
            <w:pPr>
              <w:pStyle w:val="Compact"/>
              <w:jc w:val="left"/>
            </w:pPr>
            <w:r>
              <w:t xml:space="preserve">Dice «68 establecimientos de alta y mediana complejidad».</w:t>
            </w:r>
          </w:p>
        </w:tc>
        <w:tc>
          <w:tcPr/>
          <w:p>
            <w:pPr>
              <w:pStyle w:val="Compact"/>
              <w:jc w:val="left"/>
            </w:pPr>
            <w:r>
              <w:t xml:space="preserve">informe §5.2</w:t>
            </w:r>
          </w:p>
        </w:tc>
        <w:tc>
          <w:tcPr/>
          <w:p>
            <w:pPr>
              <w:pStyle w:val="Compact"/>
              <w:jc w:val="left"/>
            </w:pPr>
            <w:r>
              <w:t xml:space="preserve">En 2024 hay 72 códigos y 69 elegibles, entre ellos</w:t>
            </w:r>
            <w:r>
              <w:t xml:space="preserve"> </w:t>
            </w:r>
            <w:r>
              <w:rPr>
                <w:bCs/>
                <w:b/>
              </w:rPr>
              <w:t xml:space="preserve">3 institutos monográficos</w:t>
            </w:r>
            <w:r>
              <w:t xml:space="preserve"> </w:t>
            </w:r>
            <w:r>
              <w:t xml:space="preserve">y hospitales comunitarios que entraron a GRD en 2023 y 2024. La población real dejó de ser «alta y mediana complejidad» (H-01, H-06).</w:t>
            </w:r>
          </w:p>
        </w:tc>
      </w:tr>
      <w:tr>
        <w:tc>
          <w:tcPr/>
          <w:p>
            <w:pPr>
              <w:pStyle w:val="Compact"/>
              <w:jc w:val="left"/>
            </w:pPr>
            <w:r>
              <w:t xml:space="preserve">Atribuye mal las citas. Chen y cols. (2023) es un metaanálisis del</w:t>
            </w:r>
            <w:r>
              <w:t xml:space="preserve"> </w:t>
            </w:r>
            <w:r>
              <w:rPr>
                <w:bCs/>
                <w:b/>
              </w:rPr>
              <w:t xml:space="preserve">impacto del pago por GRD</w:t>
            </w:r>
            <w:r>
              <w:t xml:space="preserve"> </w:t>
            </w:r>
            <w:r>
              <w:t xml:space="preserve">en la calidad, pero se cita como prueba de que los indicadores GRD «permiten una comparación ajustada». Zeleke y cols. (2023) trata sobre</w:t>
            </w:r>
            <w:r>
              <w:t xml:space="preserve"> </w:t>
            </w:r>
            <w:r>
              <w:rPr>
                <w:bCs/>
                <w:b/>
              </w:rPr>
              <w:t xml:space="preserve">estadía prolongada</w:t>
            </w:r>
            <w:r>
              <w:t xml:space="preserve"> </w:t>
            </w:r>
            <w:r>
              <w:t xml:space="preserve">y se cita para mortalidad. Guzmán-Muñoz y cols. (2025) figura en la Tabla 1 como «estadística tradicional», pero el texto lo usa para respaldar ensambles de árboles.</w:t>
            </w:r>
          </w:p>
        </w:tc>
        <w:tc>
          <w:tcPr/>
          <w:p>
            <w:pPr>
              <w:pStyle w:val="Compact"/>
              <w:jc w:val="left"/>
            </w:pPr>
            <w:r>
              <w:t xml:space="preserve">informe §2.1, Tabla 1 y referencias</w:t>
            </w:r>
          </w:p>
        </w:tc>
        <w:tc>
          <w:tcPr/>
          <w:p>
            <w:pPr>
              <w:pStyle w:val="Compact"/>
              <w:jc w:val="left"/>
            </w:pPr>
            <w:r>
              <w:t xml:space="preserve">No corregido. Un comité lo va a detectar.</w:t>
            </w:r>
          </w:p>
        </w:tc>
      </w:tr>
      <w:tr>
        <w:tc>
          <w:tcPr/>
          <w:p>
            <w:pPr>
              <w:pStyle w:val="Compact"/>
              <w:jc w:val="left"/>
            </w:pPr>
            <w:r>
              <w:t xml:space="preserve">El objetivo 3 pide superar a la «regresión logística» también en RMSE de estadía.</w:t>
            </w:r>
          </w:p>
        </w:tc>
        <w:tc>
          <w:tcPr/>
          <w:p>
            <w:pPr>
              <w:pStyle w:val="Compact"/>
              <w:jc w:val="left"/>
            </w:pPr>
            <w:r>
              <w:t xml:space="preserve">informe §3.2</w:t>
            </w:r>
          </w:p>
        </w:tc>
        <w:tc>
          <w:tcPr/>
          <w:p>
            <w:pPr>
              <w:pStyle w:val="Compact"/>
              <w:jc w:val="left"/>
            </w:pPr>
            <w:r>
              <w:t xml:space="preserve">Corregido: en estadía se compara con regresión lineal y con Poisson (mejora).</w:t>
            </w:r>
          </w:p>
        </w:tc>
      </w:tr>
      <w:tr>
        <w:tc>
          <w:tcPr/>
          <w:p>
            <w:pPr>
              <w:pStyle w:val="Compact"/>
              <w:jc w:val="left"/>
            </w:pPr>
            <w:r>
              <w:t xml:space="preserve">La sensibilidad con severidad GRD tiene una lógica circular: si el modelo con severidad no mejora, «se valida» el principal. Pero la severidad GRD se calcula al alta y un modelo que la incluya mejora por fuga, no por información clínica.</w:t>
            </w:r>
          </w:p>
        </w:tc>
        <w:tc>
          <w:tcPr/>
          <w:p>
            <w:pPr>
              <w:pStyle w:val="Compact"/>
              <w:jc w:val="left"/>
            </w:pPr>
            <w:r>
              <w:t xml:space="preserve">informe §5.3</w:t>
            </w:r>
          </w:p>
        </w:tc>
        <w:tc>
          <w:tcPr/>
          <w:p>
            <w:pPr>
              <w:pStyle w:val="Compact"/>
              <w:jc w:val="left"/>
            </w:pPr>
            <w:r>
              <w:t xml:space="preserve">Se retiró y la severidad quedó prohibida (mejora).</w:t>
            </w:r>
          </w:p>
        </w:tc>
      </w:tr>
      <w:tr>
        <w:tc>
          <w:tcPr/>
          <w:p>
            <w:pPr>
              <w:pStyle w:val="Compact"/>
              <w:jc w:val="left"/>
            </w:pPr>
            <w:r>
              <w:t xml:space="preserve">Promete reportar la estadía de los fallecidos como estadística descriptiva y el error por grupo GRD.</w:t>
            </w:r>
          </w:p>
        </w:tc>
        <w:tc>
          <w:tcPr/>
          <w:p>
            <w:pPr>
              <w:pStyle w:val="Compact"/>
              <w:jc w:val="left"/>
            </w:pPr>
            <w:r>
              <w:t xml:space="preserve">informe §5.3</w:t>
            </w:r>
          </w:p>
        </w:tc>
        <w:tc>
          <w:tcPr/>
          <w:p>
            <w:pPr>
              <w:pStyle w:val="Compact"/>
              <w:jc w:val="left"/>
            </w:pPr>
            <w:r>
              <w:t xml:space="preserve">No lo encontré en las Fases 3 a 5. El error se reporta por capítulo CIE-10, no por GRD.</w:t>
            </w:r>
          </w:p>
        </w:tc>
      </w:tr>
    </w:tbl>
    <w:bookmarkEnd w:id="21"/>
    <w:bookmarkStart w:id="22" w:name="matriz-de-cambios-informe-ejecutado"/>
    <w:p>
      <w:pPr>
        <w:pStyle w:val="Heading3"/>
      </w:pPr>
      <w:r>
        <w:t xml:space="preserve">0.3 Matriz de cambios: informe → ejecutado</w:t>
      </w:r>
    </w:p>
    <w:p>
      <w:pPr>
        <w:pStyle w:val="FirstParagraph"/>
      </w:pPr>
      <w:r>
        <w:t xml:space="preserve">Juicio:</w:t>
      </w:r>
      <w:r>
        <w:t xml:space="preserve"> </w:t>
      </w:r>
      <w:r>
        <w:rPr>
          <w:bCs/>
          <w:b/>
        </w:rPr>
        <w:t xml:space="preserve">Mejora</w:t>
      </w:r>
      <w:r>
        <w:t xml:space="preserve"> </w:t>
      </w:r>
      <w:r>
        <w:t xml:space="preserve">(el cambio aclara o fortalece),</w:t>
      </w:r>
      <w:r>
        <w:t xml:space="preserve"> </w:t>
      </w:r>
      <w:r>
        <w:rPr>
          <w:bCs/>
          <w:b/>
        </w:rPr>
        <w:t xml:space="preserve">Neutral</w:t>
      </w:r>
      <w:r>
        <w:t xml:space="preserve">,</w:t>
      </w:r>
      <w:r>
        <w:t xml:space="preserve"> </w:t>
      </w:r>
      <w:r>
        <w:rPr>
          <w:bCs/>
          <w:b/>
        </w:rPr>
        <w:t xml:space="preserve">Desviación</w:t>
      </w:r>
      <w:r>
        <w:t xml:space="preserve"> </w:t>
      </w:r>
      <w:r>
        <w:t xml:space="preserve">(abre un problema que hay que declarar o resolver).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Tema</w:t>
            </w:r>
          </w:p>
        </w:tc>
        <w:tc>
          <w:tcPr/>
          <w:p>
            <w:pPr>
              <w:pStyle w:val="Compact"/>
              <w:jc w:val="left"/>
            </w:pPr>
            <w:r>
              <w:t xml:space="preserve">Informe (agosto 2026)</w:t>
            </w:r>
          </w:p>
        </w:tc>
        <w:tc>
          <w:tcPr/>
          <w:p>
            <w:pPr>
              <w:pStyle w:val="Compact"/>
              <w:jc w:val="left"/>
            </w:pPr>
            <w:r>
              <w:t xml:space="preserve">Ejecutado (Fases 1–5)</w:t>
            </w:r>
          </w:p>
        </w:tc>
        <w:tc>
          <w:tcPr/>
          <w:p>
            <w:pPr>
              <w:pStyle w:val="Compact"/>
              <w:jc w:val="left"/>
            </w:pPr>
            <w:r>
              <w:t xml:space="preserve">Juicio</w:t>
            </w:r>
          </w:p>
        </w:tc>
      </w:tr>
      <w:tr>
        <w:tc>
          <w:tcPr/>
          <w:p>
            <w:pPr>
              <w:pStyle w:val="Compact"/>
              <w:jc w:val="left"/>
            </w:pPr>
            <w:r>
              <w:t xml:space="preserve">Población</w:t>
            </w:r>
          </w:p>
        </w:tc>
        <w:tc>
          <w:tcPr/>
          <w:p>
            <w:pPr>
              <w:pStyle w:val="Compact"/>
              <w:jc w:val="left"/>
            </w:pPr>
            <w:r>
              <w:t xml:space="preserve">Hospitales de alta y mediana complejidad; neonatos sanos, partos sin complicación, traslados entrantes y estadías de 0 días excluidos</w:t>
            </w:r>
          </w:p>
        </w:tc>
        <w:tc>
          <w:tcPr/>
          <w:p>
            <w:pPr>
              <w:pStyle w:val="Compact"/>
              <w:jc w:val="left"/>
            </w:pPr>
            <w:r>
              <w:t xml:space="preserve">Solo adultos (≥18); actividad ambulatoria excluida; MDC 15 completo excluido; MDC 14 sin Elixhauser excluido;</w:t>
            </w:r>
            <w:r>
              <w:t xml:space="preserve"> </w:t>
            </w:r>
            <w:r>
              <w:rPr>
                <w:bCs/>
                <w:b/>
              </w:rPr>
              <w:t xml:space="preserve">traslados entrantes incluidos</w:t>
            </w:r>
            <w:r>
              <w:t xml:space="preserve">; estadía de 0 días solo fuera del modelo de estadía</w:t>
            </w:r>
          </w:p>
        </w:tc>
        <w:tc>
          <w:tcPr/>
          <w:p>
            <w:pPr>
              <w:pStyle w:val="Compact"/>
              <w:jc w:val="left"/>
            </w:pPr>
            <w:r>
              <w:t xml:space="preserve">Adultos y ambulatoria:</w:t>
            </w:r>
            <w:r>
              <w:t xml:space="preserve"> </w:t>
            </w:r>
            <w:r>
              <w:rPr>
                <w:bCs/>
                <w:b/>
              </w:rPr>
              <w:t xml:space="preserve">mejora</w:t>
            </w:r>
            <w:r>
              <w:t xml:space="preserve"> </w:t>
            </w:r>
            <w:r>
              <w:t xml:space="preserve">(bien medida en F1 §9.6). Entrantes:</w:t>
            </w:r>
            <w:r>
              <w:t xml:space="preserve"> </w:t>
            </w:r>
            <w:r>
              <w:rPr>
                <w:bCs/>
                <w:b/>
              </w:rPr>
              <w:t xml:space="preserve">desviación</w:t>
            </w:r>
            <w:r>
              <w:t xml:space="preserve"> </w:t>
            </w:r>
            <w:r>
              <w:t xml:space="preserve">formalizada después de abrir 2024 (H-03). EX03:</w:t>
            </w:r>
            <w:r>
              <w:t xml:space="preserve"> </w:t>
            </w:r>
            <w:r>
              <w:rPr>
                <w:bCs/>
                <w:b/>
              </w:rPr>
              <w:t xml:space="preserve">desviación</w:t>
            </w:r>
            <w:r>
              <w:t xml:space="preserve"> </w:t>
            </w:r>
            <w:r>
              <w:t xml:space="preserve">(H-07)</w:t>
            </w:r>
          </w:p>
        </w:tc>
      </w:tr>
      <w:tr>
        <w:tc>
          <w:tcPr/>
          <w:p>
            <w:pPr>
              <w:pStyle w:val="Compact"/>
              <w:jc w:val="left"/>
            </w:pPr>
            <w:r>
              <w:t xml:space="preserve">Predictores</w:t>
            </w:r>
          </w:p>
        </w:tc>
        <w:tc>
          <w:tcPr/>
          <w:p>
            <w:pPr>
              <w:pStyle w:val="Compact"/>
              <w:jc w:val="left"/>
            </w:pPr>
            <w:r>
              <w:t xml:space="preserve">Solo CIE-10 en bruto (Elixhauser); severidad GRD solo en sensibilidad</w:t>
            </w:r>
          </w:p>
        </w:tc>
        <w:tc>
          <w:tcPr/>
          <w:p>
            <w:pPr>
              <w:pStyle w:val="Compact"/>
              <w:jc w:val="left"/>
            </w:pPr>
            <w:r>
              <w:t xml:space="preserve">40 predictores: edad, sexo, fin de semana, tipo de ingreso, procedencia (2 niveles), nivel de cuidado al ingreso, CIE10_3C, capítulo y 31 Elixhauser. Variables GRD prohibidas siempre</w:t>
            </w:r>
          </w:p>
        </w:tc>
        <w:tc>
          <w:tcPr/>
          <w:p>
            <w:pPr>
              <w:pStyle w:val="Compact"/>
              <w:jc w:val="left"/>
            </w:pPr>
            <w:r>
              <w:t xml:space="preserve">Prohibir GRD:</w:t>
            </w:r>
            <w:r>
              <w:t xml:space="preserve"> </w:t>
            </w:r>
            <w:r>
              <w:rPr>
                <w:bCs/>
                <w:b/>
              </w:rPr>
              <w:t xml:space="preserve">mejora</w:t>
            </w:r>
            <w:r>
              <w:t xml:space="preserve">. Nivel de cuidado y procedencia: riesgo de variable de proceso (H-10)</w:t>
            </w:r>
          </w:p>
        </w:tc>
      </w:tr>
      <w:tr>
        <w:tc>
          <w:tcPr/>
          <w:p>
            <w:pPr>
              <w:pStyle w:val="Compact"/>
              <w:jc w:val="left"/>
            </w:pPr>
            <w:r>
              <w:t xml:space="preserve">Salvaguarda POA</w:t>
            </w:r>
          </w:p>
        </w:tc>
        <w:tc>
          <w:tcPr/>
          <w:p>
            <w:pPr>
              <w:pStyle w:val="Compact"/>
              <w:jc w:val="left"/>
            </w:pPr>
            <w:r>
              <w:t xml:space="preserve">Lista blanca Elixhauser</w:t>
            </w:r>
          </w:p>
        </w:tc>
        <w:tc>
          <w:tcPr/>
          <w:p>
            <w:pPr>
              <w:pStyle w:val="Compact"/>
              <w:jc w:val="left"/>
            </w:pPr>
            <w:r>
              <w:t xml:space="preserve">Sin POA; sensibilidad sin las 5 categorías sospechosas</w:t>
            </w:r>
            <w:r>
              <w:t xml:space="preserve"> </w:t>
            </w:r>
            <w:r>
              <w:rPr>
                <w:bCs/>
                <w:b/>
              </w:rPr>
              <w:t xml:space="preserve">retirada</w:t>
            </w:r>
            <w:r>
              <w:t xml:space="preserve"> </w:t>
            </w:r>
            <w:r>
              <w:t xml:space="preserve">(decisión 8)</w:t>
            </w:r>
          </w:p>
        </w:tc>
        <w:tc>
          <w:tcPr/>
          <w:p>
            <w:pPr>
              <w:pStyle w:val="Compact"/>
              <w:jc w:val="left"/>
            </w:pPr>
            <w:r>
              <w:rPr>
                <w:bCs/>
                <w:b/>
              </w:rPr>
              <w:t xml:space="preserve">Desviación</w:t>
            </w:r>
            <w:r>
              <w:t xml:space="preserve"> </w:t>
            </w:r>
            <w:r>
              <w:t xml:space="preserve">(H-02)</w:t>
            </w:r>
          </w:p>
        </w:tc>
      </w:tr>
      <w:tr>
        <w:tc>
          <w:tcPr/>
          <w:p>
            <w:pPr>
              <w:pStyle w:val="Compact"/>
              <w:jc w:val="left"/>
            </w:pPr>
            <w:r>
              <w:t xml:space="preserve">Estadía</w:t>
            </w:r>
          </w:p>
        </w:tc>
        <w:tc>
          <w:tcPr/>
          <w:p>
            <w:pPr>
              <w:pStyle w:val="Compact"/>
              <w:jc w:val="left"/>
            </w:pPr>
            <w:r>
              <w:t xml:space="preserve">Poisson o Tweedie, sin log; solo sobrevivientes</w:t>
            </w:r>
          </w:p>
        </w:tc>
        <w:tc>
          <w:tcPr/>
          <w:p>
            <w:pPr>
              <w:pStyle w:val="Compact"/>
              <w:jc w:val="left"/>
            </w:pPr>
            <w:r>
              <w:t xml:space="preserve">LightGBM Tweedie (potencia 1,80); tope p99 = 53 días en observados y esperados; solo sobrevivientes con al menos 1 día</w:t>
            </w:r>
          </w:p>
        </w:tc>
        <w:tc>
          <w:tcPr/>
          <w:p>
            <w:pPr>
              <w:pStyle w:val="Compact"/>
              <w:jc w:val="left"/>
            </w:pPr>
            <w:r>
              <w:rPr>
                <w:bCs/>
                <w:b/>
              </w:rPr>
              <w:t xml:space="preserve">Mejora</w:t>
            </w:r>
            <w:r>
              <w:t xml:space="preserve"> </w:t>
            </w:r>
            <w:r>
              <w:t xml:space="preserve">(el tope está cuantificado: ρ = 0,995 con y sin tope)</w:t>
            </w:r>
          </w:p>
        </w:tc>
      </w:tr>
      <w:tr>
        <w:tc>
          <w:tcPr/>
          <w:p>
            <w:pPr>
              <w:pStyle w:val="Compact"/>
              <w:jc w:val="left"/>
            </w:pPr>
            <w:r>
              <w:t xml:space="preserve">Partición</w:t>
            </w:r>
          </w:p>
        </w:tc>
        <w:tc>
          <w:tcPr/>
          <w:p>
            <w:pPr>
              <w:pStyle w:val="Compact"/>
              <w:jc w:val="left"/>
            </w:pPr>
            <w:r>
              <w:t xml:space="preserve">2019–22 entrenar, 2023 calibrar, 2024 prueba</w:t>
            </w:r>
          </w:p>
        </w:tc>
        <w:tc>
          <w:tcPr/>
          <w:p>
            <w:pPr>
              <w:pStyle w:val="Compact"/>
              <w:jc w:val="left"/>
            </w:pPr>
            <w:r>
              <w:t xml:space="preserve">Igual, con 2 pliegues hacia adelante para seleccionar</w:t>
            </w:r>
          </w:p>
        </w:tc>
        <w:tc>
          <w:tcPr/>
          <w:p>
            <w:pPr>
              <w:pStyle w:val="Compact"/>
              <w:jc w:val="left"/>
            </w:pPr>
            <w:r>
              <w:t xml:space="preserve">Neutral</w:t>
            </w:r>
          </w:p>
        </w:tc>
      </w:tr>
      <w:tr>
        <w:tc>
          <w:tcPr/>
          <w:p>
            <w:pPr>
              <w:pStyle w:val="Compact"/>
              <w:jc w:val="left"/>
            </w:pPr>
            <w:r>
              <w:t xml:space="preserve">Recalibración</w:t>
            </w:r>
          </w:p>
        </w:tc>
        <w:tc>
          <w:tcPr/>
          <w:p>
            <w:pPr>
              <w:pStyle w:val="Compact"/>
              <w:jc w:val="left"/>
            </w:pPr>
            <w:r>
              <w:t xml:space="preserve">Platt o isotónica si la pendiente sale del rango</w:t>
            </w:r>
          </w:p>
        </w:tc>
        <w:tc>
          <w:tcPr/>
          <w:p>
            <w:pPr>
              <w:pStyle w:val="Compact"/>
              <w:jc w:val="left"/>
            </w:pPr>
            <w:r>
              <w:t xml:space="preserve">Siempre se recalibra (Platt; factor único en estadía) porque el O/E de 2023 fue 0,866</w:t>
            </w:r>
          </w:p>
        </w:tc>
        <w:tc>
          <w:tcPr/>
          <w:p>
            <w:pPr>
              <w:pStyle w:val="Compact"/>
              <w:jc w:val="left"/>
            </w:pPr>
            <w:r>
              <w:rPr>
                <w:bCs/>
                <w:b/>
              </w:rPr>
              <w:t xml:space="preserve">Mejora</w:t>
            </w:r>
            <w:r>
              <w:t xml:space="preserve"> </w:t>
            </w:r>
            <w:r>
              <w:t xml:space="preserve">(regla de empate fijada de antemano)</w:t>
            </w:r>
          </w:p>
        </w:tc>
      </w:tr>
      <w:tr>
        <w:tc>
          <w:tcPr/>
          <w:p>
            <w:pPr>
              <w:pStyle w:val="Compact"/>
              <w:jc w:val="left"/>
            </w:pPr>
            <w:r>
              <w:t xml:space="preserve">Pandemia</w:t>
            </w:r>
          </w:p>
        </w:tc>
        <w:tc>
          <w:tcPr/>
          <w:p>
            <w:pPr>
              <w:pStyle w:val="Compact"/>
              <w:jc w:val="left"/>
            </w:pPr>
            <w:r>
              <w:t xml:space="preserve">Sensibilidad sin 2020–2021</w:t>
            </w:r>
          </w:p>
        </w:tc>
        <w:tc>
          <w:tcPr/>
          <w:p>
            <w:pPr>
              <w:pStyle w:val="Compact"/>
              <w:jc w:val="left"/>
            </w:pPr>
            <w:r>
              <w:rPr>
                <w:bCs/>
                <w:b/>
              </w:rPr>
              <w:t xml:space="preserve">No se hizo</w:t>
            </w:r>
            <w:r>
              <w:t xml:space="preserve">. La F1 v4 la rebaja a «planificada»; la F5 dice que era «obligatoria»</w:t>
            </w:r>
          </w:p>
        </w:tc>
        <w:tc>
          <w:tcPr/>
          <w:p>
            <w:pPr>
              <w:pStyle w:val="Compact"/>
              <w:jc w:val="left"/>
            </w:pPr>
            <w:r>
              <w:rPr>
                <w:bCs/>
                <w:b/>
              </w:rPr>
              <w:t xml:space="preserve">Desviación</w:t>
            </w:r>
            <w:r>
              <w:t xml:space="preserve"> </w:t>
            </w:r>
            <w:r>
              <w:t xml:space="preserve">(H-04)</w:t>
            </w:r>
          </w:p>
        </w:tc>
      </w:tr>
      <w:tr>
        <w:tc>
          <w:tcPr/>
          <w:p>
            <w:pPr>
              <w:pStyle w:val="Compact"/>
              <w:jc w:val="left"/>
            </w:pPr>
            <w:r>
              <w:t xml:space="preserve">Línea base</w:t>
            </w:r>
          </w:p>
        </w:tc>
        <w:tc>
          <w:tcPr/>
          <w:p>
            <w:pPr>
              <w:pStyle w:val="Compact"/>
              <w:jc w:val="left"/>
            </w:pPr>
            <w:r>
              <w:t xml:space="preserve">Regresión logística</w:t>
            </w:r>
          </w:p>
        </w:tc>
        <w:tc>
          <w:tcPr/>
          <w:p>
            <w:pPr>
              <w:pStyle w:val="Compact"/>
              <w:jc w:val="left"/>
            </w:pPr>
            <w:r>
              <w:t xml:space="preserve">Logística (mortalidad); Poisson y Ridge (estadía); van Walraven como referencia</w:t>
            </w:r>
          </w:p>
        </w:tc>
        <w:tc>
          <w:tcPr/>
          <w:p>
            <w:pPr>
              <w:pStyle w:val="Compact"/>
              <w:jc w:val="left"/>
            </w:pPr>
            <w:r>
              <w:rPr>
                <w:bCs/>
                <w:b/>
              </w:rPr>
              <w:t xml:space="preserve">Mejora</w:t>
            </w:r>
          </w:p>
        </w:tc>
      </w:tr>
      <w:tr>
        <w:tc>
          <w:tcPr/>
          <w:p>
            <w:pPr>
              <w:pStyle w:val="Compact"/>
              <w:jc w:val="left"/>
            </w:pPr>
            <w:r>
              <w:t xml:space="preserve">Criterios</w:t>
            </w:r>
          </w:p>
        </w:tc>
        <w:tc>
          <w:tcPr/>
          <w:p>
            <w:pPr>
              <w:pStyle w:val="Compact"/>
              <w:jc w:val="left"/>
            </w:pPr>
            <w:r>
              <w:t xml:space="preserve">PR AUC &gt; logística, BSS &gt; 0, pendiente 0,8–1,2, O/E 0,95–1,05</w:t>
            </w:r>
          </w:p>
        </w:tc>
        <w:tc>
          <w:tcPr/>
          <w:p>
            <w:pPr>
              <w:pStyle w:val="Compact"/>
              <w:jc w:val="left"/>
            </w:pPr>
            <w:r>
              <w:t xml:space="preserve">Iguales, más O/E de estadía 0,95–1,05 y regla de veredicto con IC en un protocolo con huella SHA-256</w:t>
            </w:r>
          </w:p>
        </w:tc>
        <w:tc>
          <w:tcPr/>
          <w:p>
            <w:pPr>
              <w:pStyle w:val="Compact"/>
              <w:jc w:val="left"/>
            </w:pPr>
            <w:r>
              <w:rPr>
                <w:bCs/>
                <w:b/>
              </w:rPr>
              <w:t xml:space="preserve">Mejora</w:t>
            </w:r>
            <w:r>
              <w:t xml:space="preserve"> </w:t>
            </w:r>
            <w:r>
              <w:t xml:space="preserve">(pre-registro real)</w:t>
            </w:r>
          </w:p>
        </w:tc>
      </w:tr>
      <w:tr>
        <w:tc>
          <w:tcPr/>
          <w:p>
            <w:pPr>
              <w:pStyle w:val="Compact"/>
              <w:jc w:val="left"/>
            </w:pPr>
            <w:r>
              <w:t xml:space="preserve">Embudos</w:t>
            </w:r>
          </w:p>
        </w:tc>
        <w:tc>
          <w:tcPr/>
          <w:p>
            <w:pPr>
              <w:pStyle w:val="Compact"/>
              <w:jc w:val="left"/>
            </w:pPr>
            <w:r>
              <w:t xml:space="preserve">Spiegelhalter 95 % y 99,8 %</w:t>
            </w:r>
          </w:p>
        </w:tc>
        <w:tc>
          <w:tcPr/>
          <w:p>
            <w:pPr>
              <w:pStyle w:val="Compact"/>
              <w:jc w:val="left"/>
            </w:pPr>
            <w:r>
              <w:t xml:space="preserve">Implementado correctamente (§3.4)</w:t>
            </w:r>
          </w:p>
        </w:tc>
        <w:tc>
          <w:tcPr/>
          <w:p>
            <w:pPr>
              <w:pStyle w:val="Compact"/>
              <w:jc w:val="left"/>
            </w:pPr>
            <w:r>
              <w:t xml:space="preserve">Neutral; falta validar con τ &gt; 0 (H-05)</w:t>
            </w:r>
          </w:p>
        </w:tc>
      </w:tr>
      <w:tr>
        <w:tc>
          <w:tcPr/>
          <w:p>
            <w:pPr>
              <w:pStyle w:val="Compact"/>
              <w:jc w:val="left"/>
            </w:pPr>
            <w:r>
              <w:t xml:space="preserve">Exhaustividad</w:t>
            </w:r>
          </w:p>
        </w:tc>
        <w:tc>
          <w:tcPr/>
          <w:p>
            <w:pPr>
              <w:pStyle w:val="Compact"/>
              <w:jc w:val="left"/>
            </w:pPr>
            <w:r>
              <w:t xml:space="preserve">Promedio de comorbilidades por paciente</w:t>
            </w:r>
          </w:p>
        </w:tc>
        <w:tc>
          <w:tcPr/>
          <w:p>
            <w:pPr>
              <w:pStyle w:val="Compact"/>
              <w:jc w:val="left"/>
            </w:pPr>
            <w:r>
              <w:t xml:space="preserve">Modelo Poisson de diagnósticos secundarios esperados según diagnóstico principal, edad y sexo</w:t>
            </w:r>
          </w:p>
        </w:tc>
        <w:tc>
          <w:tcPr/>
          <w:p>
            <w:pPr>
              <w:pStyle w:val="Compact"/>
              <w:jc w:val="left"/>
            </w:pPr>
            <w:r>
              <w:rPr>
                <w:bCs/>
                <w:b/>
              </w:rPr>
              <w:t xml:space="preserve">Mejora clara</w:t>
            </w:r>
          </w:p>
        </w:tc>
      </w:tr>
      <w:tr>
        <w:tc>
          <w:tcPr/>
          <w:p>
            <w:pPr>
              <w:pStyle w:val="Compact"/>
              <w:jc w:val="left"/>
            </w:pPr>
            <w:r>
              <w:t xml:space="preserve">Volumen mínimo</w:t>
            </w:r>
          </w:p>
        </w:tc>
        <w:tc>
          <w:tcPr/>
          <w:p>
            <w:pPr>
              <w:pStyle w:val="Compact"/>
              <w:jc w:val="left"/>
            </w:pPr>
            <w:r>
              <w:t xml:space="preserve">«Número suficiente»</w:t>
            </w:r>
          </w:p>
        </w:tc>
        <w:tc>
          <w:tcPr/>
          <w:p>
            <w:pPr>
              <w:pStyle w:val="Compact"/>
              <w:jc w:val="left"/>
            </w:pPr>
            <w:r>
              <w:t xml:space="preserve">500 egresos y 10 muertes esperadas, fijado antes</w:t>
            </w:r>
          </w:p>
        </w:tc>
        <w:tc>
          <w:tcPr/>
          <w:p>
            <w:pPr>
              <w:pStyle w:val="Compact"/>
              <w:jc w:val="left"/>
            </w:pPr>
            <w:r>
              <w:rPr>
                <w:bCs/>
                <w:b/>
              </w:rPr>
              <w:t xml:space="preserve">Mejora</w:t>
            </w:r>
          </w:p>
        </w:tc>
      </w:tr>
      <w:tr>
        <w:tc>
          <w:tcPr/>
          <w:p>
            <w:pPr>
              <w:pStyle w:val="Compact"/>
              <w:jc w:val="left"/>
            </w:pPr>
            <w:r>
              <w:t xml:space="preserve">Traslados salientes</w:t>
            </w:r>
          </w:p>
        </w:tc>
        <w:tc>
          <w:tcPr/>
          <w:p>
            <w:pPr>
              <w:pStyle w:val="Compact"/>
              <w:jc w:val="left"/>
            </w:pPr>
            <w:r>
              <w:t xml:space="preserve">Censurados; alta anticipada declarada</w:t>
            </w:r>
          </w:p>
        </w:tc>
        <w:tc>
          <w:tcPr/>
          <w:p>
            <w:pPr>
              <w:pStyle w:val="Compact"/>
              <w:jc w:val="left"/>
            </w:pPr>
            <w:r>
              <w:t xml:space="preserve">Igual; rastreo viable (46,7 %) pero retirado por el quiebre del identificador entre 2020 y 2021</w:t>
            </w:r>
          </w:p>
        </w:tc>
        <w:tc>
          <w:tcPr/>
          <w:p>
            <w:pPr>
              <w:pStyle w:val="Compact"/>
              <w:jc w:val="left"/>
            </w:pPr>
            <w:r>
              <w:t xml:space="preserve">Neutral, bien justificado</w:t>
            </w:r>
          </w:p>
        </w:tc>
      </w:tr>
      <w:tr>
        <w:tc>
          <w:tcPr/>
          <w:p>
            <w:pPr>
              <w:pStyle w:val="Compact"/>
              <w:jc w:val="left"/>
            </w:pPr>
            <w:r>
              <w:t xml:space="preserve">Reproducibilidad</w:t>
            </w:r>
          </w:p>
        </w:tc>
        <w:tc>
          <w:tcPr/>
          <w:p>
            <w:pPr>
              <w:pStyle w:val="Compact"/>
              <w:jc w:val="left"/>
            </w:pPr>
            <w:r>
              <w:rPr>
                <w:rStyle w:val="VerbatimChar"/>
              </w:rPr>
              <w:t xml:space="preserve">requirements.txt</w:t>
            </w:r>
            <w:r>
              <w:t xml:space="preserve"> </w:t>
            </w:r>
            <w:r>
              <w:t xml:space="preserve">estrictos y Docker</w:t>
            </w:r>
          </w:p>
        </w:tc>
        <w:tc>
          <w:tcPr/>
          <w:p>
            <w:pPr>
              <w:pStyle w:val="Compact"/>
              <w:jc w:val="left"/>
            </w:pPr>
            <w:r>
              <w:rPr>
                <w:rStyle w:val="VerbatimChar"/>
              </w:rPr>
              <w:t xml:space="preserve">requirements</w:t>
            </w:r>
            <w:r>
              <w:t xml:space="preserve"> </w:t>
            </w:r>
            <w:r>
              <w:t xml:space="preserve">con «&gt;=» y sin Docker; el manifiesto sí registra versiones</w:t>
            </w:r>
          </w:p>
        </w:tc>
        <w:tc>
          <w:tcPr/>
          <w:p>
            <w:pPr>
              <w:pStyle w:val="Compact"/>
              <w:jc w:val="left"/>
            </w:pPr>
            <w:r>
              <w:t xml:space="preserve">Desviación menor (H-17)</w:t>
            </w:r>
          </w:p>
        </w:tc>
      </w:tr>
    </w:tbl>
    <w:p>
      <w:pPr>
        <w:pStyle w:val="BodyText"/>
      </w:pPr>
      <w:r>
        <w:rPr>
          <w:bCs/>
          <w:b/>
        </w:rPr>
        <w:t xml:space="preserve">Lectura general.</w:t>
      </w:r>
      <w:r>
        <w:t xml:space="preserve"> </w:t>
      </w:r>
      <w:r>
        <w:t xml:space="preserve">La mayoría de los cambios mejoran el proyecto y están documentados. Los que no lo hacen tienen algo en común:</w:t>
      </w:r>
      <w:r>
        <w:t xml:space="preserve"> </w:t>
      </w:r>
      <w:r>
        <w:rPr>
          <w:bCs/>
          <w:b/>
        </w:rPr>
        <w:t xml:space="preserve">quitan salvaguardas prometidas</w:t>
      </w:r>
      <w:r>
        <w:t xml:space="preserve"> </w:t>
      </w:r>
      <w:r>
        <w:t xml:space="preserve">(sensibilidad POA, sensibilidad pandemia) o</w:t>
      </w:r>
      <w:r>
        <w:t xml:space="preserve"> </w:t>
      </w:r>
      <w:r>
        <w:rPr>
          <w:bCs/>
          <w:b/>
        </w:rPr>
        <w:t xml:space="preserve">se formalizaron después de abrir 2024</w:t>
      </w:r>
      <w:r>
        <w:t xml:space="preserve"> </w:t>
      </w:r>
      <w:r>
        <w:t xml:space="preserve">(traslados entrantes). Que los cambios se hicieran para «aclarar mejor lo desarrollado» es legítimo, pero hay que separar dos tipos: los que se decidieron antes de ver 2024 y los que se documentaron después.</w:t>
      </w:r>
    </w:p>
    <w:p>
      <w:r>
        <w:pict>
          <v:rect style="width:0;height:1.5pt" o:hralign="center" o:hrstd="t" o:hr="t"/>
        </w:pict>
      </w:r>
    </w:p>
    <w:bookmarkEnd w:id="22"/>
    <w:bookmarkEnd w:id="23"/>
    <w:bookmarkStart w:id="24" w:name="veredicto-ejecutivo"/>
    <w:p>
      <w:pPr>
        <w:pStyle w:val="Heading2"/>
      </w:pPr>
      <w:r>
        <w:t xml:space="preserve">1. Veredicto ejecutivo</w:t>
      </w:r>
    </w:p>
    <w:p>
      <w:pPr>
        <w:pStyle w:val="FirstParagraph"/>
      </w:pPr>
      <w:r>
        <w:t xml:space="preserve">El proceso tiene una rigurosidad poco común en una tesis. El desenlace de 2024 quedó sellado con registro de accesos y una sola lectura concedida. El protocolo se fijó con huella SHA-256 antes de abrir. La cascada cuadra 79 de 79 cifras con la Fase 2. El mapeo Elixhauser–Quan es correcto, la validación es temporal, el bootstrap remuestrea hospitales completos y el embudo de Spiegelhalter está bien implementado. Como predictores, los modelos son sólidos y estables (AUC 0,932 y pendiente 1,02 en 2024).</w:t>
      </w:r>
    </w:p>
    <w:p>
      <w:pPr>
        <w:pStyle w:val="BodyText"/>
      </w:pPr>
      <w:r>
        <w:t xml:space="preserve">La debilidad está en lo que la tesis promete: que el O/E</w:t>
      </w:r>
      <w:r>
        <w:t xml:space="preserve"> </w:t>
      </w:r>
      <w:r>
        <w:rPr>
          <w:bCs/>
          <w:b/>
        </w:rPr>
        <w:t xml:space="preserve">compare hospitales de forma justa</w:t>
      </w:r>
      <w:r>
        <w:t xml:space="preserve">. Ahí quedan tres vacíos:</w:t>
      </w:r>
    </w:p>
    <w:p>
      <w:pPr>
        <w:numPr>
          <w:ilvl w:val="0"/>
          <w:numId w:val="1002"/>
        </w:numPr>
        <w:pStyle w:val="Compact"/>
      </w:pPr>
      <w:r>
        <w:t xml:space="preserve">El ajuste se apoya en comorbilidades que se comportan como complicaciones, y su análisis de sensibilidad se retiró.</w:t>
      </w:r>
    </w:p>
    <w:p>
      <w:pPr>
        <w:numPr>
          <w:ilvl w:val="0"/>
          <w:numId w:val="1002"/>
        </w:numPr>
        <w:pStyle w:val="Compact"/>
      </w:pPr>
      <w:r>
        <w:t xml:space="preserve">El embudo mezcla institutos monográficos y hospitales recién incorporados con hospitales generales.</w:t>
      </w:r>
      <w:r>
        <w:t xml:space="preserve"> </w:t>
      </w:r>
      <w:r>
        <w:rPr>
          <w:bCs/>
          <w:b/>
        </w:rPr>
        <w:t xml:space="preserve">Los 3 institutos monográficos quedan fuera de los límites de mortalidad</w:t>
      </w:r>
      <w:r>
        <w:t xml:space="preserve">, y 2 de las 3 señales al 99,8 % son institutos.</w:t>
      </w:r>
    </w:p>
    <w:p>
      <w:pPr>
        <w:numPr>
          <w:ilvl w:val="0"/>
          <w:numId w:val="1002"/>
        </w:numPr>
        <w:pStyle w:val="Compact"/>
      </w:pPr>
      <w:r>
        <w:t xml:space="preserve">Dos análisis prometidos no se hicieron, y la Fase 1 se reescribió después de abrir 2024.</w:t>
      </w:r>
    </w:p>
    <w:p>
      <w:pPr>
        <w:pStyle w:val="FirstParagraph"/>
      </w:pPr>
      <w:r>
        <w:rPr>
          <w:bCs/>
          <w:b/>
        </w:rPr>
        <w:t xml:space="preserve">Nota: 5,7 (escala 1 a 7) a nivel de magíster en el estado actual.</w:t>
      </w:r>
      <w:r>
        <w:t xml:space="preserve"> </w:t>
      </w:r>
      <w:r>
        <w:t xml:space="preserve">Si se resuelve la prioridad 1 de la sección 6 sin tocar el resultado primario, sube a</w:t>
      </w:r>
      <w:r>
        <w:t xml:space="preserve"> </w:t>
      </w:r>
      <w:r>
        <w:rPr>
          <w:bCs/>
          <w:b/>
        </w:rPr>
        <w:t xml:space="preserve">6,3–6,5</w:t>
      </w:r>
      <w:r>
        <w:t xml:space="preserve">. Para Ingeniería de Ejecución, el trabajo ya está sobre el estándar esperado.</w:t>
      </w:r>
    </w:p>
    <w:p>
      <w:r>
        <w:pict>
          <v:rect style="width:0;height:1.5pt" o:hralign="center" o:hrstd="t" o:hr="t"/>
        </w:pict>
      </w:r>
    </w:p>
    <w:bookmarkEnd w:id="24"/>
    <w:bookmarkStart w:id="25" w:name="hallazgos-priorizados"/>
    <w:p>
      <w:pPr>
        <w:pStyle w:val="Heading2"/>
      </w:pPr>
      <w:r>
        <w:t xml:space="preserve">2. Hallazgos priorizados</w:t>
      </w:r>
    </w:p>
    <w:p>
      <w:pPr>
        <w:pStyle w:val="FirstParagraph"/>
      </w:pPr>
      <w:r>
        <w:t xml:space="preserve">Severidad:</w:t>
      </w:r>
      <w:r>
        <w:t xml:space="preserve"> </w:t>
      </w:r>
      <w:r>
        <w:rPr>
          <w:bCs/>
          <w:b/>
        </w:rPr>
        <w:t xml:space="preserve">C</w:t>
      </w:r>
      <w:r>
        <w:t xml:space="preserve"> </w:t>
      </w:r>
      <w:r>
        <w:t xml:space="preserve">= crítica,</w:t>
      </w:r>
      <w:r>
        <w:t xml:space="preserve"> </w:t>
      </w:r>
      <w:r>
        <w:rPr>
          <w:bCs/>
          <w:b/>
        </w:rPr>
        <w:t xml:space="preserve">A</w:t>
      </w:r>
      <w:r>
        <w:t xml:space="preserve"> </w:t>
      </w:r>
      <w:r>
        <w:t xml:space="preserve">= alta,</w:t>
      </w:r>
      <w:r>
        <w:t xml:space="preserve"> </w:t>
      </w:r>
      <w:r>
        <w:rPr>
          <w:bCs/>
          <w:b/>
        </w:rPr>
        <w:t xml:space="preserve">M</w:t>
      </w:r>
      <w:r>
        <w:t xml:space="preserve"> </w:t>
      </w:r>
      <w:r>
        <w:t xml:space="preserve">= media,</w:t>
      </w:r>
      <w:r>
        <w:t xml:space="preserve"> </w:t>
      </w:r>
      <w:r>
        <w:rPr>
          <w:bCs/>
          <w:b/>
        </w:rPr>
        <w:t xml:space="preserve">B</w:t>
      </w:r>
      <w:r>
        <w:t xml:space="preserve"> </w:t>
      </w:r>
      <w:r>
        <w:t xml:space="preserve">= baja. «Recálculo propio» significa que lo calculé con las tablas de salida del proyecto.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Fase</w:t>
            </w:r>
          </w:p>
        </w:tc>
        <w:tc>
          <w:tcPr/>
          <w:p>
            <w:pPr>
              <w:pStyle w:val="Compact"/>
              <w:jc w:val="left"/>
            </w:pPr>
            <w:r>
              <w:t xml:space="preserve">Hallazgo</w:t>
            </w:r>
          </w:p>
        </w:tc>
        <w:tc>
          <w:tcPr/>
          <w:p>
            <w:pPr>
              <w:pStyle w:val="Compact"/>
              <w:jc w:val="left"/>
            </w:pPr>
            <w:r>
              <w:t xml:space="preserve">Sev.</w:t>
            </w:r>
          </w:p>
        </w:tc>
        <w:tc>
          <w:tcPr/>
          <w:p>
            <w:pPr>
              <w:pStyle w:val="Compact"/>
              <w:jc w:val="left"/>
            </w:pPr>
            <w:r>
              <w:t xml:space="preserve">Evidencia</w:t>
            </w:r>
          </w:p>
        </w:tc>
        <w:tc>
          <w:tcPr/>
          <w:p>
            <w:pPr>
              <w:pStyle w:val="Compact"/>
              <w:jc w:val="left"/>
            </w:pPr>
            <w:r>
              <w:t xml:space="preserve">Impacto en la validez</w:t>
            </w:r>
          </w:p>
        </w:tc>
        <w:tc>
          <w:tcPr/>
          <w:p>
            <w:pPr>
              <w:pStyle w:val="Compact"/>
              <w:jc w:val="left"/>
            </w:pPr>
            <w:r>
              <w:t xml:space="preserve">Corrección recomendada</w:t>
            </w:r>
          </w:p>
        </w:tc>
      </w:tr>
      <w:tr>
        <w:tc>
          <w:tcPr/>
          <w:p>
            <w:pPr>
              <w:pStyle w:val="Compact"/>
              <w:jc w:val="left"/>
            </w:pPr>
            <w:r>
              <w:t xml:space="preserve">H-01</w:t>
            </w:r>
          </w:p>
        </w:tc>
        <w:tc>
          <w:tcPr/>
          <w:p>
            <w:pPr>
              <w:pStyle w:val="Compact"/>
              <w:jc w:val="left"/>
            </w:pPr>
            <w:r>
              <w:t xml:space="preserve">F5 (F1)</w:t>
            </w:r>
          </w:p>
        </w:tc>
        <w:tc>
          <w:tcPr/>
          <w:p>
            <w:pPr>
              <w:pStyle w:val="Compact"/>
              <w:jc w:val="left"/>
            </w:pPr>
            <w:r>
              <w:rPr>
                <w:bCs/>
                <w:b/>
              </w:rPr>
              <w:t xml:space="preserve">Los institutos monográficos se comparan con hospitales generales.</w:t>
            </w:r>
            <w:r>
              <w:t xml:space="preserve"> </w:t>
            </w:r>
            <w:r>
              <w:t xml:space="preserve">Los 3 institutos evaluados (110110 traumatología, 112103 tórax, 112104 neurocirugía) quedan</w:t>
            </w:r>
            <w:r>
              <w:t xml:space="preserve"> </w:t>
            </w:r>
            <w:r>
              <w:rPr>
                <w:bCs/>
                <w:b/>
              </w:rPr>
              <w:t xml:space="preserve">todos</w:t>
            </w:r>
            <w:r>
              <w:t xml:space="preserve"> </w:t>
            </w:r>
            <w:r>
              <w:t xml:space="preserve">fuera del límite del 95 % en mortalidad. Dos son «señal baja» al 99,8 %: O/E &lt; 0,32 (menos de 10 muertes con 31,2 esperadas) y O/E 0,42.</w:t>
            </w:r>
          </w:p>
        </w:tc>
        <w:tc>
          <w:tcPr/>
          <w:p>
            <w:pPr>
              <w:pStyle w:val="Compact"/>
              <w:jc w:val="left"/>
            </w:pPr>
            <w:r>
              <w:t xml:space="preserve">A</w:t>
            </w:r>
          </w:p>
        </w:tc>
        <w:tc>
          <w:tcPr/>
          <w:p>
            <w:pPr>
              <w:pStyle w:val="Compact"/>
              <w:jc w:val="left"/>
            </w:pPr>
            <w:r>
              <w:rPr>
                <w:rStyle w:val="VerbatimChar"/>
              </w:rPr>
              <w:t xml:space="preserve">evaluacion_2024/tablas/oe_hospital_mortalidad.csv</w:t>
            </w:r>
            <w:r>
              <w:t xml:space="preserve">; nombres en</w:t>
            </w:r>
            <w:r>
              <w:t xml:space="preserve"> </w:t>
            </w:r>
            <w:r>
              <w:rPr>
                <w:rStyle w:val="VerbatimChar"/>
              </w:rPr>
              <w:t xml:space="preserve">Hospitales.csv</w:t>
            </w:r>
            <w:r>
              <w:t xml:space="preserve">; recálculo propio</w:t>
            </w:r>
          </w:p>
        </w:tc>
        <w:tc>
          <w:tcPr/>
          <w:p>
            <w:pPr>
              <w:pStyle w:val="Compact"/>
              <w:jc w:val="left"/>
            </w:pPr>
            <w:r>
              <w:t xml:space="preserve">El embudo marca como «mejor de lo esperado» a centros con casuística no comparable. Es justo el mal uso que el proyecto quiere evitar.</w:t>
            </w:r>
          </w:p>
        </w:tc>
        <w:tc>
          <w:tcPr/>
          <w:p>
            <w:pPr>
              <w:pStyle w:val="Compact"/>
              <w:jc w:val="left"/>
            </w:pPr>
            <w:r>
              <w:t xml:space="preserve">Embudos por grupo de pares (generales y monográficos) o excluir monográficos del embudo general con una regla por tipo de establecimiento. Declararlo como análisis secundario.</w:t>
            </w:r>
          </w:p>
        </w:tc>
      </w:tr>
      <w:tr>
        <w:tc>
          <w:tcPr/>
          <w:p>
            <w:pPr>
              <w:pStyle w:val="Compact"/>
              <w:jc w:val="left"/>
            </w:pPr>
            <w:r>
              <w:t xml:space="preserve">H-02</w:t>
            </w:r>
          </w:p>
        </w:tc>
        <w:tc>
          <w:tcPr/>
          <w:p>
            <w:pPr>
              <w:pStyle w:val="Compact"/>
              <w:jc w:val="left"/>
            </w:pPr>
            <w:r>
              <w:t xml:space="preserve">F2–F4</w:t>
            </w:r>
          </w:p>
        </w:tc>
        <w:tc>
          <w:tcPr/>
          <w:p>
            <w:pPr>
              <w:pStyle w:val="Compact"/>
              <w:jc w:val="left"/>
            </w:pPr>
            <w:r>
              <w:rPr>
                <w:bCs/>
                <w:b/>
              </w:rPr>
              <w:t xml:space="preserve">Fuga probable por comorbilidades que se comportan como complicaciones.</w:t>
            </w:r>
            <w:r>
              <w:t xml:space="preserve"> </w:t>
            </w:r>
            <w:r>
              <w:t xml:space="preserve">Las 4 mayores OR ajustadas de mortalidad son coagulopatía 5,77, hidroelectrolíticos 4,26, pérdida de peso 3,71 y circulación pulmonar 3,61. Su prevalencia es 5,5 a 14 veces mayor en el cuartil de estadía más largo que en el más corto. La ablación del extracto muestra que el modelo depende de ellas: ΔPR AUC −0,025 [−0,038; −0,013] y devianza de estadía +3,7 %. La sensibilidad prometida se retiró.</w:t>
            </w:r>
          </w:p>
        </w:tc>
        <w:tc>
          <w:tcPr/>
          <w:p>
            <w:pPr>
              <w:pStyle w:val="Compact"/>
              <w:jc w:val="left"/>
            </w:pPr>
            <w:r>
              <w:t xml:space="preserve">A</w:t>
            </w:r>
          </w:p>
        </w:tc>
        <w:tc>
          <w:tcPr/>
          <w:p>
            <w:pPr>
              <w:pStyle w:val="Compact"/>
              <w:jc w:val="left"/>
            </w:pPr>
            <w:r>
              <w:rPr>
                <w:rStyle w:val="VerbatimChar"/>
              </w:rPr>
              <w:t xml:space="preserve">fase2_eda/.../t23_or_elix.csv</w:t>
            </w:r>
            <w:r>
              <w:t xml:space="preserve">,</w:t>
            </w:r>
            <w:r>
              <w:t xml:space="preserve"> </w:t>
            </w:r>
            <w:r>
              <w:rPr>
                <w:rStyle w:val="VerbatimChar"/>
              </w:rPr>
              <w:t xml:space="preserve">t23_sensibilidad_elix.csv</w:t>
            </w:r>
            <w:r>
              <w:t xml:space="preserve">;</w:t>
            </w:r>
            <w:r>
              <w:t xml:space="preserve"> </w:t>
            </w:r>
            <w:r>
              <w:rPr>
                <w:rStyle w:val="VerbatimChar"/>
              </w:rPr>
              <w:t xml:space="preserve">fase4_modelado/salidas/tablas/auditoria_extracto_ablacion_*.csv</w:t>
            </w:r>
            <w:r>
              <w:t xml:space="preserve">; F1 v4 decisión 8</w:t>
            </w:r>
          </w:p>
        </w:tc>
        <w:tc>
          <w:tcPr/>
          <w:p>
            <w:pPr>
              <w:pStyle w:val="Compact"/>
              <w:jc w:val="left"/>
            </w:pPr>
            <w:r>
              <w:t xml:space="preserve">Los hospitales con más complicaciones reciben más «esperado» y su O/E se acerca a 1 (se oculta un mal desempeño). En estadía es causalidad inversa: más días, más códigos.</w:t>
            </w:r>
          </w:p>
        </w:tc>
        <w:tc>
          <w:tcPr/>
          <w:p>
            <w:pPr>
              <w:pStyle w:val="Compact"/>
              <w:jc w:val="left"/>
            </w:pPr>
            <w:r>
              <w:t xml:space="preserve">Reentrenar con la receta congelada sin esas categorías, aplicar a 2023 y 2024 como</w:t>
            </w:r>
            <w:r>
              <w:t xml:space="preserve"> </w:t>
            </w:r>
            <w:r>
              <w:rPr>
                <w:bCs/>
                <w:b/>
              </w:rPr>
              <w:t xml:space="preserve">sensibilidad declarada post hoc</w:t>
            </w:r>
            <w:r>
              <w:t xml:space="preserve"> </w:t>
            </w:r>
            <w:r>
              <w:t xml:space="preserve">y reportar cuántos hospitales cambian de zona.</w:t>
            </w:r>
          </w:p>
        </w:tc>
      </w:tr>
      <w:tr>
        <w:tc>
          <w:tcPr/>
          <w:p>
            <w:pPr>
              <w:pStyle w:val="Compact"/>
              <w:jc w:val="left"/>
            </w:pPr>
            <w:r>
              <w:t xml:space="preserve">H-03</w:t>
            </w:r>
          </w:p>
        </w:tc>
        <w:tc>
          <w:tcPr/>
          <w:p>
            <w:pPr>
              <w:pStyle w:val="Compact"/>
              <w:jc w:val="left"/>
            </w:pPr>
            <w:r>
              <w:t xml:space="preserve">F1/F5</w:t>
            </w:r>
          </w:p>
        </w:tc>
        <w:tc>
          <w:tcPr/>
          <w:p>
            <w:pPr>
              <w:pStyle w:val="Compact"/>
              <w:jc w:val="left"/>
            </w:pPr>
            <w:r>
              <w:rPr>
                <w:bCs/>
                <w:b/>
              </w:rPr>
              <w:t xml:space="preserve">La Fase 1 se reescribió después de abrir 2024.</w:t>
            </w:r>
            <w:r>
              <w:t xml:space="preserve"> </w:t>
            </w:r>
            <w:r>
              <w:t xml:space="preserve">La F1 v3 dice que los traslados entrantes «no entran a los modelos ni al O/E». Las F3 y F4 los incluyeron sin que ninguna puerta lo detectara, y la F5 lo declara como desviación. La F1 v4 lo convierte en decisión del proyecto «porque excluirlos obligaría a… repetir el examen de 2024». Lo mismo pasa con la sensibilidad 2020–2021 (de «obligatoria» a «planificada»).</w:t>
            </w:r>
          </w:p>
        </w:tc>
        <w:tc>
          <w:tcPr/>
          <w:p>
            <w:pPr>
              <w:pStyle w:val="Compact"/>
              <w:jc w:val="left"/>
            </w:pPr>
            <w:r>
              <w:t xml:space="preserve">A</w:t>
            </w:r>
          </w:p>
        </w:tc>
        <w:tc>
          <w:tcPr/>
          <w:p>
            <w:pPr>
              <w:pStyle w:val="Compact"/>
              <w:jc w:val="left"/>
            </w:pPr>
            <w:r>
              <w:t xml:space="preserve">F1 v3 §9.2 y decisión 15; F1 v4 §19.1; F5 cierre §9 ítems 4 y 5; Plan F5 D4 y D9</w:t>
            </w:r>
          </w:p>
        </w:tc>
        <w:tc>
          <w:tcPr/>
          <w:p>
            <w:pPr>
              <w:pStyle w:val="Compact"/>
              <w:jc w:val="left"/>
            </w:pPr>
            <w:r>
              <w:t xml:space="preserve">No afecta las cifras (el pipeline estaba congelado), pero sí la credibilidad del pre-registro: puede leerse como ajustar el plan al resultado.</w:t>
            </w:r>
          </w:p>
        </w:tc>
        <w:tc>
          <w:tcPr/>
          <w:p>
            <w:pPr>
              <w:pStyle w:val="Compact"/>
              <w:jc w:val="left"/>
            </w:pPr>
            <w:r>
              <w:t xml:space="preserve">Mantener la F1 v3 como versión pre-registrada y presentar la v4 como</w:t>
            </w:r>
            <w:r>
              <w:t xml:space="preserve"> </w:t>
            </w:r>
            <w:r>
              <w:rPr>
                <w:bCs/>
                <w:b/>
              </w:rPr>
              <w:t xml:space="preserve">enmienda posterior a la apertura</w:t>
            </w:r>
            <w:r>
              <w:t xml:space="preserve">, con su tabla de desviaciones. No llamar «decisión» a lo que fue una desviación.</w:t>
            </w:r>
          </w:p>
        </w:tc>
      </w:tr>
      <w:tr>
        <w:tc>
          <w:tcPr/>
          <w:p>
            <w:pPr>
              <w:pStyle w:val="Compact"/>
              <w:jc w:val="left"/>
            </w:pPr>
            <w:r>
              <w:t xml:space="preserve">H-04</w:t>
            </w:r>
          </w:p>
        </w:tc>
        <w:tc>
          <w:tcPr/>
          <w:p>
            <w:pPr>
              <w:pStyle w:val="Compact"/>
              <w:jc w:val="left"/>
            </w:pPr>
            <w:r>
              <w:t xml:space="preserve">F1→F5</w:t>
            </w:r>
          </w:p>
        </w:tc>
        <w:tc>
          <w:tcPr/>
          <w:p>
            <w:pPr>
              <w:pStyle w:val="Compact"/>
              <w:jc w:val="left"/>
            </w:pPr>
            <w:r>
              <w:rPr>
                <w:bCs/>
                <w:b/>
              </w:rPr>
              <w:t xml:space="preserve">Análisis prometidos que no se hicieron</w:t>
            </w:r>
            <w:r>
              <w:t xml:space="preserve">: sin 2020–2021 (informe §5.3, decisión 17), estadía de fallecidos y error por GRD. El costo ya es visible: el capítulo XXII (U07, COVID-19) tiene O/E 0,58 en 2024, y U07 suma 102.969 egresos de entrenamiento.</w:t>
            </w:r>
          </w:p>
        </w:tc>
        <w:tc>
          <w:tcPr/>
          <w:p>
            <w:pPr>
              <w:pStyle w:val="Compact"/>
              <w:jc w:val="left"/>
            </w:pPr>
            <w:r>
              <w:t xml:space="preserve">A</w:t>
            </w:r>
          </w:p>
        </w:tc>
        <w:tc>
          <w:tcPr/>
          <w:p>
            <w:pPr>
              <w:pStyle w:val="Compact"/>
              <w:jc w:val="left"/>
            </w:pPr>
            <w:r>
              <w:rPr>
                <w:rStyle w:val="VerbatimChar"/>
              </w:rPr>
              <w:t xml:space="preserve">subgrupos_mortalidad.csv</w:t>
            </w:r>
            <w:r>
              <w:t xml:space="preserve"> </w:t>
            </w:r>
            <w:r>
              <w:t xml:space="preserve">(XXII: 225 observadas frente a 387 esperadas);</w:t>
            </w:r>
            <w:r>
              <w:t xml:space="preserve"> </w:t>
            </w:r>
            <w:r>
              <w:rPr>
                <w:rStyle w:val="VerbatimChar"/>
              </w:rPr>
              <w:t xml:space="preserve">oro_vocabularios.csv</w:t>
            </w:r>
          </w:p>
        </w:tc>
        <w:tc>
          <w:tcPr/>
          <w:p>
            <w:pPr>
              <w:pStyle w:val="Compact"/>
              <w:jc w:val="left"/>
            </w:pPr>
            <w:r>
              <w:t xml:space="preserve">Sesgo de período que afecta a los hospitales según su carga COVID en 2024.</w:t>
            </w:r>
          </w:p>
        </w:tc>
        <w:tc>
          <w:tcPr/>
          <w:p>
            <w:pPr>
              <w:pStyle w:val="Compact"/>
              <w:jc w:val="left"/>
            </w:pPr>
            <w:r>
              <w:t xml:space="preserve">Correr la sensibilidad sin 2020–2021 (el Plan F5 D4 la estima en una semana): evaluarla en 2023 y reportar 2024 como secundario.</w:t>
            </w:r>
          </w:p>
        </w:tc>
      </w:tr>
      <w:tr>
        <w:tc>
          <w:tcPr/>
          <w:p>
            <w:pPr>
              <w:pStyle w:val="Compact"/>
              <w:jc w:val="left"/>
            </w:pPr>
            <w:r>
              <w:t xml:space="preserve">H-05</w:t>
            </w:r>
          </w:p>
        </w:tc>
        <w:tc>
          <w:tcPr/>
          <w:p>
            <w:pPr>
              <w:pStyle w:val="Compact"/>
              <w:jc w:val="left"/>
            </w:pPr>
            <w:r>
              <w:t xml:space="preserve">F5</w:t>
            </w:r>
          </w:p>
        </w:tc>
        <w:tc>
          <w:tcPr/>
          <w:p>
            <w:pPr>
              <w:pStyle w:val="Compact"/>
              <w:jc w:val="left"/>
            </w:pPr>
            <w:r>
              <w:rPr>
                <w:bCs/>
                <w:b/>
              </w:rPr>
              <w:t xml:space="preserve">El 15,9 % fuera del 95 % se atribuye solo a «diferencias no capturadas».</w:t>
            </w:r>
            <w:r>
              <w:t xml:space="preserve"> </w:t>
            </w:r>
            <w:r>
              <w:t xml:space="preserve">Simulé efectos normales con el τ² estimado y los E reales: el procedimiento winsorizado deja fuera en promedio</w:t>
            </w:r>
            <w:r>
              <w:t xml:space="preserve"> </w:t>
            </w:r>
            <w:r>
              <w:rPr>
                <w:bCs/>
                <w:b/>
              </w:rPr>
              <w:t xml:space="preserve">11,5 %</w:t>
            </w:r>
            <w:r>
              <w:t xml:space="preserve"> </w:t>
            </w:r>
            <w:r>
              <w:t xml:space="preserve">en mortalidad (percentil 95: 15,9 %) y</w:t>
            </w:r>
            <w:r>
              <w:t xml:space="preserve"> </w:t>
            </w:r>
            <w:r>
              <w:rPr>
                <w:bCs/>
                <w:b/>
              </w:rPr>
              <w:t xml:space="preserve">13,0 %</w:t>
            </w:r>
            <w:r>
              <w:t xml:space="preserve"> </w:t>
            </w:r>
            <w:r>
              <w:t xml:space="preserve">en estadía. Sin winsorizar, τ² = 0,028 y quedan fuera 6 de 69 (8,7 %). La puerta P5 solo simuló τ = 0.</w:t>
            </w:r>
          </w:p>
        </w:tc>
        <w:tc>
          <w:tcPr/>
          <w:p>
            <w:pPr>
              <w:pStyle w:val="Compact"/>
              <w:jc w:val="left"/>
            </w:pPr>
            <w:r>
              <w:t xml:space="preserve">M</w:t>
            </w:r>
          </w:p>
        </w:tc>
        <w:tc>
          <w:tcPr/>
          <w:p>
            <w:pPr>
              <w:pStyle w:val="Compact"/>
              <w:jc w:val="left"/>
            </w:pPr>
            <w:r>
              <w:rPr>
                <w:rStyle w:val="VerbatimChar"/>
              </w:rPr>
              <w:t xml:space="preserve">validacion_embudo.json</w:t>
            </w:r>
            <w:r>
              <w:t xml:space="preserve">;</w:t>
            </w:r>
            <w:r>
              <w:t xml:space="preserve"> </w:t>
            </w:r>
            <w:r>
              <w:rPr>
                <w:rStyle w:val="VerbatimChar"/>
              </w:rPr>
              <w:t xml:space="preserve">evaluacion/embudo.py</w:t>
            </w:r>
            <w:r>
              <w:t xml:space="preserve"> </w:t>
            </w:r>
            <w:r>
              <w:t xml:space="preserve">l. 14–24; recálculo propio</w:t>
            </w:r>
          </w:p>
        </w:tc>
        <w:tc>
          <w:tcPr/>
          <w:p>
            <w:pPr>
              <w:pStyle w:val="Compact"/>
              <w:jc w:val="left"/>
            </w:pPr>
            <w:r>
              <w:t xml:space="preserve">Parte del 15,9 % es una propiedad del estimador (winsorizar subestima τ² cuando la variación es entre hospitales). No prueba por sí solo un mal ajuste.</w:t>
            </w:r>
          </w:p>
        </w:tc>
        <w:tc>
          <w:tcPr/>
          <w:p>
            <w:pPr>
              <w:pStyle w:val="Compact"/>
              <w:jc w:val="left"/>
            </w:pPr>
            <w:r>
              <w:t xml:space="preserve">Reportar la simulación con τ &gt; 0, una sensibilidad sin winsorizar (o con truncamiento estilo SHMI) y la persistencia entre años.</w:t>
            </w:r>
          </w:p>
        </w:tc>
      </w:tr>
      <w:tr>
        <w:tc>
          <w:tcPr/>
          <w:p>
            <w:pPr>
              <w:pStyle w:val="Compact"/>
              <w:jc w:val="left"/>
            </w:pPr>
            <w:r>
              <w:t xml:space="preserve">H-06</w:t>
            </w:r>
          </w:p>
        </w:tc>
        <w:tc>
          <w:tcPr/>
          <w:p>
            <w:pPr>
              <w:pStyle w:val="Compact"/>
              <w:jc w:val="left"/>
            </w:pPr>
            <w:r>
              <w:t xml:space="preserve">F3/F5</w:t>
            </w:r>
          </w:p>
        </w:tc>
        <w:tc>
          <w:tcPr/>
          <w:p>
            <w:pPr>
              <w:pStyle w:val="Compact"/>
              <w:jc w:val="left"/>
            </w:pPr>
            <w:r>
              <w:rPr>
                <w:bCs/>
                <w:b/>
              </w:rPr>
              <w:t xml:space="preserve">Censura informativa y complejidad en el O/E de estadía.</w:t>
            </w:r>
            <w:r>
              <w:t xml:space="preserve"> </w:t>
            </w:r>
            <w:r>
              <w:t xml:space="preserve">Los hospitales con alerta baja de estadía trasladan más (mediana 7,4 % frente a 3,7 %; Mann-Whitney p = 0,007) y son más pequeños (2.958 frente a 8.438 egresos). La correlación de rangos entre O/E de estadía y esperado es 0,42 (p &lt; 0,001). 4 de los 7 hospitales incorporados a GRD en 2023–2024 están fuera del límite de estadía (Fisher OR 10,5; p = 0,010).</w:t>
            </w:r>
          </w:p>
        </w:tc>
        <w:tc>
          <w:tcPr/>
          <w:p>
            <w:pPr>
              <w:pStyle w:val="Compact"/>
              <w:jc w:val="left"/>
            </w:pPr>
            <w:r>
              <w:t xml:space="preserve">A</w:t>
            </w:r>
          </w:p>
        </w:tc>
        <w:tc>
          <w:tcPr/>
          <w:p>
            <w:pPr>
              <w:pStyle w:val="Compact"/>
              <w:jc w:val="left"/>
            </w:pPr>
            <w:r>
              <w:rPr>
                <w:rStyle w:val="VerbatimChar"/>
              </w:rPr>
              <w:t xml:space="preserve">tasa_traslado_hospital.csv</w:t>
            </w:r>
            <w:r>
              <w:t xml:space="preserve">,</w:t>
            </w:r>
            <w:r>
              <w:t xml:space="preserve"> </w:t>
            </w:r>
            <w:r>
              <w:rPr>
                <w:rStyle w:val="VerbatimChar"/>
              </w:rPr>
              <w:t xml:space="preserve">oe_hospital_estadia.csv</w:t>
            </w:r>
            <w:r>
              <w:t xml:space="preserve">,</w:t>
            </w:r>
            <w:r>
              <w:t xml:space="preserve"> </w:t>
            </w:r>
            <w:r>
              <w:rPr>
                <w:rStyle w:val="VerbatimChar"/>
              </w:rPr>
              <w:t xml:space="preserve">catalogo_hospitales_anio.csv</w:t>
            </w:r>
            <w:r>
              <w:t xml:space="preserve">; recálculo propio</w:t>
            </w:r>
          </w:p>
        </w:tc>
        <w:tc>
          <w:tcPr/>
          <w:p>
            <w:pPr>
              <w:pStyle w:val="Compact"/>
              <w:jc w:val="left"/>
            </w:pPr>
            <w:r>
              <w:t xml:space="preserve">El O/E de estadía premia a hospitales que derivan sus casos largos y a los que codifican de forma inmadura.</w:t>
            </w:r>
          </w:p>
        </w:tc>
        <w:tc>
          <w:tcPr/>
          <w:p>
            <w:pPr>
              <w:pStyle w:val="Compact"/>
              <w:jc w:val="left"/>
            </w:pPr>
            <w:r>
              <w:t xml:space="preserve">Grupos de pares; marcar hospitales con menos de 2 años en GRD; mostrar la tasa de traslado como</w:t>
            </w:r>
            <w:r>
              <w:t xml:space="preserve"> </w:t>
            </w:r>
            <w:r>
              <w:rPr>
                <w:bCs/>
                <w:b/>
              </w:rPr>
              <w:t xml:space="preserve">condición de lectura</w:t>
            </w:r>
            <w:r>
              <w:t xml:space="preserve"> </w:t>
            </w:r>
            <w:r>
              <w:t xml:space="preserve">del O/E de estadía, no solo como contexto.</w:t>
            </w:r>
          </w:p>
        </w:tc>
      </w:tr>
      <w:tr>
        <w:tc>
          <w:tcPr/>
          <w:p>
            <w:pPr>
              <w:pStyle w:val="Compact"/>
              <w:jc w:val="left"/>
            </w:pPr>
            <w:r>
              <w:t xml:space="preserve">H-07</w:t>
            </w:r>
          </w:p>
        </w:tc>
        <w:tc>
          <w:tcPr/>
          <w:p>
            <w:pPr>
              <w:pStyle w:val="Compact"/>
              <w:jc w:val="left"/>
            </w:pPr>
            <w:r>
              <w:t xml:space="preserve">F3</w:t>
            </w:r>
          </w:p>
        </w:tc>
        <w:tc>
          <w:tcPr/>
          <w:p>
            <w:pPr>
              <w:pStyle w:val="Compact"/>
              <w:jc w:val="left"/>
            </w:pPr>
            <w:r>
              <w:rPr>
                <w:bCs/>
                <w:b/>
              </w:rPr>
              <w:t xml:space="preserve">EX03 está mal especificada.</w:t>
            </w:r>
            <w:r>
              <w:t xml:space="preserve"> </w:t>
            </w:r>
            <w:r>
              <w:t xml:space="preserve">«MDC 14 sin Elixhauser» no equivale a «parto sin complicación»: excluye cesáreas, abortos, preeclampsia y hemorragias (los códigos O no son Elixhauser) y conserva partos normales con obesidad o hipertensión. Afecta a 372.932 egresos.</w:t>
            </w:r>
          </w:p>
        </w:tc>
        <w:tc>
          <w:tcPr/>
          <w:p>
            <w:pPr>
              <w:pStyle w:val="Compact"/>
              <w:jc w:val="left"/>
            </w:pPr>
            <w:r>
              <w:t xml:space="preserve">M</w:t>
            </w:r>
          </w:p>
        </w:tc>
        <w:tc>
          <w:tcPr/>
          <w:p>
            <w:pPr>
              <w:pStyle w:val="Compact"/>
              <w:jc w:val="left"/>
            </w:pPr>
            <w:r>
              <w:rPr>
                <w:rStyle w:val="VerbatimChar"/>
              </w:rPr>
              <w:t xml:space="preserve">prep/cohortes.py</w:t>
            </w:r>
            <w:r>
              <w:t xml:space="preserve"> </w:t>
            </w:r>
            <w:r>
              <w:t xml:space="preserve">l. 49</w:t>
            </w:r>
          </w:p>
        </w:tc>
        <w:tc>
          <w:tcPr/>
          <w:p>
            <w:pPr>
              <w:pStyle w:val="Compact"/>
              <w:jc w:val="left"/>
            </w:pPr>
            <w:r>
              <w:t xml:space="preserve">La población obstétrica que queda es arbitraria y se pierde parte de la mortalidad materna.</w:t>
            </w:r>
          </w:p>
        </w:tc>
        <w:tc>
          <w:tcPr/>
          <w:p>
            <w:pPr>
              <w:pStyle w:val="Compact"/>
              <w:jc w:val="left"/>
            </w:pPr>
            <w:r>
              <w:t xml:space="preserve">Definir la exclusión con GRD de parto sin complicación (catálogo IR-GRD) o excluir el MDC 14 completo y declararlo.</w:t>
            </w:r>
          </w:p>
        </w:tc>
      </w:tr>
      <w:tr>
        <w:tc>
          <w:tcPr/>
          <w:p>
            <w:pPr>
              <w:pStyle w:val="Compact"/>
              <w:jc w:val="left"/>
            </w:pPr>
            <w:r>
              <w:t xml:space="preserve">H-08</w:t>
            </w:r>
          </w:p>
        </w:tc>
        <w:tc>
          <w:tcPr/>
          <w:p>
            <w:pPr>
              <w:pStyle w:val="Compact"/>
              <w:jc w:val="left"/>
            </w:pPr>
            <w:r>
              <w:t xml:space="preserve">F3</w:t>
            </w:r>
          </w:p>
        </w:tc>
        <w:tc>
          <w:tcPr/>
          <w:p>
            <w:pPr>
              <w:pStyle w:val="Compact"/>
              <w:jc w:val="left"/>
            </w:pPr>
            <w:r>
              <w:rPr>
                <w:bCs/>
                <w:b/>
              </w:rPr>
              <w:t xml:space="preserve">La configuración no se aplica en el código.</w:t>
            </w:r>
            <w:r>
              <w:t xml:space="preserve"> </w:t>
            </w:r>
            <w:r>
              <w:rPr>
                <w:rStyle w:val="VerbatimChar"/>
              </w:rPr>
              <w:t xml:space="preserve">tipoalta_roles.csv</w:t>
            </w:r>
            <w:r>
              <w:t xml:space="preserve"> </w:t>
            </w:r>
            <w:r>
              <w:t xml:space="preserve">marca el alta voluntaria y la fuga como</w:t>
            </w:r>
            <w:r>
              <w:t xml:space="preserve"> </w:t>
            </w:r>
            <w:r>
              <w:rPr>
                <w:rStyle w:val="VerbatimChar"/>
              </w:rPr>
              <w:t xml:space="preserve">INCLUIDO_SENSIBILIDAD</w:t>
            </w:r>
            <w:r>
              <w:t xml:space="preserve"> </w:t>
            </w:r>
            <w:r>
              <w:t xml:space="preserve">para estadía, pero la columna</w:t>
            </w:r>
            <w:r>
              <w:t xml:space="preserve"> </w:t>
            </w:r>
            <w:r>
              <w:rPr>
                <w:rStyle w:val="VerbatimChar"/>
              </w:rPr>
              <w:t xml:space="preserve">rol_estancia</w:t>
            </w:r>
            <w:r>
              <w:t xml:space="preserve"> </w:t>
            </w:r>
            <w:r>
              <w:t xml:space="preserve">no se lee en ningún módulo, así que ambas entran a la cohorte E principal.</w:t>
            </w:r>
          </w:p>
        </w:tc>
        <w:tc>
          <w:tcPr/>
          <w:p>
            <w:pPr>
              <w:pStyle w:val="Compact"/>
              <w:jc w:val="left"/>
            </w:pPr>
            <w:r>
              <w:t xml:space="preserve">M</w:t>
            </w:r>
          </w:p>
        </w:tc>
        <w:tc>
          <w:tcPr/>
          <w:p>
            <w:pPr>
              <w:pStyle w:val="Compact"/>
              <w:jc w:val="left"/>
            </w:pPr>
            <w:r>
              <w:rPr>
                <w:rStyle w:val="VerbatimChar"/>
              </w:rPr>
              <w:t xml:space="preserve">config/tipoalta_roles.csv</w:t>
            </w:r>
            <w:r>
              <w:t xml:space="preserve"> </w:t>
            </w:r>
            <w:r>
              <w:t xml:space="preserve">l. 6 y 9;</w:t>
            </w:r>
            <w:r>
              <w:t xml:space="preserve"> </w:t>
            </w:r>
            <w:r>
              <w:rPr>
                <w:rStyle w:val="VerbatimChar"/>
              </w:rPr>
              <w:t xml:space="preserve">prep/cohortes.py</w:t>
            </w:r>
            <w:r>
              <w:t xml:space="preserve"> </w:t>
            </w:r>
            <w:r>
              <w:t xml:space="preserve">l. 56;</w:t>
            </w:r>
            <w:r>
              <w:t xml:space="preserve"> </w:t>
            </w:r>
            <w:r>
              <w:rPr>
                <w:rStyle w:val="VerbatimChar"/>
              </w:rPr>
              <w:t xml:space="preserve">fase5/evaluacion/cohortes.py</w:t>
            </w:r>
            <w:r>
              <w:t xml:space="preserve"> </w:t>
            </w:r>
            <w:r>
              <w:t xml:space="preserve">l. 18</w:t>
            </w:r>
          </w:p>
        </w:tc>
        <w:tc>
          <w:tcPr/>
          <w:p>
            <w:pPr>
              <w:pStyle w:val="Compact"/>
              <w:jc w:val="left"/>
            </w:pPr>
            <w:r>
              <w:t xml:space="preserve">Estadías cortadas por decisión del paciente bajan el O/E (≈1,3 % de los egresos).</w:t>
            </w:r>
          </w:p>
        </w:tc>
        <w:tc>
          <w:tcPr/>
          <w:p>
            <w:pPr>
              <w:pStyle w:val="Compact"/>
              <w:jc w:val="left"/>
            </w:pPr>
            <w:r>
              <w:t xml:space="preserve">Decidir el tratamiento, alinear código y configuración, y agregar una prueba.</w:t>
            </w:r>
          </w:p>
        </w:tc>
      </w:tr>
      <w:tr>
        <w:tc>
          <w:tcPr/>
          <w:p>
            <w:pPr>
              <w:pStyle w:val="Compact"/>
              <w:jc w:val="left"/>
            </w:pPr>
            <w:r>
              <w:t xml:space="preserve">H-09</w:t>
            </w:r>
          </w:p>
        </w:tc>
        <w:tc>
          <w:tcPr/>
          <w:p>
            <w:pPr>
              <w:pStyle w:val="Compact"/>
              <w:jc w:val="left"/>
            </w:pPr>
            <w:r>
              <w:t xml:space="preserve">F5</w:t>
            </w:r>
          </w:p>
        </w:tc>
        <w:tc>
          <w:tcPr/>
          <w:p>
            <w:pPr>
              <w:pStyle w:val="Compact"/>
              <w:jc w:val="left"/>
            </w:pPr>
            <w:r>
              <w:rPr>
                <w:bCs/>
                <w:b/>
              </w:rPr>
              <w:t xml:space="preserve">Fuga de privacidad que sigue en el código de pruebas.</w:t>
            </w:r>
            <w:r>
              <w:t xml:space="preserve"> </w:t>
            </w:r>
            <w:r>
              <w:rPr>
                <w:rStyle w:val="VerbatimChar"/>
              </w:rPr>
              <w:t xml:space="preserve">tests/test_privacidad_derivada.py</w:t>
            </w:r>
            <w:r>
              <w:t xml:space="preserve"> </w:t>
            </w:r>
            <w:r>
              <w:t xml:space="preserve">l. 35 usa como ejemplo un esperado y un O/E que coinciden con los de la única fila suprimida real de 2024. Con ellos se reconstruye</w:t>
            </w:r>
            <w:r>
              <w:t xml:space="preserve"> </w:t>
            </w:r>
            <w:r>
              <w:rPr>
                <w:bCs/>
                <w:b/>
              </w:rPr>
              <w:t xml:space="preserve">el conteo suprimido</w:t>
            </w:r>
            <w:r>
              <w:t xml:space="preserve"> </w:t>
            </w:r>
            <w:r>
              <w:t xml:space="preserve">(menos de 10 muertes). Además, el escáner solo revisa</w:t>
            </w:r>
            <w:r>
              <w:t xml:space="preserve"> </w:t>
            </w:r>
            <w:r>
              <w:rPr>
                <w:rStyle w:val="VerbatimChar"/>
              </w:rPr>
              <w:t xml:space="preserve">salidas/</w:t>
            </w:r>
            <w:r>
              <w:t xml:space="preserve"> </w:t>
            </w:r>
            <w:r>
              <w:t xml:space="preserve">y las columnas con nombre de conteo, y no cruza archivos (tasa de traslado ×</w:t>
            </w:r>
            <w:r>
              <w:t xml:space="preserve"> </w:t>
            </w:r>
            <w:r>
              <w:rPr>
                <w:rStyle w:val="VerbatimChar"/>
              </w:rPr>
              <w:t xml:space="preserve">n_egresos</w:t>
            </w:r>
            <w:r>
              <w:t xml:space="preserve"> </w:t>
            </w:r>
            <w:r>
              <w:t xml:space="preserve">de otra tabla reconstruye conteos exactos).</w:t>
            </w:r>
          </w:p>
        </w:tc>
        <w:tc>
          <w:tcPr/>
          <w:p>
            <w:pPr>
              <w:pStyle w:val="Compact"/>
              <w:jc w:val="left"/>
            </w:pPr>
            <w:r>
              <w:t xml:space="preserve">M</w:t>
            </w:r>
          </w:p>
        </w:tc>
        <w:tc>
          <w:tcPr/>
          <w:p>
            <w:pPr>
              <w:pStyle w:val="Compact"/>
              <w:jc w:val="left"/>
            </w:pPr>
            <w:r>
              <w:t xml:space="preserve">archivo y línea citados;</w:t>
            </w:r>
            <w:r>
              <w:t xml:space="preserve"> </w:t>
            </w:r>
            <w:r>
              <w:rPr>
                <w:rStyle w:val="VerbatimChar"/>
              </w:rPr>
              <w:t xml:space="preserve">indice_exhaustividad_hospital.csv</w:t>
            </w:r>
            <w:r>
              <w:t xml:space="preserve"> </w:t>
            </w:r>
            <w:r>
              <w:t xml:space="preserve">+</w:t>
            </w:r>
            <w:r>
              <w:t xml:space="preserve"> </w:t>
            </w:r>
            <w:r>
              <w:rPr>
                <w:rStyle w:val="VerbatimChar"/>
              </w:rPr>
              <w:t xml:space="preserve">tasa_traslado_hospital.csv</w:t>
            </w:r>
          </w:p>
        </w:tc>
        <w:tc>
          <w:tcPr/>
          <w:p>
            <w:pPr>
              <w:pStyle w:val="Compact"/>
              <w:jc w:val="left"/>
            </w:pPr>
            <w:r>
              <w:t xml:space="preserve">El repositorio guarda un conteo menor que 10 de una institución identificable, quizá también en el historial de git.</w:t>
            </w:r>
          </w:p>
        </w:tc>
        <w:tc>
          <w:tcPr/>
          <w:p>
            <w:pPr>
              <w:pStyle w:val="Compact"/>
              <w:jc w:val="left"/>
            </w:pPr>
            <w:r>
              <w:t xml:space="preserve">Usar valores sintéticos en la prueba, revisar y purgar el historial, y extender el escáner a</w:t>
            </w:r>
            <w:r>
              <w:t xml:space="preserve"> </w:t>
            </w:r>
            <w:r>
              <w:rPr>
                <w:rStyle w:val="VerbatimChar"/>
              </w:rPr>
              <w:t xml:space="preserve">tests/</w:t>
            </w:r>
            <w:r>
              <w:t xml:space="preserve">,</w:t>
            </w:r>
            <w:r>
              <w:t xml:space="preserve"> </w:t>
            </w:r>
            <w:r>
              <w:rPr>
                <w:rStyle w:val="VerbatimChar"/>
              </w:rPr>
              <w:t xml:space="preserve">docs/</w:t>
            </w:r>
            <w:r>
              <w:t xml:space="preserve"> </w:t>
            </w:r>
            <w:r>
              <w:t xml:space="preserve">y a reconstrucciones entre tablas.</w:t>
            </w:r>
          </w:p>
        </w:tc>
      </w:tr>
      <w:tr>
        <w:tc>
          <w:tcPr/>
          <w:p>
            <w:pPr>
              <w:pStyle w:val="Compact"/>
              <w:jc w:val="left"/>
            </w:pPr>
            <w:r>
              <w:t xml:space="preserve">H-10</w:t>
            </w:r>
          </w:p>
        </w:tc>
        <w:tc>
          <w:tcPr/>
          <w:p>
            <w:pPr>
              <w:pStyle w:val="Compact"/>
              <w:jc w:val="left"/>
            </w:pPr>
            <w:r>
              <w:t xml:space="preserve">F4</w:t>
            </w:r>
          </w:p>
        </w:tc>
        <w:tc>
          <w:tcPr/>
          <w:p>
            <w:pPr>
              <w:pStyle w:val="Compact"/>
              <w:jc w:val="left"/>
            </w:pPr>
            <w:r>
              <w:rPr>
                <w:bCs/>
                <w:b/>
              </w:rPr>
              <w:t xml:space="preserve">La prueba de integridad (R2) tiene poco poder.</w:t>
            </w:r>
            <w:r>
              <w:t xml:space="preserve"> </w:t>
            </w:r>
            <w:r>
              <w:t xml:space="preserve">Mide exactitud top-1 entre 65 clases. Sin las variables condicionales, el clasificador (3,9 %) queda</w:t>
            </w:r>
            <w:r>
              <w:t xml:space="preserve"> </w:t>
            </w:r>
            <w:r>
              <w:rPr>
                <w:bCs/>
                <w:b/>
              </w:rPr>
              <w:t xml:space="preserve">bajo</w:t>
            </w:r>
            <w:r>
              <w:t xml:space="preserve"> </w:t>
            </w:r>
            <w:r>
              <w:t xml:space="preserve">la clase mayoritaria (4,5 %); con ellas llega a 8,2 % (casi el doble). El umbral de 5 puntos es arbitrario.</w:t>
            </w:r>
            <w:r>
              <w:t xml:space="preserve"> </w:t>
            </w:r>
            <w:r>
              <w:rPr>
                <w:rStyle w:val="VerbatimChar"/>
              </w:rPr>
              <w:t xml:space="preserve">NIVEL_CUIDADO_INGRESO</w:t>
            </w:r>
            <w:r>
              <w:t xml:space="preserve"> </w:t>
            </w:r>
            <w:r>
              <w:t xml:space="preserve">depende de las camas UCI disponibles, es decir, de la capacidad del hospital.</w:t>
            </w:r>
          </w:p>
        </w:tc>
        <w:tc>
          <w:tcPr/>
          <w:p>
            <w:pPr>
              <w:pStyle w:val="Compact"/>
              <w:jc w:val="left"/>
            </w:pPr>
            <w:r>
              <w:t xml:space="preserve">M</w:t>
            </w:r>
          </w:p>
        </w:tc>
        <w:tc>
          <w:tcPr/>
          <w:p>
            <w:pPr>
              <w:pStyle w:val="Compact"/>
              <w:jc w:val="left"/>
            </w:pPr>
            <w:r>
              <w:rPr>
                <w:rStyle w:val="VerbatimChar"/>
              </w:rPr>
              <w:t xml:space="preserve">integridad_identificacion_hospital.csv</w:t>
            </w:r>
            <w:r>
              <w:t xml:space="preserve">;</w:t>
            </w:r>
            <w:r>
              <w:t xml:space="preserve"> </w:t>
            </w:r>
            <w:r>
              <w:rPr>
                <w:rStyle w:val="VerbatimChar"/>
              </w:rPr>
              <w:t xml:space="preserve">modelado/integridad.py</w:t>
            </w:r>
            <w:r>
              <w:t xml:space="preserve"> </w:t>
            </w:r>
            <w:r>
              <w:t xml:space="preserve">l. 30–31;</w:t>
            </w:r>
            <w:r>
              <w:t xml:space="preserve"> </w:t>
            </w:r>
            <w:r>
              <w:rPr>
                <w:rStyle w:val="VerbatimChar"/>
              </w:rPr>
              <w:t xml:space="preserve">prep/definiciones.py</w:t>
            </w:r>
            <w:r>
              <w:t xml:space="preserve"> </w:t>
            </w:r>
            <w:r>
              <w:t xml:space="preserve">l. 97</w:t>
            </w:r>
          </w:p>
        </w:tc>
        <w:tc>
          <w:tcPr/>
          <w:p>
            <w:pPr>
              <w:pStyle w:val="Compact"/>
              <w:jc w:val="left"/>
            </w:pPr>
            <w:r>
              <w:t xml:space="preserve">No demuestra que las variables condicionales no absorban diferencias de desempeño.</w:t>
            </w:r>
          </w:p>
        </w:tc>
        <w:tc>
          <w:tcPr/>
          <w:p>
            <w:pPr>
              <w:pStyle w:val="Compact"/>
              <w:jc w:val="left"/>
            </w:pPr>
            <w:r>
              <w:t xml:space="preserve">Medir el efecto directo en el indicador: zona de cada hospital con y sin las 4 condicionales.</w:t>
            </w:r>
          </w:p>
        </w:tc>
      </w:tr>
      <w:tr>
        <w:tc>
          <w:tcPr/>
          <w:p>
            <w:pPr>
              <w:pStyle w:val="Compact"/>
              <w:jc w:val="left"/>
            </w:pPr>
            <w:r>
              <w:t xml:space="preserve">H-11</w:t>
            </w:r>
          </w:p>
        </w:tc>
        <w:tc>
          <w:tcPr/>
          <w:p>
            <w:pPr>
              <w:pStyle w:val="Compact"/>
              <w:jc w:val="left"/>
            </w:pPr>
            <w:r>
              <w:t xml:space="preserve">F5</w:t>
            </w:r>
          </w:p>
        </w:tc>
        <w:tc>
          <w:tcPr/>
          <w:p>
            <w:pPr>
              <w:pStyle w:val="Compact"/>
              <w:jc w:val="left"/>
            </w:pPr>
            <w:r>
              <w:rPr>
                <w:bCs/>
                <w:b/>
              </w:rPr>
              <w:t xml:space="preserve">La conclusión está sobreafirmada.</w:t>
            </w:r>
            <w:r>
              <w:t xml:space="preserve"> </w:t>
            </w:r>
            <w:r>
              <w:t xml:space="preserve">Dice «7 de 7 criterios cumplidos» y «sí funcionan», pero el O/E de estadía tiene un IC de 0,929 a 0,984, que</w:t>
            </w:r>
            <w:r>
              <w:t xml:space="preserve"> </w:t>
            </w:r>
            <w:r>
              <w:rPr>
                <w:bCs/>
                <w:b/>
              </w:rPr>
              <w:t xml:space="preserve">excluye 1</w:t>
            </w:r>
            <w:r>
              <w:t xml:space="preserve"> </w:t>
            </w:r>
            <w:r>
              <w:t xml:space="preserve">(sobreestimación sistemática de 4 %) y deja el 38 % del intervalo bajo 0,95. En pacientes de 90 años o más, el O/E de estadía es 0,90.</w:t>
            </w:r>
          </w:p>
        </w:tc>
        <w:tc>
          <w:tcPr/>
          <w:p>
            <w:pPr>
              <w:pStyle w:val="Compact"/>
              <w:jc w:val="left"/>
            </w:pPr>
            <w:r>
              <w:t xml:space="preserve">M</w:t>
            </w:r>
          </w:p>
        </w:tc>
        <w:tc>
          <w:tcPr/>
          <w:p>
            <w:pPr>
              <w:pStyle w:val="Compact"/>
              <w:jc w:val="left"/>
            </w:pPr>
            <w:r>
              <w:rPr>
                <w:rStyle w:val="VerbatimChar"/>
              </w:rPr>
              <w:t xml:space="preserve">criterios_estadia.csv</w:t>
            </w:r>
            <w:r>
              <w:t xml:space="preserve">;</w:t>
            </w:r>
            <w:r>
              <w:t xml:space="preserve"> </w:t>
            </w:r>
            <w:r>
              <w:rPr>
                <w:rStyle w:val="VerbatimChar"/>
              </w:rPr>
              <w:t xml:space="preserve">subgrupos_estadia.csv</w:t>
            </w:r>
          </w:p>
        </w:tc>
        <w:tc>
          <w:tcPr/>
          <w:p>
            <w:pPr>
              <w:pStyle w:val="Compact"/>
              <w:jc w:val="left"/>
            </w:pPr>
            <w:r>
              <w:t xml:space="preserve">La lectura del lector queda más optimista que la evidencia.</w:t>
            </w:r>
          </w:p>
        </w:tc>
        <w:tc>
          <w:tcPr/>
          <w:p>
            <w:pPr>
              <w:pStyle w:val="Compact"/>
              <w:jc w:val="left"/>
            </w:pPr>
            <w:r>
              <w:t xml:space="preserve">Reformular: «5 cumplen; 2 en el límite; la estadía tiene un sesgo global significativo». Proponer re-basado anual en el despliegue.</w:t>
            </w:r>
          </w:p>
        </w:tc>
      </w:tr>
      <w:tr>
        <w:tc>
          <w:tcPr/>
          <w:p>
            <w:pPr>
              <w:pStyle w:val="Compact"/>
              <w:jc w:val="left"/>
            </w:pPr>
            <w:r>
              <w:t xml:space="preserve">H-12</w:t>
            </w:r>
          </w:p>
        </w:tc>
        <w:tc>
          <w:tcPr/>
          <w:p>
            <w:pPr>
              <w:pStyle w:val="Compact"/>
              <w:jc w:val="left"/>
            </w:pPr>
            <w:r>
              <w:t xml:space="preserve">F2–F5</w:t>
            </w:r>
          </w:p>
        </w:tc>
        <w:tc>
          <w:tcPr/>
          <w:p>
            <w:pPr>
              <w:pStyle w:val="Compact"/>
              <w:jc w:val="left"/>
            </w:pPr>
            <w:r>
              <w:rPr>
                <w:bCs/>
                <w:b/>
              </w:rPr>
              <w:t xml:space="preserve">Exposiciones de 2024 antes de la apertura que no figuran como incidentes.</w:t>
            </w:r>
            <w:r>
              <w:t xml:space="preserve"> </w:t>
            </w:r>
            <w:r>
              <w:t xml:space="preserve">Una versión anterior de la F2 informó la mortalidad 2024 (2,46 %). La F2 usó 2024 para la prevalencia de Elixhauser y la deriva de codificación (+41,8 %). Solo se declaró la lectura directa del esquema.</w:t>
            </w:r>
          </w:p>
        </w:tc>
        <w:tc>
          <w:tcPr/>
          <w:p>
            <w:pPr>
              <w:pStyle w:val="Compact"/>
              <w:jc w:val="left"/>
            </w:pPr>
            <w:r>
              <w:t xml:space="preserve">M</w:t>
            </w:r>
          </w:p>
        </w:tc>
        <w:tc>
          <w:tcPr/>
          <w:p>
            <w:pPr>
              <w:pStyle w:val="Compact"/>
              <w:jc w:val="left"/>
            </w:pPr>
            <w:r>
              <w:t xml:space="preserve">F2 v4 §4.2 y §13.2;</w:t>
            </w:r>
            <w:r>
              <w:t xml:space="preserve"> </w:t>
            </w:r>
            <w:r>
              <w:rPr>
                <w:rStyle w:val="VerbatimChar"/>
              </w:rPr>
              <w:t xml:space="preserve">documentos/INCIDENTES.md</w:t>
            </w:r>
          </w:p>
        </w:tc>
        <w:tc>
          <w:tcPr/>
          <w:p>
            <w:pPr>
              <w:pStyle w:val="Compact"/>
              <w:jc w:val="left"/>
            </w:pPr>
            <w:r>
              <w:t xml:space="preserve">No hay evidencia de que cambiaran la selección del modelo (criterios y pipeline son anteriores), pero decir que 2024 «nunca se vio» es inexacto.</w:t>
            </w:r>
          </w:p>
        </w:tc>
        <w:tc>
          <w:tcPr/>
          <w:p>
            <w:pPr>
              <w:pStyle w:val="Compact"/>
              <w:jc w:val="left"/>
            </w:pPr>
            <w:r>
              <w:t xml:space="preserve">Listar todas las exposiciones en</w:t>
            </w:r>
            <w:r>
              <w:t xml:space="preserve"> </w:t>
            </w:r>
            <w:r>
              <w:rPr>
                <w:rStyle w:val="VerbatimChar"/>
              </w:rPr>
              <w:t xml:space="preserve">INCIDENTES.md</w:t>
            </w:r>
            <w:r>
              <w:t xml:space="preserve">, con su evaluación de impacto.</w:t>
            </w:r>
          </w:p>
        </w:tc>
      </w:tr>
      <w:tr>
        <w:tc>
          <w:tcPr/>
          <w:p>
            <w:pPr>
              <w:pStyle w:val="Compact"/>
              <w:jc w:val="left"/>
            </w:pPr>
            <w:r>
              <w:t xml:space="preserve">H-13</w:t>
            </w:r>
          </w:p>
        </w:tc>
        <w:tc>
          <w:tcPr/>
          <w:p>
            <w:pPr>
              <w:pStyle w:val="Compact"/>
              <w:jc w:val="left"/>
            </w:pPr>
            <w:r>
              <w:t xml:space="preserve">F5</w:t>
            </w:r>
          </w:p>
        </w:tc>
        <w:tc>
          <w:tcPr/>
          <w:p>
            <w:pPr>
              <w:pStyle w:val="Compact"/>
              <w:jc w:val="left"/>
            </w:pPr>
            <w:r>
              <w:rPr>
                <w:bCs/>
                <w:b/>
              </w:rPr>
              <w:t xml:space="preserve">El código de evaluación quedó fuera del pre-registro y se modificó después de abrir.</w:t>
            </w:r>
            <w:r>
              <w:t xml:space="preserve"> </w:t>
            </w:r>
            <w:r>
              <w:t xml:space="preserve">La huella cubre</w:t>
            </w:r>
            <w:r>
              <w:t xml:space="preserve"> </w:t>
            </w:r>
            <w:r>
              <w:rPr>
                <w:rStyle w:val="VerbatimChar"/>
              </w:rPr>
              <w:t xml:space="preserve">protocolo_fase5.toml</w:t>
            </w:r>
            <w:r>
              <w:t xml:space="preserve">, no</w:t>
            </w:r>
            <w:r>
              <w:t xml:space="preserve"> </w:t>
            </w:r>
            <w:r>
              <w:rPr>
                <w:rStyle w:val="VerbatimChar"/>
              </w:rPr>
              <w:t xml:space="preserve">evaluacion/*.py</w:t>
            </w:r>
            <w:r>
              <w:t xml:space="preserve">. El informe de cierre dice que G8 corrió 15 pruebas; la tabla final dice 18. La corrección de privacidad no figura en el informe.</w:t>
            </w:r>
          </w:p>
        </w:tc>
        <w:tc>
          <w:tcPr/>
          <w:p>
            <w:pPr>
              <w:pStyle w:val="Compact"/>
              <w:jc w:val="left"/>
            </w:pPr>
            <w:r>
              <w:t xml:space="preserve">M</w:t>
            </w:r>
          </w:p>
        </w:tc>
        <w:tc>
          <w:tcPr/>
          <w:p>
            <w:pPr>
              <w:pStyle w:val="Compact"/>
              <w:jc w:val="left"/>
            </w:pPr>
            <w:r>
              <w:rPr>
                <w:rStyle w:val="VerbatimChar"/>
              </w:rPr>
              <w:t xml:space="preserve">tabla_verificacion_cierre_fase5.csv</w:t>
            </w:r>
            <w:r>
              <w:t xml:space="preserve"> </w:t>
            </w:r>
            <w:r>
              <w:t xml:space="preserve">frente a Informe F5 §8; Informe F5 §9 ítem 3</w:t>
            </w:r>
          </w:p>
        </w:tc>
        <w:tc>
          <w:tcPr/>
          <w:p>
            <w:pPr>
              <w:pStyle w:val="Compact"/>
              <w:jc w:val="left"/>
            </w:pPr>
            <w:r>
              <w:t xml:space="preserve">Riesgo bajo en las cifras (los cambios son de reporte), pero rompe la cadena de custodia.</w:t>
            </w:r>
          </w:p>
        </w:tc>
        <w:tc>
          <w:tcPr/>
          <w:p>
            <w:pPr>
              <w:pStyle w:val="Compact"/>
              <w:jc w:val="left"/>
            </w:pPr>
            <w:r>
              <w:t xml:space="preserve">Incluir la huella del código en el pre-registro y agregar un anexo con el diff de los cambios posteriores a la apertura.</w:t>
            </w:r>
          </w:p>
        </w:tc>
      </w:tr>
      <w:tr>
        <w:tc>
          <w:tcPr/>
          <w:p>
            <w:pPr>
              <w:pStyle w:val="Compact"/>
              <w:jc w:val="left"/>
            </w:pPr>
            <w:r>
              <w:t xml:space="preserve">H-14</w:t>
            </w:r>
          </w:p>
        </w:tc>
        <w:tc>
          <w:tcPr/>
          <w:p>
            <w:pPr>
              <w:pStyle w:val="Compact"/>
              <w:jc w:val="left"/>
            </w:pPr>
            <w:r>
              <w:t xml:space="preserve">F4</w:t>
            </w:r>
          </w:p>
        </w:tc>
        <w:tc>
          <w:tcPr/>
          <w:p>
            <w:pPr>
              <w:pStyle w:val="Compact"/>
              <w:jc w:val="left"/>
            </w:pPr>
            <w:r>
              <w:rPr>
                <w:bCs/>
                <w:b/>
              </w:rPr>
              <w:t xml:space="preserve">Optimismo leve en la selección.</w:t>
            </w:r>
            <w:r>
              <w:t xml:space="preserve"> </w:t>
            </w:r>
            <w:r>
              <w:t xml:space="preserve">La detención temprana usa el mismo pliegue con que se puntúa.</w:t>
            </w:r>
          </w:p>
        </w:tc>
        <w:tc>
          <w:tcPr/>
          <w:p>
            <w:pPr>
              <w:pStyle w:val="Compact"/>
              <w:jc w:val="left"/>
            </w:pPr>
            <w:r>
              <w:t xml:space="preserve">B</w:t>
            </w:r>
          </w:p>
        </w:tc>
        <w:tc>
          <w:tcPr/>
          <w:p>
            <w:pPr>
              <w:pStyle w:val="Compact"/>
              <w:jc w:val="left"/>
            </w:pPr>
            <w:r>
              <w:rPr>
                <w:rStyle w:val="VerbatimChar"/>
              </w:rPr>
              <w:t xml:space="preserve">modelado/tuning.py</w:t>
            </w:r>
            <w:r>
              <w:t xml:space="preserve"> </w:t>
            </w:r>
            <w:r>
              <w:t xml:space="preserve">l. 51–54;</w:t>
            </w:r>
            <w:r>
              <w:t xml:space="preserve"> </w:t>
            </w:r>
            <w:r>
              <w:rPr>
                <w:rStyle w:val="VerbatimChar"/>
              </w:rPr>
              <w:t xml:space="preserve">candidatos.py</w:t>
            </w:r>
            <w:r>
              <w:t xml:space="preserve"> </w:t>
            </w:r>
            <w:r>
              <w:t xml:space="preserve">l. 101</w:t>
            </w:r>
          </w:p>
        </w:tc>
        <w:tc>
          <w:tcPr/>
          <w:p>
            <w:pPr>
              <w:pStyle w:val="Compact"/>
              <w:jc w:val="left"/>
            </w:pPr>
            <w:r>
              <w:t xml:space="preserve">Favorece un poco a los GBM frente a la logística en la regla de parsimonia; 2023 y 2024 confirman la diferencia (+0,033).</w:t>
            </w:r>
          </w:p>
        </w:tc>
        <w:tc>
          <w:tcPr/>
          <w:p>
            <w:pPr>
              <w:pStyle w:val="Compact"/>
              <w:jc w:val="left"/>
            </w:pPr>
            <w:r>
              <w:t xml:space="preserve">Declararlo o detener con un tramo interno separado.</w:t>
            </w:r>
          </w:p>
        </w:tc>
      </w:tr>
      <w:tr>
        <w:tc>
          <w:tcPr/>
          <w:p>
            <w:pPr>
              <w:pStyle w:val="Compact"/>
              <w:jc w:val="left"/>
            </w:pPr>
            <w:r>
              <w:t xml:space="preserve">H-15</w:t>
            </w:r>
          </w:p>
        </w:tc>
        <w:tc>
          <w:tcPr/>
          <w:p>
            <w:pPr>
              <w:pStyle w:val="Compact"/>
              <w:jc w:val="left"/>
            </w:pPr>
            <w:r>
              <w:t xml:space="preserve">F3/F4</w:t>
            </w:r>
          </w:p>
        </w:tc>
        <w:tc>
          <w:tcPr/>
          <w:p>
            <w:pPr>
              <w:pStyle w:val="Compact"/>
              <w:jc w:val="left"/>
            </w:pPr>
            <w:r>
              <w:rPr>
                <w:bCs/>
                <w:b/>
              </w:rPr>
              <w:t xml:space="preserve">El diagnóstico principal es un vector de juego.</w:t>
            </w:r>
            <w:r>
              <w:t xml:space="preserve"> </w:t>
            </w:r>
            <w:r>
              <w:t xml:space="preserve">Z51 (incluye Z51.5, cuidados paliativos) es una categoría con 39.320 egresos de entrenamiento. I46, R57 y J96 describen estados agudos cercanos al desenlace.</w:t>
            </w:r>
          </w:p>
        </w:tc>
        <w:tc>
          <w:tcPr/>
          <w:p>
            <w:pPr>
              <w:pStyle w:val="Compact"/>
              <w:jc w:val="left"/>
            </w:pPr>
            <w:r>
              <w:t xml:space="preserve">M</w:t>
            </w:r>
          </w:p>
        </w:tc>
        <w:tc>
          <w:tcPr/>
          <w:p>
            <w:pPr>
              <w:pStyle w:val="Compact"/>
              <w:jc w:val="left"/>
            </w:pPr>
            <w:r>
              <w:rPr>
                <w:rStyle w:val="VerbatimChar"/>
              </w:rPr>
              <w:t xml:space="preserve">oro_vocabularios.csv</w:t>
            </w:r>
          </w:p>
        </w:tc>
        <w:tc>
          <w:tcPr/>
          <w:p>
            <w:pPr>
              <w:pStyle w:val="Compact"/>
              <w:jc w:val="left"/>
            </w:pPr>
            <w:r>
              <w:t xml:space="preserve">Codificar «paliativo» como principal sube el esperado y baja el O/E, como ocurrió con el HSMR en el Reino Unido.</w:t>
            </w:r>
          </w:p>
        </w:tc>
        <w:tc>
          <w:tcPr/>
          <w:p>
            <w:pPr>
              <w:pStyle w:val="Compact"/>
              <w:jc w:val="left"/>
            </w:pPr>
            <w:r>
              <w:t xml:space="preserve">Mostrar la tasa de Z51.5 por hospital junto al O/E y hacer una sensibilidad sin episodios paliativos.</w:t>
            </w:r>
          </w:p>
        </w:tc>
      </w:tr>
      <w:tr>
        <w:tc>
          <w:tcPr/>
          <w:p>
            <w:pPr>
              <w:pStyle w:val="Compact"/>
              <w:jc w:val="left"/>
            </w:pPr>
            <w:r>
              <w:t xml:space="preserve">H-16</w:t>
            </w:r>
          </w:p>
        </w:tc>
        <w:tc>
          <w:tcPr/>
          <w:p>
            <w:pPr>
              <w:pStyle w:val="Compact"/>
              <w:jc w:val="left"/>
            </w:pPr>
            <w:r>
              <w:t xml:space="preserve">F3</w:t>
            </w:r>
          </w:p>
        </w:tc>
        <w:tc>
          <w:tcPr/>
          <w:p>
            <w:pPr>
              <w:pStyle w:val="Compact"/>
              <w:jc w:val="left"/>
            </w:pPr>
            <w:r>
              <w:rPr>
                <w:bCs/>
                <w:b/>
              </w:rPr>
              <w:t xml:space="preserve">El sello de 2024 es procedimental, no técnico.</w:t>
            </w:r>
            <w:r>
              <w:t xml:space="preserve"> </w:t>
            </w:r>
            <w:r>
              <w:t xml:space="preserve">La frase de autorización está escrita en el código y una lectura directa del parquet no deja rastro (el incidente lo demostró).</w:t>
            </w:r>
          </w:p>
        </w:tc>
        <w:tc>
          <w:tcPr/>
          <w:p>
            <w:pPr>
              <w:pStyle w:val="Compact"/>
              <w:jc w:val="left"/>
            </w:pPr>
            <w:r>
              <w:t xml:space="preserve">B</w:t>
            </w:r>
          </w:p>
        </w:tc>
        <w:tc>
          <w:tcPr/>
          <w:p>
            <w:pPr>
              <w:pStyle w:val="Compact"/>
              <w:jc w:val="left"/>
            </w:pPr>
            <w:r>
              <w:rPr>
                <w:rStyle w:val="VerbatimChar"/>
              </w:rPr>
              <w:t xml:space="preserve">prep/sellado.py</w:t>
            </w:r>
            <w:r>
              <w:t xml:space="preserve"> </w:t>
            </w:r>
            <w:r>
              <w:t xml:space="preserve">l. 17–18</w:t>
            </w:r>
          </w:p>
        </w:tc>
        <w:tc>
          <w:tcPr/>
          <w:p>
            <w:pPr>
              <w:pStyle w:val="Compact"/>
              <w:jc w:val="left"/>
            </w:pPr>
            <w:r>
              <w:t xml:space="preserve">Las puertas P3, P5 y G2 verifican el registro, no el acceso real.</w:t>
            </w:r>
          </w:p>
        </w:tc>
        <w:tc>
          <w:tcPr/>
          <w:p>
            <w:pPr>
              <w:pStyle w:val="Compact"/>
              <w:jc w:val="left"/>
            </w:pPr>
            <w:r>
              <w:t xml:space="preserve">Cifrar el archivo con una clave en poder del profesor guía o depositar su hash en un tercero.</w:t>
            </w:r>
          </w:p>
        </w:tc>
      </w:tr>
      <w:tr>
        <w:tc>
          <w:tcPr/>
          <w:p>
            <w:pPr>
              <w:pStyle w:val="Compact"/>
              <w:jc w:val="left"/>
            </w:pPr>
            <w:r>
              <w:t xml:space="preserve">H-17</w:t>
            </w:r>
          </w:p>
        </w:tc>
        <w:tc>
          <w:tcPr/>
          <w:p>
            <w:pPr>
              <w:pStyle w:val="Compact"/>
              <w:jc w:val="left"/>
            </w:pPr>
            <w:r>
              <w:t xml:space="preserve">Ingeniería</w:t>
            </w:r>
          </w:p>
        </w:tc>
        <w:tc>
          <w:tcPr/>
          <w:p>
            <w:pPr>
              <w:pStyle w:val="Compact"/>
              <w:jc w:val="left"/>
            </w:pPr>
            <w:r>
              <w:rPr>
                <w:bCs/>
                <w:b/>
              </w:rPr>
              <w:t xml:space="preserve">Dependencias sin fijar.</w:t>
            </w:r>
            <w:r>
              <w:t xml:space="preserve"> </w:t>
            </w:r>
            <w:r>
              <w:rPr>
                <w:rStyle w:val="VerbatimChar"/>
              </w:rPr>
              <w:t xml:space="preserve">requirements.txt</w:t>
            </w:r>
            <w:r>
              <w:t xml:space="preserve"> </w:t>
            </w:r>
            <w:r>
              <w:t xml:space="preserve">usa «&gt;=» y no hay Docker, aunque el informe lo prometía.</w:t>
            </w:r>
          </w:p>
        </w:tc>
        <w:tc>
          <w:tcPr/>
          <w:p>
            <w:pPr>
              <w:pStyle w:val="Compact"/>
              <w:jc w:val="left"/>
            </w:pPr>
            <w:r>
              <w:t xml:space="preserve">B</w:t>
            </w:r>
          </w:p>
        </w:tc>
        <w:tc>
          <w:tcPr/>
          <w:p>
            <w:pPr>
              <w:pStyle w:val="Compact"/>
              <w:jc w:val="left"/>
            </w:pPr>
            <w:r>
              <w:rPr>
                <w:rStyle w:val="VerbatimChar"/>
              </w:rPr>
              <w:t xml:space="preserve">fase*/requirements.txt</w:t>
            </w:r>
          </w:p>
        </w:tc>
        <w:tc>
          <w:tcPr/>
          <w:p>
            <w:pPr>
              <w:pStyle w:val="Compact"/>
              <w:jc w:val="left"/>
            </w:pPr>
            <w:r>
              <w:t xml:space="preserve">Reproducibilidad a futuro.</w:t>
            </w:r>
          </w:p>
        </w:tc>
        <w:tc>
          <w:tcPr/>
          <w:p>
            <w:pPr>
              <w:pStyle w:val="Compact"/>
              <w:jc w:val="left"/>
            </w:pPr>
            <w:r>
              <w:t xml:space="preserve">Archivo de bloqueo (</w:t>
            </w:r>
            <w:r>
              <w:rPr>
                <w:rStyle w:val="VerbatimChar"/>
              </w:rPr>
              <w:t xml:space="preserve">pip freeze</w:t>
            </w:r>
            <w:r>
              <w:t xml:space="preserve"> </w:t>
            </w:r>
            <w:r>
              <w:t xml:space="preserve">o</w:t>
            </w:r>
            <w:r>
              <w:t xml:space="preserve"> </w:t>
            </w:r>
            <w:r>
              <w:rPr>
                <w:rStyle w:val="VerbatimChar"/>
              </w:rPr>
              <w:t xml:space="preserve">uv.lock</w:t>
            </w:r>
            <w:r>
              <w:t xml:space="preserve">) y una imagen.</w:t>
            </w:r>
          </w:p>
        </w:tc>
      </w:tr>
      <w:tr>
        <w:tc>
          <w:tcPr/>
          <w:p>
            <w:pPr>
              <w:pStyle w:val="Compact"/>
              <w:jc w:val="left"/>
            </w:pPr>
            <w:r>
              <w:t xml:space="preserve">H-18</w:t>
            </w:r>
          </w:p>
        </w:tc>
        <w:tc>
          <w:tcPr/>
          <w:p>
            <w:pPr>
              <w:pStyle w:val="Compact"/>
              <w:jc w:val="left"/>
            </w:pPr>
            <w:r>
              <w:t xml:space="preserve">F1/F6</w:t>
            </w:r>
          </w:p>
        </w:tc>
        <w:tc>
          <w:tcPr/>
          <w:p>
            <w:pPr>
              <w:pStyle w:val="Compact"/>
              <w:jc w:val="left"/>
            </w:pPr>
            <w:r>
              <w:rPr>
                <w:bCs/>
                <w:b/>
              </w:rPr>
              <w:t xml:space="preserve">Los códigos no anonimizan a los hospitales.</w:t>
            </w:r>
            <w:r>
              <w:t xml:space="preserve"> </w:t>
            </w:r>
            <w:r>
              <w:rPr>
                <w:rStyle w:val="VerbatimChar"/>
              </w:rPr>
              <w:t xml:space="preserve">Hospitales.csv</w:t>
            </w:r>
            <w:r>
              <w:t xml:space="preserve">, en el propio repositorio, los traduce a nombres, y los códigos DEIS son públicos. Además, F1 y F2 dicen que ese archivo trae el nivel de complejidad, pero solo tiene código y nombre.</w:t>
            </w:r>
          </w:p>
        </w:tc>
        <w:tc>
          <w:tcPr/>
          <w:p>
            <w:pPr>
              <w:pStyle w:val="Compact"/>
              <w:jc w:val="left"/>
            </w:pPr>
            <w:r>
              <w:t xml:space="preserve">B–M</w:t>
            </w:r>
          </w:p>
        </w:tc>
        <w:tc>
          <w:tcPr/>
          <w:p>
            <w:pPr>
              <w:pStyle w:val="Compact"/>
              <w:jc w:val="left"/>
            </w:pPr>
            <w:r>
              <w:rPr>
                <w:rStyle w:val="VerbatimChar"/>
              </w:rPr>
              <w:t xml:space="preserve">Hospitales.csv</w:t>
            </w:r>
            <w:r>
              <w:t xml:space="preserve">; F1 v4 §5.4</w:t>
            </w:r>
          </w:p>
        </w:tc>
        <w:tc>
          <w:tcPr/>
          <w:p>
            <w:pPr>
              <w:pStyle w:val="Compact"/>
              <w:jc w:val="left"/>
            </w:pPr>
            <w:r>
              <w:t xml:space="preserve">Da una falsa sensación de protección y no permite armar grupos de pares por complejidad.</w:t>
            </w:r>
          </w:p>
        </w:tc>
        <w:tc>
          <w:tcPr/>
          <w:p>
            <w:pPr>
              <w:pStyle w:val="Compact"/>
              <w:jc w:val="left"/>
            </w:pPr>
            <w:r>
              <w:t xml:space="preserve">No presentar los códigos como protección: la protección real es no rankear. Conseguir el nivel de complejidad DEIS.</w:t>
            </w:r>
          </w:p>
        </w:tc>
      </w:tr>
    </w:tbl>
    <w:p>
      <w:r>
        <w:pict>
          <v:rect style="width:0;height:1.5pt" o:hralign="center" o:hrstd="t" o:hr="t"/>
        </w:pict>
      </w:r>
    </w:p>
    <w:bookmarkEnd w:id="25"/>
    <w:bookmarkStart w:id="33" w:name="análisis-por-sección"/>
    <w:p>
      <w:pPr>
        <w:pStyle w:val="Heading2"/>
      </w:pPr>
      <w:r>
        <w:t xml:space="preserve">3. Análisis por sección</w:t>
      </w:r>
    </w:p>
    <w:bookmarkStart w:id="26" w:name="validez-del-planteamiento-fase-1"/>
    <w:p>
      <w:pPr>
        <w:pStyle w:val="Heading3"/>
      </w:pPr>
      <w:r>
        <w:t xml:space="preserve">3.1 Validez del planteamiento (Fase 1)</w:t>
      </w:r>
    </w:p>
    <w:p>
      <w:pPr>
        <w:pStyle w:val="FirstParagraph"/>
      </w:pPr>
      <w:r>
        <w:rPr>
          <w:bCs/>
          <w:b/>
        </w:rPr>
        <w:t xml:space="preserve">Fortalezas</w:t>
      </w:r>
    </w:p>
    <w:p>
      <w:pPr>
        <w:numPr>
          <w:ilvl w:val="0"/>
          <w:numId w:val="1003"/>
        </w:numPr>
        <w:pStyle w:val="Compact"/>
      </w:pPr>
      <w:r>
        <w:rPr>
          <w:bCs/>
          <w:b/>
        </w:rPr>
        <w:t xml:space="preserve">Pregunta y objetivo alcanzables con estos datos.</w:t>
      </w:r>
      <w:r>
        <w:t xml:space="preserve"> </w:t>
      </w:r>
      <w:r>
        <w:t xml:space="preserve">El O/E por estandarización indirecta es la elección estándar (HSMR, SHMI) y es defendible. F1 §11.4 declara qué</w:t>
      </w:r>
      <w:r>
        <w:t xml:space="preserve"> </w:t>
      </w:r>
      <w:r>
        <w:rPr>
          <w:bCs/>
          <w:b/>
        </w:rPr>
        <w:t xml:space="preserve">no</w:t>
      </w:r>
      <w:r>
        <w:t xml:space="preserve"> </w:t>
      </w:r>
      <w:r>
        <w:t xml:space="preserve">es el indicador.</w:t>
      </w:r>
    </w:p>
    <w:p>
      <w:pPr>
        <w:numPr>
          <w:ilvl w:val="0"/>
          <w:numId w:val="1003"/>
        </w:numPr>
        <w:pStyle w:val="Compact"/>
      </w:pPr>
      <w:r>
        <w:rPr>
          <w:bCs/>
          <w:b/>
        </w:rPr>
        <w:t xml:space="preserve">Criterios fijados antes de ver resultados.</w:t>
      </w:r>
      <w:r>
        <w:t xml:space="preserve"> </w:t>
      </w:r>
      <w:r>
        <w:t xml:space="preserve">El informe de seminario de agosto de 2026 ya fijaba BSS &gt; 0, pendiente 0,8–1,2, O/E 0,95–1,05 y PR AUC mayor que la logística. La regla de veredicto con IC quedó en el protocolo con huella</w:t>
      </w:r>
      <w:r>
        <w:t xml:space="preserve"> </w:t>
      </w:r>
      <w:r>
        <w:rPr>
          <w:rStyle w:val="VerbatimChar"/>
        </w:rPr>
        <w:t xml:space="preserve">5624bdae…</w:t>
      </w:r>
      <w:r>
        <w:t xml:space="preserve">, registrado a las</w:t>
      </w:r>
      <w:r>
        <w:t xml:space="preserve"> </w:t>
      </w:r>
      <w:r>
        <w:rPr>
          <w:bCs/>
          <w:b/>
        </w:rPr>
        <w:t xml:space="preserve">12:16:38 UTC</w:t>
      </w:r>
      <w:r>
        <w:t xml:space="preserve"> </w:t>
      </w:r>
      <w:r>
        <w:t xml:space="preserve">del 19 de octubre. La única lectura concedida de 2024 fue a las</w:t>
      </w:r>
      <w:r>
        <w:t xml:space="preserve"> </w:t>
      </w:r>
      <w:r>
        <w:rPr>
          <w:bCs/>
          <w:b/>
        </w:rPr>
        <w:t xml:space="preserve">13:04:55 UTC</w:t>
      </w:r>
      <w:r>
        <w:t xml:space="preserve"> </w:t>
      </w:r>
      <w:r>
        <w:t xml:space="preserve">(</w:t>
      </w:r>
      <w:r>
        <w:rPr>
          <w:rStyle w:val="VerbatimChar"/>
        </w:rPr>
        <w:t xml:space="preserve">registro_accesos.csv</w:t>
      </w:r>
      <w:r>
        <w:t xml:space="preserve">), y la puerta G3 comprueba ese orden.</w:t>
      </w:r>
    </w:p>
    <w:p>
      <w:pPr>
        <w:numPr>
          <w:ilvl w:val="0"/>
          <w:numId w:val="1003"/>
        </w:numPr>
        <w:pStyle w:val="Compact"/>
      </w:pPr>
      <w:r>
        <w:rPr>
          <w:bCs/>
          <w:b/>
        </w:rPr>
        <w:t xml:space="preserve">Riesgos éticos bien cubiertos</w:t>
      </w:r>
      <w:r>
        <w:t xml:space="preserve">: upcoding, selección de pacientes, alta anticipada y una demo ciudadana sin comparación entre hospitales.</w:t>
      </w:r>
    </w:p>
    <w:p>
      <w:pPr>
        <w:pStyle w:val="FirstParagraph"/>
      </w:pPr>
      <w:r>
        <w:rPr>
          <w:bCs/>
          <w:b/>
        </w:rPr>
        <w:t xml:space="preserve">Debilidades</w:t>
      </w:r>
    </w:p>
    <w:p>
      <w:pPr>
        <w:numPr>
          <w:ilvl w:val="0"/>
          <w:numId w:val="1004"/>
        </w:numPr>
        <w:pStyle w:val="Compact"/>
      </w:pPr>
      <w:r>
        <w:rPr>
          <w:bCs/>
          <w:b/>
        </w:rPr>
        <w:t xml:space="preserve">Criterios laxos para el propósito.</w:t>
      </w:r>
      <w:r>
        <w:t xml:space="preserve"> </w:t>
      </w:r>
      <w:r>
        <w:t xml:space="preserve">Con unos 600 mil egresos, BSS &gt; 0 y una pendiente entre 0,8 y 1,2 los cumple casi cualquier modelo razonable. Ningún criterio evalúa la</w:t>
      </w:r>
      <w:r>
        <w:t xml:space="preserve"> </w:t>
      </w:r>
      <w:r>
        <w:rPr>
          <w:bCs/>
          <w:b/>
        </w:rPr>
        <w:t xml:space="preserve">calibración por tipo de hospital</w:t>
      </w:r>
      <w:r>
        <w:t xml:space="preserve">, que es lo que decide si el O/E es justo. Los datos ya existen en los subgrupos por tamaño: mortalidad 0,96 / 1,01 / 0,96 y estadía 0,97 / 0,97 / 0,93.</w:t>
      </w:r>
    </w:p>
    <w:p>
      <w:pPr>
        <w:numPr>
          <w:ilvl w:val="0"/>
          <w:numId w:val="1004"/>
        </w:numPr>
        <w:pStyle w:val="Compact"/>
      </w:pPr>
      <w:r>
        <w:rPr>
          <w:bCs/>
          <w:b/>
        </w:rPr>
        <w:t xml:space="preserve">El pre-registro se cerró solo 48 minutos antes de abrir</w:t>
      </w:r>
      <w:r>
        <w:t xml:space="preserve">, después del ensayo con 2023. Es válido porque los umbrales venían de agosto, pero la categoría «cumple con incertidumbre» la introdujo el protocolo, no la Fase 1.</w:t>
      </w:r>
    </w:p>
    <w:p>
      <w:pPr>
        <w:numPr>
          <w:ilvl w:val="0"/>
          <w:numId w:val="1004"/>
        </w:numPr>
        <w:pStyle w:val="Compact"/>
      </w:pPr>
      <w:r>
        <w:rPr>
          <w:bCs/>
          <w:b/>
        </w:rPr>
        <w:t xml:space="preserve">La población declarada no coincide con la real</w:t>
      </w:r>
      <w:r>
        <w:t xml:space="preserve"> </w:t>
      </w:r>
      <w:r>
        <w:t xml:space="preserve">(H-01).</w:t>
      </w:r>
    </w:p>
    <w:p>
      <w:pPr>
        <w:numPr>
          <w:ilvl w:val="0"/>
          <w:numId w:val="1004"/>
        </w:numPr>
        <w:pStyle w:val="Compact"/>
      </w:pPr>
      <w:r>
        <w:rPr>
          <w:bCs/>
          <w:b/>
        </w:rPr>
        <w:t xml:space="preserve">Marco legal.</w:t>
      </w:r>
      <w:r>
        <w:t xml:space="preserve"> </w:t>
      </w:r>
      <w:r>
        <w:t xml:space="preserve">La Ley 21.719 tenía vigencia prevista para el 1 de diciembre de 2026, y en septiembre de 2026 se tramitaba un proyecto para postergarla al 1 de diciembre de 2027 (hay que verificar en qué quedó). Se descartaron las cartas a FONASA y se «asumen condiciones académicas»: eso es un riesgo si en la Fase 6 se publica el O/E por hospital.</w:t>
      </w:r>
    </w:p>
    <w:p>
      <w:pPr>
        <w:numPr>
          <w:ilvl w:val="0"/>
          <w:numId w:val="1004"/>
        </w:numPr>
        <w:pStyle w:val="Compact"/>
      </w:pPr>
      <w:r>
        <w:rPr>
          <w:bCs/>
          <w:b/>
        </w:rPr>
        <w:t xml:space="preserve">La contraparte clínica sigue pendiente desde la decisión 12.</w:t>
      </w:r>
      <w:r>
        <w:t xml:space="preserve"> </w:t>
      </w:r>
      <w:r>
        <w:t xml:space="preserve">EX03, la agrupación de procedencia y el nivel de cuidado no tienen validación clínica.</w:t>
      </w:r>
    </w:p>
    <w:bookmarkEnd w:id="26"/>
    <w:bookmarkStart w:id="27" w:name="datos-y-reglas-fases-2-y-3"/>
    <w:p>
      <w:pPr>
        <w:pStyle w:val="Heading3"/>
      </w:pPr>
      <w:r>
        <w:t xml:space="preserve">3.2 Datos y reglas (Fases 2 y 3)</w:t>
      </w:r>
    </w:p>
    <w:p>
      <w:pPr>
        <w:pStyle w:val="FirstParagraph"/>
      </w:pPr>
      <w:r>
        <w:rPr>
          <w:bCs/>
          <w:b/>
        </w:rPr>
        <w:t xml:space="preserve">Fortalezas</w:t>
      </w:r>
    </w:p>
    <w:p>
      <w:pPr>
        <w:numPr>
          <w:ilvl w:val="0"/>
          <w:numId w:val="1005"/>
        </w:numPr>
        <w:pStyle w:val="Compact"/>
      </w:pPr>
      <w:r>
        <w:rPr>
          <w:bCs/>
          <w:b/>
        </w:rPr>
        <w:t xml:space="preserve">Conservación de filas.</w:t>
      </w:r>
      <w:r>
        <w:t xml:space="preserve"> </w:t>
      </w:r>
      <w:r>
        <w:t xml:space="preserve">Bronce = Plata = 5.808.535 egresos. La línea defectuosa de 2022 y los 3.818 duplicados exactos están documentados y no se eliminaron sin respaldo, una decisión prudente.</w:t>
      </w:r>
    </w:p>
    <w:p>
      <w:pPr>
        <w:numPr>
          <w:ilvl w:val="0"/>
          <w:numId w:val="1005"/>
        </w:numPr>
        <w:pStyle w:val="Compact"/>
      </w:pPr>
      <w:r>
        <w:rPr>
          <w:bCs/>
          <w:b/>
        </w:rPr>
        <w:t xml:space="preserve">Problemas de origen detectados</w:t>
      </w:r>
      <w:r>
        <w:t xml:space="preserve">: las fechas DD-MM-AAAA de 2023, la codificación UTF-16 y Latin-1, la coma decimal, el quiebre del identificador (0 % de traslape entre 2020 y 2021) y los valores con forma de RUT, descartados sin guardarlos.</w:t>
      </w:r>
    </w:p>
    <w:p>
      <w:pPr>
        <w:numPr>
          <w:ilvl w:val="0"/>
          <w:numId w:val="1005"/>
        </w:numPr>
        <w:pStyle w:val="Compact"/>
      </w:pPr>
      <w:r>
        <w:rPr>
          <w:bCs/>
          <w:b/>
        </w:rPr>
        <w:t xml:space="preserve">Deriva de codificación medida</w:t>
      </w:r>
      <w:r>
        <w:t xml:space="preserve"> </w:t>
      </w:r>
      <w:r>
        <w:t xml:space="preserve">(de 4,16 a 5,89 diagnósticos secundarios por egreso entre 2019 y 2024) y</w:t>
      </w:r>
      <w:r>
        <w:t xml:space="preserve"> </w:t>
      </w:r>
      <w:r>
        <w:rPr>
          <w:bCs/>
          <w:b/>
        </w:rPr>
        <w:t xml:space="preserve">modelada</w:t>
      </w:r>
      <w:r>
        <w:t xml:space="preserve"> </w:t>
      </w:r>
      <w:r>
        <w:t xml:space="preserve">con el índice de exhaustividad.</w:t>
      </w:r>
    </w:p>
    <w:p>
      <w:pPr>
        <w:numPr>
          <w:ilvl w:val="0"/>
          <w:numId w:val="1005"/>
        </w:numPr>
        <w:pStyle w:val="Compact"/>
      </w:pPr>
      <w:r>
        <w:rPr>
          <w:bCs/>
          <w:b/>
        </w:rPr>
        <w:t xml:space="preserve">Elixhauser.</w:t>
      </w:r>
      <w:r>
        <w:t xml:space="preserve"> </w:t>
      </w:r>
      <w:r>
        <w:t xml:space="preserve">Hay 398 patrones contrastados con dos fuentes. Verifiqué las categorías críticas contra Quan 2005 y coinciden: insuficiencia cardíaca; insuficiencia renal (N18, N19 y Z49 sin N17); hidroelectrolíticos (E22.2, E86, E87); coagulopatía (D65–D68, D69.1, D69.3–D69.6); pérdida de peso (E40–E46, R63.4, R64); circulación pulmonar (I26, I27, I28.0/8/9). Se aplican las jerarquías de HTA, diabetes y cáncer. El error de comparar 3 caracteres se detectó y corrigió en la F2: un buen ejemplo de verificación.</w:t>
      </w:r>
    </w:p>
    <w:p>
      <w:pPr>
        <w:numPr>
          <w:ilvl w:val="0"/>
          <w:numId w:val="1005"/>
        </w:numPr>
        <w:pStyle w:val="Compact"/>
      </w:pPr>
      <w:r>
        <w:rPr>
          <w:bCs/>
          <w:b/>
        </w:rPr>
        <w:t xml:space="preserve">R3 (excluir el diagnóstico principal del índice) está respaldada con datos</w:t>
      </w:r>
      <w:r>
        <w:t xml:space="preserve">: si se incluyera, el tumor sólido subiría 109 %.</w:t>
      </w:r>
    </w:p>
    <w:p>
      <w:pPr>
        <w:numPr>
          <w:ilvl w:val="0"/>
          <w:numId w:val="1005"/>
        </w:numPr>
        <w:pStyle w:val="Compact"/>
      </w:pPr>
      <w:r>
        <w:rPr>
          <w:bCs/>
          <w:b/>
        </w:rPr>
        <w:t xml:space="preserve">Reglas en TOML y CSV con fecha y justificación.</w:t>
      </w:r>
      <w:r>
        <w:t xml:space="preserve"> </w:t>
      </w:r>
      <w:r>
        <w:t xml:space="preserve">Los vocabularios y el tope se calculan solo con 2019–2022, y P7 lo comprueba.</w:t>
      </w:r>
    </w:p>
    <w:p>
      <w:pPr>
        <w:pStyle w:val="FirstParagraph"/>
      </w:pPr>
      <w:r>
        <w:rPr>
          <w:bCs/>
          <w:b/>
        </w:rPr>
        <w:t xml:space="preserve">Debilidades</w:t>
      </w:r>
    </w:p>
    <w:p>
      <w:pPr>
        <w:numPr>
          <w:ilvl w:val="0"/>
          <w:numId w:val="1006"/>
        </w:numPr>
        <w:pStyle w:val="Compact"/>
      </w:pPr>
      <w:r>
        <w:rPr>
          <w:bCs/>
          <w:b/>
        </w:rPr>
        <w:t xml:space="preserve">Lógica de exclusión por diagnóstico principal.</w:t>
      </w:r>
      <w:r>
        <w:t xml:space="preserve"> </w:t>
      </w:r>
      <w:r>
        <w:t xml:space="preserve">Se excluye el principal del índice, pero no se aplica el</w:t>
      </w:r>
      <w:r>
        <w:t xml:space="preserve"> </w:t>
      </w:r>
      <w:r>
        <w:rPr>
          <w:iCs/>
          <w:i/>
        </w:rPr>
        <w:t xml:space="preserve">DRG screen</w:t>
      </w:r>
      <w:r>
        <w:t xml:space="preserve"> </w:t>
      </w:r>
      <w:r>
        <w:t xml:space="preserve">del Elixhauser original (descartar comorbilidades relacionadas con el grupo de ingreso). Quan 2005 tampoco lo aplica: basta con declararlo.</w:t>
      </w:r>
    </w:p>
    <w:p>
      <w:pPr>
        <w:numPr>
          <w:ilvl w:val="0"/>
          <w:numId w:val="1006"/>
        </w:numPr>
        <w:pStyle w:val="Compact"/>
      </w:pPr>
      <w:r>
        <w:rPr>
          <w:bCs/>
          <w:b/>
        </w:rPr>
        <w:t xml:space="preserve">Paradoja del diagnóstico secundario confirmada.</w:t>
      </w:r>
      <w:r>
        <w:t xml:space="preserve"> </w:t>
      </w:r>
      <w:r>
        <w:t xml:space="preserve">La HTA no complicada tiene OR ajustada 0,89 y el hipotiroidismo 0,91 (</w:t>
      </w:r>
      <w:r>
        <w:rPr>
          <w:rStyle w:val="VerbatimChar"/>
        </w:rPr>
        <w:t xml:space="preserve">t23_or_elix.csv</w:t>
      </w:r>
      <w:r>
        <w:t xml:space="preserve">): en los fallecidos se registran menos crónicos. Hay que declararlo como limitación.</w:t>
      </w:r>
    </w:p>
    <w:p>
      <w:pPr>
        <w:numPr>
          <w:ilvl w:val="0"/>
          <w:numId w:val="1006"/>
        </w:numPr>
        <w:pStyle w:val="Compact"/>
      </w:pPr>
      <w:r>
        <w:rPr>
          <w:bCs/>
          <w:b/>
        </w:rPr>
        <w:t xml:space="preserve">Cohortes</w:t>
      </w:r>
      <w:r>
        <w:t xml:space="preserve">:</w:t>
      </w:r>
    </w:p>
    <w:p>
      <w:pPr>
        <w:numPr>
          <w:ilvl w:val="1"/>
          <w:numId w:val="1007"/>
        </w:numPr>
        <w:pStyle w:val="Compact"/>
      </w:pPr>
      <w:r>
        <w:t xml:space="preserve">EX03 está mal especificada (H-07).</w:t>
      </w:r>
    </w:p>
    <w:p>
      <w:pPr>
        <w:numPr>
          <w:ilvl w:val="1"/>
          <w:numId w:val="1007"/>
        </w:numPr>
        <w:pStyle w:val="Compact"/>
      </w:pPr>
      <w:r>
        <w:t xml:space="preserve">Alta voluntaria y fuga entran a la cohorte de estadía (H-08).</w:t>
      </w:r>
    </w:p>
    <w:p>
      <w:pPr>
        <w:numPr>
          <w:ilvl w:val="1"/>
          <w:numId w:val="1007"/>
        </w:numPr>
        <w:pStyle w:val="Compact"/>
      </w:pPr>
      <w:r>
        <w:t xml:space="preserve">La hospitalización domiciliaria (2,2 %) queda censurada, pero no se vigila por hospital. También es una vía de alta anticipada.</w:t>
      </w:r>
    </w:p>
    <w:p>
      <w:pPr>
        <w:numPr>
          <w:ilvl w:val="1"/>
          <w:numId w:val="1007"/>
        </w:numPr>
        <w:pStyle w:val="Compact"/>
      </w:pPr>
      <w:r>
        <w:t xml:space="preserve">Usar MDC o GRD para filtrar condiciona en información del alta. Es práctica habitual y de impacto bajo, pero hay que decirlo.</w:t>
      </w:r>
    </w:p>
    <w:p>
      <w:pPr>
        <w:numPr>
          <w:ilvl w:val="0"/>
          <w:numId w:val="1006"/>
        </w:numPr>
        <w:pStyle w:val="Compact"/>
      </w:pPr>
      <w:r>
        <w:rPr>
          <w:bCs/>
          <w:b/>
        </w:rPr>
        <w:t xml:space="preserve">Partición y apertura única.</w:t>
      </w:r>
      <w:r>
        <w:t xml:space="preserve"> </w:t>
      </w:r>
      <w:r>
        <w:t xml:space="preserve">El diseño es correcto: 2024 solo llega hasta la cohorte C en Oro, el desenlace está en un archivo aparte y la lectura queda registrada. Las vías de contaminación están en H-12, H-13 y H-16.</w:t>
      </w:r>
      <w:r>
        <w:t xml:space="preserve"> </w:t>
      </w:r>
      <w:r>
        <w:rPr>
          <w:bCs/>
          <w:b/>
        </w:rPr>
        <w:t xml:space="preserve">No encontré ninguna vía por la que el desenlace de 2024 influyera en la selección, la calibración ni los umbrales.</w:t>
      </w:r>
    </w:p>
    <w:p>
      <w:pPr>
        <w:numPr>
          <w:ilvl w:val="0"/>
          <w:numId w:val="1006"/>
        </w:numPr>
        <w:pStyle w:val="Compact"/>
      </w:pPr>
      <w:r>
        <w:rPr>
          <w:bCs/>
          <w:b/>
        </w:rPr>
        <w:t xml:space="preserve">Pandemia.</w:t>
      </w:r>
      <w:r>
        <w:t xml:space="preserve"> </w:t>
      </w:r>
      <w:r>
        <w:t xml:space="preserve">Mantener 2020–2021 y recalibrar con 2023 es razonable, pero falta la sensibilidad prometida, y el capítulo XXII en 2024 muestra lo que cuesta no tenerla (H-04).</w:t>
      </w:r>
    </w:p>
    <w:p>
      <w:pPr>
        <w:numPr>
          <w:ilvl w:val="0"/>
          <w:numId w:val="1006"/>
        </w:numPr>
        <w:pStyle w:val="Compact"/>
      </w:pPr>
      <w:r>
        <w:rPr>
          <w:bCs/>
          <w:b/>
        </w:rPr>
        <w:t xml:space="preserve">Trazabilidad.</w:t>
      </w:r>
      <w:r>
        <w:t xml:space="preserve"> </w:t>
      </w:r>
      <w:r>
        <w:t xml:space="preserve">Es excelente: 41 de 41 archivos idénticos en dos corridas (F3), 9 artefactos con huella (F4) y protocolo con huella (F5).</w:t>
      </w:r>
    </w:p>
    <w:bookmarkEnd w:id="27"/>
    <w:bookmarkStart w:id="28" w:name="modelado-fase-4"/>
    <w:p>
      <w:pPr>
        <w:pStyle w:val="Heading3"/>
      </w:pPr>
      <w:r>
        <w:t xml:space="preserve">3.3 Modelado (Fase 4)</w:t>
      </w:r>
    </w:p>
    <w:p>
      <w:pPr>
        <w:pStyle w:val="FirstParagraph"/>
      </w:pPr>
      <w:r>
        <w:rPr>
          <w:bCs/>
          <w:b/>
        </w:rPr>
        <w:t xml:space="preserve">Fortalezas</w:t>
      </w:r>
    </w:p>
    <w:p>
      <w:pPr>
        <w:numPr>
          <w:ilvl w:val="0"/>
          <w:numId w:val="1008"/>
        </w:numPr>
        <w:pStyle w:val="Compact"/>
      </w:pPr>
      <w:r>
        <w:rPr>
          <w:bCs/>
          <w:b/>
        </w:rPr>
        <w:t xml:space="preserve">Selección limpia.</w:t>
      </w:r>
      <w:r>
        <w:t xml:space="preserve"> </w:t>
      </w:r>
      <w:r>
        <w:t xml:space="preserve">Los pliegues avanzan en el tiempo y</w:t>
      </w:r>
      <w:r>
        <w:t xml:space="preserve"> </w:t>
      </w:r>
      <w:r>
        <w:rPr>
          <w:rStyle w:val="VerbatimChar"/>
        </w:rPr>
        <w:t xml:space="preserve">validacion.py</w:t>
      </w:r>
      <w:r>
        <w:t xml:space="preserve"> </w:t>
      </w:r>
      <w:r>
        <w:t xml:space="preserve">lo verifica en el código. LightGBM y XGBoost tienen el mismo presupuesto de Optuna (40 y 30 pruebas). La regla de parsimonia (+0,010 de PR AUC o 1 % de devianza) se escribió antes y se reaplicó en G5.</w:t>
      </w:r>
    </w:p>
    <w:p>
      <w:pPr>
        <w:numPr>
          <w:ilvl w:val="0"/>
          <w:numId w:val="1008"/>
        </w:numPr>
        <w:pStyle w:val="Compact"/>
      </w:pPr>
      <w:r>
        <w:rPr>
          <w:bCs/>
          <w:b/>
        </w:rPr>
        <w:t xml:space="preserve">Líneas base justas.</w:t>
      </w:r>
      <w:r>
        <w:t xml:space="preserve"> </w:t>
      </w:r>
      <w:r>
        <w:t xml:space="preserve">La logística usa one-hot de CIE10_3C y splines de edad: no es un modelo de paja. La mejora del ganador es</w:t>
      </w:r>
      <w:r>
        <w:t xml:space="preserve"> </w:t>
      </w:r>
      <w:r>
        <w:rPr>
          <w:bCs/>
          <w:b/>
        </w:rPr>
        <w:t xml:space="preserve">real pero modesta</w:t>
      </w:r>
      <w:r>
        <w:t xml:space="preserve"> </w:t>
      </w:r>
      <w:r>
        <w:t xml:space="preserve">(+0,033 de PR AUC; AUC 0,933 frente a 0,924 en 2023), y el apéndice A lo reconoce con honestidad: «el techo lo fijan las 40 variables».</w:t>
      </w:r>
    </w:p>
    <w:p>
      <w:pPr>
        <w:numPr>
          <w:ilvl w:val="0"/>
          <w:numId w:val="1008"/>
        </w:numPr>
        <w:pStyle w:val="Compact"/>
      </w:pPr>
      <w:r>
        <w:rPr>
          <w:bCs/>
          <w:b/>
        </w:rPr>
        <w:t xml:space="preserve">No se rebalancean clases</w:t>
      </w:r>
      <w:r>
        <w:t xml:space="preserve">, lo correcto para un O/E.</w:t>
      </w:r>
    </w:p>
    <w:p>
      <w:pPr>
        <w:numPr>
          <w:ilvl w:val="0"/>
          <w:numId w:val="1008"/>
        </w:numPr>
        <w:pStyle w:val="Compact"/>
      </w:pPr>
      <w:r>
        <w:rPr>
          <w:bCs/>
          <w:b/>
        </w:rPr>
        <w:t xml:space="preserve">Alta cardinalidad.</w:t>
      </w:r>
      <w:r>
        <w:t xml:space="preserve"> </w:t>
      </w:r>
      <w:r>
        <w:t xml:space="preserve">Los niveles con menos de 100 egresos en 2019–2022 pasan a RARO (825 niveles), y LightGBM usa categorías nativas con</w:t>
      </w:r>
      <w:r>
        <w:t xml:space="preserve"> </w:t>
      </w:r>
      <w:r>
        <w:rPr>
          <w:rStyle w:val="VerbatimChar"/>
        </w:rPr>
        <w:t xml:space="preserve">min_child_samples</w:t>
      </w:r>
      <w:r>
        <w:t xml:space="preserve"> </w:t>
      </w:r>
      <w:r>
        <w:t xml:space="preserve">386. En 2024,</w:t>
      </w:r>
      <w:r>
        <w:t xml:space="preserve"> </w:t>
      </w:r>
      <w:r>
        <w:rPr>
          <w:rStyle w:val="VerbatimChar"/>
        </w:rPr>
        <w:t xml:space="preserve">prediccion.a_categorias</w:t>
      </w:r>
      <w:r>
        <w:t xml:space="preserve"> </w:t>
      </w:r>
      <w:r>
        <w:t xml:space="preserve">crea las categorías a partir de 2024, pero LightGBM las vuelve a mapear con las del entrenamiento: funciona, aunque</w:t>
      </w:r>
      <w:r>
        <w:t xml:space="preserve"> </w:t>
      </w:r>
      <w:r>
        <w:rPr>
          <w:bCs/>
          <w:b/>
        </w:rPr>
        <w:t xml:space="preserve">ninguna prueba lo garantiza</w:t>
      </w:r>
      <w:r>
        <w:t xml:space="preserve">.</w:t>
      </w:r>
    </w:p>
    <w:p>
      <w:pPr>
        <w:numPr>
          <w:ilvl w:val="0"/>
          <w:numId w:val="1008"/>
        </w:numPr>
        <w:pStyle w:val="Compact"/>
      </w:pPr>
      <w:r>
        <w:rPr>
          <w:bCs/>
          <w:b/>
        </w:rPr>
        <w:t xml:space="preserve">Recalibración.</w:t>
      </w:r>
      <w:r>
        <w:t xml:space="preserve"> </w:t>
      </w:r>
      <w:r>
        <w:t xml:space="preserve">Platt (2 parámetros) para mortalidad y factor único para estadía, elegidos por una regla de empate fijada antes y evaluados fuera de muestra con 5 bloques temporales de 2023.</w:t>
      </w:r>
    </w:p>
    <w:p>
      <w:pPr>
        <w:numPr>
          <w:ilvl w:val="0"/>
          <w:numId w:val="1008"/>
        </w:numPr>
        <w:pStyle w:val="Compact"/>
      </w:pPr>
      <w:r>
        <w:rPr>
          <w:bCs/>
          <w:b/>
        </w:rPr>
        <w:t xml:space="preserve">Estadía.</w:t>
      </w:r>
      <w:r>
        <w:t xml:space="preserve"> </w:t>
      </w:r>
      <w:r>
        <w:t xml:space="preserve">Pérdida Tweedie (potencia 1,80, elegida por Optuna frente a Poisson) sobre la estadía topada, con el mismo tope en observados y esperados, sin log ni retransformación. Excluir a los fallecidos (R8) evita que el modelo aprenda que los graves «se van rápido».</w:t>
      </w:r>
    </w:p>
    <w:p>
      <w:pPr>
        <w:numPr>
          <w:ilvl w:val="0"/>
          <w:numId w:val="1008"/>
        </w:numPr>
        <w:pStyle w:val="Compact"/>
      </w:pPr>
      <w:r>
        <w:rPr>
          <w:bCs/>
          <w:b/>
        </w:rPr>
        <w:t xml:space="preserve">Sin sobreajuste ni inestabilidad.</w:t>
      </w:r>
      <w:r>
        <w:t xml:space="preserve"> </w:t>
      </w:r>
      <w:r>
        <w:t xml:space="preserve">El AUC es 0,933 en 2023 y 0,932 en 2024. La caída de PR AUC entre pliegues (0,442) y 2023 (0,384) se explica por la prevalencia (de 5,7 % a 4,3 %), no por sobreajuste.</w:t>
      </w:r>
    </w:p>
    <w:p>
      <w:pPr>
        <w:pStyle w:val="FirstParagraph"/>
      </w:pPr>
      <w:r>
        <w:rPr>
          <w:bCs/>
          <w:b/>
        </w:rPr>
        <w:t xml:space="preserve">Debilidades</w:t>
      </w:r>
    </w:p>
    <w:p>
      <w:pPr>
        <w:numPr>
          <w:ilvl w:val="0"/>
          <w:numId w:val="1009"/>
        </w:numPr>
        <w:pStyle w:val="Compact"/>
      </w:pPr>
      <w:r>
        <w:rPr>
          <w:bCs/>
          <w:b/>
        </w:rPr>
        <w:t xml:space="preserve">Recalibrar con un solo año.</w:t>
      </w:r>
      <w:r>
        <w:t xml:space="preserve"> </w:t>
      </w:r>
      <w:r>
        <w:t xml:space="preserve">2023 fue atípico (post pandemia) y la deriva siguió en 2024 (O/E 0,979 y 0,957). Además, el factor único no corrige una deriva que no es uniforme: el O/E de estadía va de 1,01 en 18–29 años a 0,90 en 90 o más. Recomiendo</w:t>
      </w:r>
      <w:r>
        <w:t xml:space="preserve"> </w:t>
      </w:r>
      <w:r>
        <w:rPr>
          <w:bCs/>
          <w:b/>
        </w:rPr>
        <w:t xml:space="preserve">re-basar el esperado cada año</w:t>
      </w:r>
      <w:r>
        <w:t xml:space="preserve"> </w:t>
      </w:r>
      <w:r>
        <w:t xml:space="preserve">en el despliegue, como hacen HSMR y SHMI. En 2024 eso no habría cambiado la proporción de hospitales fuera (recálculo propio: 12 en mortalidad y 11 en estadía).</w:t>
      </w:r>
    </w:p>
    <w:p>
      <w:pPr>
        <w:numPr>
          <w:ilvl w:val="0"/>
          <w:numId w:val="1009"/>
        </w:numPr>
        <w:pStyle w:val="Compact"/>
      </w:pPr>
      <w:r>
        <w:rPr>
          <w:bCs/>
          <w:b/>
        </w:rPr>
        <w:t xml:space="preserve">Sesgos de la estadía</w:t>
      </w:r>
      <w:r>
        <w:t xml:space="preserve">:</w:t>
      </w:r>
    </w:p>
    <w:p>
      <w:pPr>
        <w:numPr>
          <w:ilvl w:val="1"/>
          <w:numId w:val="1010"/>
        </w:numPr>
        <w:pStyle w:val="Compact"/>
      </w:pPr>
      <w:r>
        <w:t xml:space="preserve">De supervivencia: un hospital con más muertes saca estadías largas del denominador.</w:t>
      </w:r>
    </w:p>
    <w:p>
      <w:pPr>
        <w:numPr>
          <w:ilvl w:val="1"/>
          <w:numId w:val="1010"/>
        </w:numPr>
        <w:pStyle w:val="Compact"/>
      </w:pPr>
      <w:r>
        <w:t xml:space="preserve">Censura por traslado (H-06).</w:t>
      </w:r>
    </w:p>
    <w:p>
      <w:pPr>
        <w:numPr>
          <w:ilvl w:val="1"/>
          <w:numId w:val="1010"/>
        </w:numPr>
        <w:pStyle w:val="Compact"/>
      </w:pPr>
      <w:r>
        <w:t xml:space="preserve">El tope oculta el 10,7 % de los días.</w:t>
      </w:r>
    </w:p>
    <w:p>
      <w:pPr>
        <w:numPr>
          <w:ilvl w:val="1"/>
          <w:numId w:val="1010"/>
        </w:numPr>
        <w:pStyle w:val="Compact"/>
      </w:pPr>
      <w:r>
        <w:t xml:space="preserve">La varianza explicada es modesta: RMSE de 7,01 frente a una varianza cercana a 82 da R² ≈ 0,40 (aproximación mía con la varianza informada en F2).</w:t>
      </w:r>
    </w:p>
    <w:p>
      <w:pPr>
        <w:numPr>
          <w:ilvl w:val="0"/>
          <w:numId w:val="1009"/>
        </w:numPr>
        <w:pStyle w:val="Compact"/>
      </w:pPr>
      <w:r>
        <w:rPr>
          <w:bCs/>
          <w:b/>
        </w:rPr>
        <w:t xml:space="preserve">Selección y búsqueda</w:t>
      </w:r>
      <w:r>
        <w:t xml:space="preserve">: la detención temprana usa el pliegue de validación (H-14); la búsqueda se hizo en una submuestra de 30 %; la tasa de aprendizaje quedó en el borde inferior (0,02).</w:t>
      </w:r>
    </w:p>
    <w:p>
      <w:pPr>
        <w:numPr>
          <w:ilvl w:val="0"/>
          <w:numId w:val="1009"/>
        </w:numPr>
        <w:pStyle w:val="Compact"/>
      </w:pPr>
      <w:r>
        <w:rPr>
          <w:bCs/>
          <w:b/>
        </w:rPr>
        <w:t xml:space="preserve">SHAP bien usado.</w:t>
      </w:r>
      <w:r>
        <w:t xml:space="preserve"> </w:t>
      </w:r>
      <w:r>
        <w:t xml:space="preserve">Las contribuciones TreeSHAP nativas se presentan como explicación del modelo, sin lectura causal (F1 §13.1). Recomendación:</w:t>
      </w:r>
      <w:r>
        <w:t xml:space="preserve"> </w:t>
      </w:r>
      <w:r>
        <w:rPr>
          <w:bCs/>
          <w:b/>
        </w:rPr>
        <w:t xml:space="preserve">agrupar</w:t>
      </w:r>
      <w:r>
        <w:t xml:space="preserve"> </w:t>
      </w:r>
      <w:r>
        <w:t xml:space="preserve">la importancia de variables redundantes (CIE10_3C con capítulo; TIPO_PROCEDENCIA con PROCEDENCIA_AGR), porque hoy la reparten. Que 4 variables expliquen cerca del 65 % de la importancia es lo esperable en este tipo de modelos.</w:t>
      </w:r>
    </w:p>
    <w:p>
      <w:pPr>
        <w:numPr>
          <w:ilvl w:val="0"/>
          <w:numId w:val="1009"/>
        </w:numPr>
        <w:pStyle w:val="Compact"/>
      </w:pPr>
      <w:r>
        <w:rPr>
          <w:bCs/>
          <w:b/>
        </w:rPr>
        <w:t xml:space="preserve">La auditoría post hoc (</w:t>
      </w:r>
      <w:r>
        <w:rPr>
          <w:rStyle w:val="VerbatimChar"/>
          <w:bCs/>
          <w:b/>
        </w:rPr>
        <w:t xml:space="preserve">run_auditoria.py</w:t>
      </w:r>
      <w:r>
        <w:rPr>
          <w:bCs/>
          <w:b/>
        </w:rPr>
        <w:t xml:space="preserve">) usa otra lista de «sospechosas».</w:t>
      </w:r>
      <w:r>
        <w:t xml:space="preserve"> </w:t>
      </w:r>
      <w:r>
        <w:t xml:space="preserve">Incluye renal (ELIX_14) en lugar de circulación pulmonar (ELIX_04), a diferencia de la F1, y sus resultados no aparecen en ningún informe.</w:t>
      </w:r>
    </w:p>
    <w:bookmarkEnd w:id="28"/>
    <w:bookmarkStart w:id="29" w:name="evaluación-y-resultados-fase-5"/>
    <w:p>
      <w:pPr>
        <w:pStyle w:val="Heading3"/>
      </w:pPr>
      <w:r>
        <w:t xml:space="preserve">3.4 Evaluación y resultados (Fase 5)</w:t>
      </w:r>
    </w:p>
    <w:p>
      <w:pPr>
        <w:numPr>
          <w:ilvl w:val="0"/>
          <w:numId w:val="1011"/>
        </w:numPr>
        <w:pStyle w:val="Compact"/>
      </w:pPr>
      <w:r>
        <w:rPr>
          <w:bCs/>
          <w:b/>
        </w:rPr>
        <w:t xml:space="preserve">Métricas.</w:t>
      </w:r>
      <w:r>
        <w:t xml:space="preserve"> </w:t>
      </w:r>
      <w:r>
        <w:t xml:space="preserve">Son adecuadas para validar el</w:t>
      </w:r>
      <w:r>
        <w:t xml:space="preserve"> </w:t>
      </w:r>
      <w:r>
        <w:rPr>
          <w:bCs/>
          <w:b/>
        </w:rPr>
        <w:t xml:space="preserve">modelo</w:t>
      </w:r>
      <w:r>
        <w:t xml:space="preserve">, pero faltan las que validan el</w:t>
      </w:r>
      <w:r>
        <w:t xml:space="preserve"> </w:t>
      </w:r>
      <w:r>
        <w:rPr>
          <w:bCs/>
          <w:b/>
        </w:rPr>
        <w:t xml:space="preserve">indicador</w:t>
      </w:r>
      <w:r>
        <w:t xml:space="preserve">:</w:t>
      </w:r>
    </w:p>
    <w:p>
      <w:pPr>
        <w:numPr>
          <w:ilvl w:val="1"/>
          <w:numId w:val="1012"/>
        </w:numPr>
        <w:pStyle w:val="Compact"/>
      </w:pPr>
      <w:r>
        <w:t xml:space="preserve">Calibración por estrato de hospital (complejidad, volumen, años en GRD).</w:t>
      </w:r>
    </w:p>
    <w:p>
      <w:pPr>
        <w:numPr>
          <w:ilvl w:val="1"/>
          <w:numId w:val="1012"/>
        </w:numPr>
        <w:pStyle w:val="Compact"/>
      </w:pPr>
      <w:r>
        <w:t xml:space="preserve">Estabilidad del O/E entre años. La calculé: correlación de rangos 2023–2024 de</w:t>
      </w:r>
      <w:r>
        <w:t xml:space="preserve"> </w:t>
      </w:r>
      <w:r>
        <w:rPr>
          <w:bCs/>
          <w:b/>
        </w:rPr>
        <w:t xml:space="preserve">0,81</w:t>
      </w:r>
      <w:r>
        <w:t xml:space="preserve"> </w:t>
      </w:r>
      <w:r>
        <w:t xml:space="preserve">en mortalidad y</w:t>
      </w:r>
      <w:r>
        <w:t xml:space="preserve"> </w:t>
      </w:r>
      <w:r>
        <w:rPr>
          <w:bCs/>
          <w:b/>
        </w:rPr>
        <w:t xml:space="preserve">0,88</w:t>
      </w:r>
      <w:r>
        <w:t xml:space="preserve"> </w:t>
      </w:r>
      <w:r>
        <w:t xml:space="preserve">en estadía; 7 de las 10 alertas de mortalidad y 6 de las 8 de estadía se repiten en la misma dirección.</w:t>
      </w:r>
    </w:p>
    <w:p>
      <w:pPr>
        <w:numPr>
          <w:ilvl w:val="1"/>
          <w:numId w:val="1012"/>
        </w:numPr>
        <w:pStyle w:val="Compact"/>
      </w:pPr>
      <w:r>
        <w:t xml:space="preserve">Sensibilidad de la zona de cada hospital a las decisiones de diseño.</w:t>
      </w:r>
    </w:p>
    <w:p>
      <w:pPr>
        <w:numPr>
          <w:ilvl w:val="0"/>
          <w:numId w:val="1000"/>
        </w:numPr>
        <w:pStyle w:val="Compact"/>
      </w:pPr>
      <w:r>
        <w:t xml:space="preserve">Las curvas de decisión no aplican porque el indicador no es una herramienta de decisión individual; conviene decirlo en el texto. El AUC con IC sí está (0,927 a 0,937).</w:t>
      </w:r>
    </w:p>
    <w:p>
      <w:pPr>
        <w:numPr>
          <w:ilvl w:val="0"/>
          <w:numId w:val="1011"/>
        </w:numPr>
        <w:pStyle w:val="Compact"/>
      </w:pPr>
      <w:r>
        <w:rPr>
          <w:bCs/>
          <w:b/>
        </w:rPr>
        <w:t xml:space="preserve">Bootstrap.</w:t>
      </w:r>
      <w:r>
        <w:t xml:space="preserve"> </w:t>
      </w:r>
      <w:r>
        <w:t xml:space="preserve">Usa 1.000 réplicas por hospital completo, semilla 20261019 y percentiles. Es adecuado para 69 clústeres. El BSS usa como referencia la prevalencia de 2024 (</w:t>
      </w:r>
      <w:r>
        <w:rPr>
          <w:rStyle w:val="VerbatimChar"/>
        </w:rPr>
        <w:t xml:space="preserve">criterios.py</w:t>
      </w:r>
      <w:r>
        <w:t xml:space="preserve"> </w:t>
      </w:r>
      <w:r>
        <w:t xml:space="preserve">l. 41), una referencia más exigente que la del entrenamiento. Con 1.000 réplicas, el error de Monte Carlo es pequeño frente a la distancia de cada IC al umbral.</w:t>
      </w:r>
    </w:p>
    <w:p>
      <w:pPr>
        <w:numPr>
          <w:ilvl w:val="0"/>
          <w:numId w:val="1011"/>
        </w:numPr>
        <w:pStyle w:val="Compact"/>
      </w:pPr>
      <w:r>
        <w:rPr>
          <w:bCs/>
          <w:b/>
        </w:rPr>
        <w:t xml:space="preserve">Implementación del embudo: correcta.</w:t>
      </w:r>
      <w:r>
        <w:t xml:space="preserve"> </w:t>
      </w:r>
      <w:r>
        <w:t xml:space="preserve">Los z son de Poisson, se winsoriza al 10 %, τ² es de DerSimonian-Laird, los límites son 1 ± z·√(φ/E + τ²) y z vale 1,96 y 3,09. Al recalcular, τ² de estadía da 0,01101 (exacto) y τ² de mortalidad entre 0,0155 y 0,0161 según el valor que se impute al hospital suprimido (informado: 0,0159). Para estadía se usa la dispersión global de Pearson (φ = 5,31, cuasi-Poisson), una elección razonable. Los límites son simétricos en la escala O/E; con E ≥ 31 no hay límites negativos (el mínimo es 0,32).</w:t>
      </w:r>
    </w:p>
    <w:p>
      <w:pPr>
        <w:numPr>
          <w:ilvl w:val="0"/>
          <w:numId w:val="1011"/>
        </w:numPr>
        <w:pStyle w:val="Compact"/>
      </w:pPr>
      <w:r>
        <w:rPr>
          <w:bCs/>
          <w:b/>
        </w:rPr>
        <w:t xml:space="preserve">El 15,9 %: ¿heterogeneidad real, ajuste deficiente o codificación?</w:t>
      </w:r>
      <w:r>
        <w:t xml:space="preserve"> </w:t>
      </w:r>
      <w:r>
        <w:t xml:space="preserve">Es una</w:t>
      </w:r>
      <w:r>
        <w:t xml:space="preserve"> </w:t>
      </w:r>
      <w:r>
        <w:rPr>
          <w:bCs/>
          <w:b/>
        </w:rPr>
        <w:t xml:space="preserve">mezcla</w:t>
      </w:r>
      <w:r>
        <w:t xml:space="preserve">:</w:t>
      </w:r>
    </w:p>
    <w:p>
      <w:pPr>
        <w:numPr>
          <w:ilvl w:val="1"/>
          <w:numId w:val="1013"/>
        </w:numPr>
        <w:pStyle w:val="Compact"/>
      </w:pPr>
      <w:r>
        <w:rPr>
          <w:bCs/>
          <w:b/>
        </w:rPr>
        <w:t xml:space="preserve">Artefacto del estimador.</w:t>
      </w:r>
      <w:r>
        <w:t xml:space="preserve"> </w:t>
      </w:r>
      <w:r>
        <w:t xml:space="preserve">Con heterogeneidad normal, el procedimiento winsorizado deja fuera alrededor de 11–13 % (H-05).</w:t>
      </w:r>
    </w:p>
    <w:p>
      <w:pPr>
        <w:numPr>
          <w:ilvl w:val="1"/>
          <w:numId w:val="1013"/>
        </w:numPr>
        <w:pStyle w:val="Compact"/>
      </w:pPr>
      <w:r>
        <w:rPr>
          <w:bCs/>
          <w:b/>
        </w:rPr>
        <w:t xml:space="preserve">Diferencias sistemáticas reales.</w:t>
      </w:r>
      <w:r>
        <w:t xml:space="preserve"> </w:t>
      </w:r>
      <w:r>
        <w:t xml:space="preserve">Persisten de un año a otro.</w:t>
      </w:r>
    </w:p>
    <w:p>
      <w:pPr>
        <w:numPr>
          <w:ilvl w:val="1"/>
          <w:numId w:val="1013"/>
        </w:numPr>
        <w:pStyle w:val="Compact"/>
      </w:pPr>
      <w:r>
        <w:rPr>
          <w:bCs/>
          <w:b/>
        </w:rPr>
        <w:t xml:space="preserve">Casuística no comparable.</w:t>
      </w:r>
      <w:r>
        <w:t xml:space="preserve"> </w:t>
      </w:r>
      <w:r>
        <w:t xml:space="preserve">Los 3 institutos monográficos quedan fuera en mortalidad; los hospitales nuevos y los que más derivan quedan fuera en estadía.</w:t>
      </w:r>
    </w:p>
    <w:p>
      <w:pPr>
        <w:numPr>
          <w:ilvl w:val="1"/>
          <w:numId w:val="1013"/>
        </w:numPr>
        <w:pStyle w:val="Compact"/>
      </w:pPr>
      <w:r>
        <w:rPr>
          <w:bCs/>
          <w:b/>
        </w:rPr>
        <w:t xml:space="preserve">No es deriva de calibración.</w:t>
      </w:r>
      <w:r>
        <w:t xml:space="preserve"> </w:t>
      </w:r>
      <w:r>
        <w:t xml:space="preserve">Re-basando el esperado, la proporción fuera no baja. Quitar los monográficos tampoco la baja (15,2 %, porque τ² se achica y los límites se estrechan), pero sí cambia</w:t>
      </w:r>
      <w:r>
        <w:t xml:space="preserve"> </w:t>
      </w:r>
      <w:r>
        <w:rPr>
          <w:bCs/>
          <w:b/>
        </w:rPr>
        <w:t xml:space="preserve">qué</w:t>
      </w:r>
      <w:r>
        <w:t xml:space="preserve"> </w:t>
      </w:r>
      <w:r>
        <w:t xml:space="preserve">hospitales quedan marcados.</w:t>
      </w:r>
    </w:p>
    <w:p>
      <w:pPr>
        <w:numPr>
          <w:ilvl w:val="0"/>
          <w:numId w:val="1011"/>
        </w:numPr>
        <w:pStyle w:val="Compact"/>
      </w:pPr>
      <w:r>
        <w:rPr>
          <w:bCs/>
          <w:b/>
        </w:rPr>
        <w:t xml:space="preserve">Exhaustividad y traslados.</w:t>
      </w:r>
      <w:r>
        <w:t xml:space="preserve"> </w:t>
      </w:r>
      <w:r>
        <w:t xml:space="preserve">Solo se</w:t>
      </w:r>
      <w:r>
        <w:t xml:space="preserve"> </w:t>
      </w:r>
      <w:r>
        <w:rPr>
          <w:bCs/>
          <w:b/>
        </w:rPr>
        <w:t xml:space="preserve">informan</w:t>
      </w:r>
      <w:r>
        <w:t xml:space="preserve">, no se controlan. La correlación global con el O/E de mortalidad es casi nula (−0,01), pero en las colas el hospital con el índice más bajo (103100, 0,62) es alerta alta (O/E 1,37), y las alertas bajas tienen una mediana de índice de 1,06 frente a cerca de 0,93–0,94 del resto (p = 0,08). Eso es coherente con el sesgo de codificación esperado. Recomiendo una sensibilidad «resistente a la codificación»: el O/E con un modelo sin comorbilidades secundarias.</w:t>
      </w:r>
    </w:p>
    <w:p>
      <w:pPr>
        <w:numPr>
          <w:ilvl w:val="0"/>
          <w:numId w:val="1011"/>
        </w:numPr>
        <w:pStyle w:val="Compact"/>
      </w:pPr>
      <w:r>
        <w:rPr>
          <w:bCs/>
          <w:b/>
        </w:rPr>
        <w:t xml:space="preserve">«Cumple con incertidumbre».</w:t>
      </w:r>
      <w:r>
        <w:t xml:space="preserve"> </w:t>
      </w:r>
      <w:r>
        <w:t xml:space="preserve">La regla se aplicó tal como estaba escrita y</w:t>
      </w:r>
      <w:r>
        <w:t xml:space="preserve"> </w:t>
      </w:r>
      <w:r>
        <w:rPr>
          <w:bCs/>
          <w:b/>
        </w:rPr>
        <w:t xml:space="preserve">ningún veredicto cambia de etiqueta</w:t>
      </w:r>
      <w:r>
        <w:t xml:space="preserve">. Lo que debe cambiar es la lectura: el +0,033 de PR AUC es real pero modesto, y el O/E de estadía es «en el límite, con sesgo global significativo» (H-11).</w:t>
      </w:r>
    </w:p>
    <w:p>
      <w:pPr>
        <w:numPr>
          <w:ilvl w:val="0"/>
          <w:numId w:val="1011"/>
        </w:numPr>
        <w:pStyle w:val="Compact"/>
      </w:pPr>
      <w:r>
        <w:rPr>
          <w:bCs/>
          <w:b/>
        </w:rPr>
        <w:t xml:space="preserve">Privacidad.</w:t>
      </w:r>
      <w:r>
        <w:t xml:space="preserve"> </w:t>
      </w:r>
      <w:r>
        <w:t xml:space="preserve">Ver H-09 y H-18. La «zona» se sigue publicando para el hospital suprimido, por diseño. Aquí no agrega información (el límite al 99,8 % por E da cerca de 10), pero en general entrega una cota.</w:t>
      </w:r>
    </w:p>
    <w:p>
      <w:pPr>
        <w:numPr>
          <w:ilvl w:val="0"/>
          <w:numId w:val="1011"/>
        </w:numPr>
        <w:pStyle w:val="Compact"/>
      </w:pPr>
      <w:r>
        <w:rPr>
          <w:bCs/>
          <w:b/>
        </w:rPr>
        <w:t xml:space="preserve">Lección de la puerta de privacidad que pasó con fugas.</w:t>
      </w:r>
      <w:r>
        <w:t xml:space="preserve"> </w:t>
      </w:r>
      <w:r>
        <w:t xml:space="preserve">La puerta revisaba</w:t>
      </w:r>
      <w:r>
        <w:t xml:space="preserve"> </w:t>
      </w:r>
      <w:r>
        <w:rPr>
          <w:bCs/>
          <w:b/>
        </w:rPr>
        <w:t xml:space="preserve">patrones</w:t>
      </w:r>
      <w:r>
        <w:t xml:space="preserve"> </w:t>
      </w:r>
      <w:r>
        <w:t xml:space="preserve">(nombres de columnas de conteo), no la</w:t>
      </w:r>
      <w:r>
        <w:t xml:space="preserve"> </w:t>
      </w:r>
      <w:r>
        <w:rPr>
          <w:bCs/>
          <w:b/>
        </w:rPr>
        <w:t xml:space="preserve">propiedad</w:t>
      </w:r>
      <w:r>
        <w:t xml:space="preserve"> </w:t>
      </w:r>
      <w:r>
        <w:t xml:space="preserve">que importa (que ningún conteo menor que 10 sea reconstruible desde lo publicado). Si las puertas las escribe el mismo autor del código, comparten sus puntos ciegos. Hacen falta pruebas adversariales (intentar reconstruir), un alcance completo (pruebas, documentos, figuras, git) y un</w:t>
      </w:r>
      <w:r>
        <w:t xml:space="preserve"> </w:t>
      </w:r>
      <w:r>
        <w:rPr>
          <w:bCs/>
          <w:b/>
        </w:rPr>
        <w:t xml:space="preserve">canario</w:t>
      </w:r>
      <w:r>
        <w:t xml:space="preserve">: una fuga plantada a propósito para confirmar que la puerta falla.</w:t>
      </w:r>
    </w:p>
    <w:p>
      <w:pPr>
        <w:numPr>
          <w:ilvl w:val="0"/>
          <w:numId w:val="1011"/>
        </w:numPr>
        <w:pStyle w:val="Compact"/>
      </w:pPr>
      <w:r>
        <w:rPr>
          <w:bCs/>
          <w:b/>
        </w:rPr>
        <w:t xml:space="preserve">Honestidad del reporte.</w:t>
      </w:r>
      <w:r>
        <w:t xml:space="preserve"> </w:t>
      </w:r>
      <w:r>
        <w:t xml:space="preserve">En general es alta: declara desviaciones e incidentes. Pero «sí funcionan», «7 de 7» y «2024 nunca visto» sobreafirman.</w:t>
      </w:r>
    </w:p>
    <w:bookmarkEnd w:id="29"/>
    <w:bookmarkStart w:id="30" w:name="pipeline-e-ingeniería"/>
    <w:p>
      <w:pPr>
        <w:pStyle w:val="Heading3"/>
      </w:pPr>
      <w:r>
        <w:t xml:space="preserve">3.5 Pipeline e ingeniería</w:t>
      </w:r>
    </w:p>
    <w:p>
      <w:pPr>
        <w:pStyle w:val="FirstParagraph"/>
      </w:pPr>
      <w:r>
        <w:rPr>
          <w:bCs/>
          <w:b/>
        </w:rPr>
        <w:t xml:space="preserve">Fortalezas</w:t>
      </w:r>
    </w:p>
    <w:p>
      <w:pPr>
        <w:numPr>
          <w:ilvl w:val="0"/>
          <w:numId w:val="1014"/>
        </w:numPr>
        <w:pStyle w:val="Compact"/>
      </w:pPr>
      <w:r>
        <w:rPr>
          <w:bCs/>
          <w:b/>
        </w:rPr>
        <w:t xml:space="preserve">Arquitectura por capas</w:t>
      </w:r>
      <w:r>
        <w:t xml:space="preserve"> </w:t>
      </w:r>
      <w:r>
        <w:t xml:space="preserve">(Cruda → Bronce → Plata → Oro) con conservación de filas, predictores y desenlace en archivos separados, y listas blancas y prohibidas verificadas al cargar (</w:t>
      </w:r>
      <w:r>
        <w:rPr>
          <w:rStyle w:val="VerbatimChar"/>
        </w:rPr>
        <w:t xml:space="preserve">datos.verificar_lista_blanca</w:t>
      </w:r>
      <w:r>
        <w:t xml:space="preserve">,</w:t>
      </w:r>
      <w:r>
        <w:t xml:space="preserve"> </w:t>
      </w:r>
      <w:r>
        <w:rPr>
          <w:rStyle w:val="VerbatimChar"/>
        </w:rPr>
        <w:t xml:space="preserve">verificar_sin_2024</w:t>
      </w:r>
      <w:r>
        <w:t xml:space="preserve">).</w:t>
      </w:r>
    </w:p>
    <w:p>
      <w:pPr>
        <w:numPr>
          <w:ilvl w:val="0"/>
          <w:numId w:val="1014"/>
        </w:numPr>
        <w:pStyle w:val="Compact"/>
      </w:pPr>
      <w:r>
        <w:rPr>
          <w:bCs/>
          <w:b/>
        </w:rPr>
        <w:t xml:space="preserve">Reproducibilidad</w:t>
      </w:r>
      <w:r>
        <w:t xml:space="preserve">: configuración separada del código, determinismo verificado con SHA-256, manifiestos con versiones y semillas fijas.</w:t>
      </w:r>
    </w:p>
    <w:p>
      <w:pPr>
        <w:numPr>
          <w:ilvl w:val="0"/>
          <w:numId w:val="1014"/>
        </w:numPr>
        <w:pStyle w:val="Compact"/>
      </w:pPr>
      <w:r>
        <w:rPr>
          <w:bCs/>
          <w:b/>
        </w:rPr>
        <w:t xml:space="preserve">Memoria bajo control</w:t>
      </w:r>
      <w:r>
        <w:t xml:space="preserve">: Polars y Parquet por lotes, con picos de 3 a 5,7 GB en un equipo de 16 GB.</w:t>
      </w:r>
    </w:p>
    <w:p>
      <w:pPr>
        <w:numPr>
          <w:ilvl w:val="0"/>
          <w:numId w:val="1014"/>
        </w:numPr>
        <w:pStyle w:val="Compact"/>
      </w:pPr>
      <w:r>
        <w:rPr>
          <w:bCs/>
          <w:b/>
        </w:rPr>
        <w:t xml:space="preserve">Cobertura de pruebas</w:t>
      </w:r>
      <w:r>
        <w:t xml:space="preserve">: 1.759 (F2), 53 (F3), 45 (F4) y 18 (F5).</w:t>
      </w:r>
    </w:p>
    <w:p>
      <w:pPr>
        <w:pStyle w:val="FirstParagraph"/>
      </w:pPr>
      <w:r>
        <w:rPr>
          <w:bCs/>
          <w:b/>
        </w:rPr>
        <w:t xml:space="preserve">Debilidades</w:t>
      </w:r>
    </w:p>
    <w:p>
      <w:pPr>
        <w:numPr>
          <w:ilvl w:val="0"/>
          <w:numId w:val="1015"/>
        </w:numPr>
        <w:pStyle w:val="Compact"/>
      </w:pPr>
      <w:r>
        <w:rPr>
          <w:bCs/>
          <w:b/>
        </w:rPr>
        <w:t xml:space="preserve">Puertas autocomplacientes</w:t>
      </w:r>
      <w:r>
        <w:t xml:space="preserve">:</w:t>
      </w:r>
    </w:p>
    <w:p>
      <w:pPr>
        <w:numPr>
          <w:ilvl w:val="1"/>
          <w:numId w:val="1016"/>
        </w:numPr>
        <w:pStyle w:val="Compact"/>
      </w:pPr>
      <w:r>
        <w:t xml:space="preserve">G4 busca con una expresión regular (</w:t>
      </w:r>
      <w:r>
        <w:rPr>
          <w:rStyle w:val="VerbatimChar"/>
        </w:rPr>
        <w:t xml:space="preserve">\.fit\(|ajustar_final|entrenar\(</w:t>
      </w:r>
      <w:r>
        <w:t xml:space="preserve">) y excluye</w:t>
      </w:r>
      <w:r>
        <w:t xml:space="preserve"> </w:t>
      </w:r>
      <w:r>
        <w:rPr>
          <w:rStyle w:val="VerbatimChar"/>
        </w:rPr>
        <w:t xml:space="preserve">planes_b.py</w:t>
      </w:r>
      <w:r>
        <w:t xml:space="preserve">. No detecta</w:t>
      </w:r>
      <w:r>
        <w:t xml:space="preserve"> </w:t>
      </w:r>
      <w:r>
        <w:rPr>
          <w:rStyle w:val="VerbatimChar"/>
        </w:rPr>
        <w:t xml:space="preserve">fit_transform</w:t>
      </w:r>
      <w:r>
        <w:t xml:space="preserve"> </w:t>
      </w:r>
      <w:r>
        <w:t xml:space="preserve">ni entrenamientos llamados desde otros módulos.</w:t>
      </w:r>
    </w:p>
    <w:p>
      <w:pPr>
        <w:numPr>
          <w:ilvl w:val="1"/>
          <w:numId w:val="1016"/>
        </w:numPr>
        <w:pStyle w:val="Compact"/>
      </w:pPr>
      <w:r>
        <w:t xml:space="preserve">P3, P5 y G2 confían en un registro que una lectura directa no toca (lo probó el incidente).</w:t>
      </w:r>
    </w:p>
    <w:p>
      <w:pPr>
        <w:numPr>
          <w:ilvl w:val="1"/>
          <w:numId w:val="1016"/>
        </w:numPr>
        <w:pStyle w:val="Compact"/>
      </w:pPr>
      <w:r>
        <w:t xml:space="preserve">En la F4, G2 «se encontró a sí misma» porque busca texto.</w:t>
      </w:r>
    </w:p>
    <w:p>
      <w:pPr>
        <w:numPr>
          <w:ilvl w:val="1"/>
          <w:numId w:val="1016"/>
        </w:numPr>
        <w:pStyle w:val="Compact"/>
      </w:pPr>
      <w:r>
        <w:t xml:space="preserve">P5 solo prueba τ = 0.</w:t>
      </w:r>
    </w:p>
    <w:p>
      <w:pPr>
        <w:numPr>
          <w:ilvl w:val="1"/>
          <w:numId w:val="1016"/>
        </w:numPr>
        <w:pStyle w:val="Compact"/>
      </w:pPr>
      <w:r>
        <w:t xml:space="preserve">G6 solo cuenta filas.</w:t>
      </w:r>
    </w:p>
    <w:p>
      <w:pPr>
        <w:numPr>
          <w:ilvl w:val="0"/>
          <w:numId w:val="1015"/>
        </w:numPr>
        <w:pStyle w:val="Compact"/>
      </w:pPr>
      <w:r>
        <w:rPr>
          <w:bCs/>
          <w:b/>
        </w:rPr>
        <w:t xml:space="preserve">Acoplamiento</w:t>
      </w:r>
      <w:r>
        <w:t xml:space="preserve">: la F5 importa la F3 y la F4 manipulando</w:t>
      </w:r>
      <w:r>
        <w:t xml:space="preserve"> </w:t>
      </w:r>
      <w:r>
        <w:rPr>
          <w:rStyle w:val="VerbatimChar"/>
        </w:rPr>
        <w:t xml:space="preserve">sys.path</w:t>
      </w:r>
      <w:r>
        <w:t xml:space="preserve">, y hay código copiado entre fases (</w:t>
      </w:r>
      <w:r>
        <w:rPr>
          <w:rStyle w:val="VerbatimChar"/>
        </w:rPr>
        <w:t xml:space="preserve">definiciones.py</w:t>
      </w:r>
      <w:r>
        <w:t xml:space="preserve">,</w:t>
      </w:r>
      <w:r>
        <w:t xml:space="preserve"> </w:t>
      </w:r>
      <w:r>
        <w:rPr>
          <w:rStyle w:val="VerbatimChar"/>
        </w:rPr>
        <w:t xml:space="preserve">elixhauser.py</w:t>
      </w:r>
      <w:r>
        <w:t xml:space="preserve">,</w:t>
      </w:r>
      <w:r>
        <w:t xml:space="preserve"> </w:t>
      </w:r>
      <w:r>
        <w:rPr>
          <w:rStyle w:val="VerbatimChar"/>
        </w:rPr>
        <w:t xml:space="preserve">privacidad.py</w:t>
      </w:r>
      <w:r>
        <w:t xml:space="preserve">) que puede divergir.</w:t>
      </w:r>
    </w:p>
    <w:p>
      <w:pPr>
        <w:numPr>
          <w:ilvl w:val="0"/>
          <w:numId w:val="1015"/>
        </w:numPr>
        <w:pStyle w:val="Compact"/>
      </w:pPr>
      <w:r>
        <w:rPr>
          <w:bCs/>
          <w:b/>
        </w:rPr>
        <w:t xml:space="preserve">El código de evaluación no tiene huella</w:t>
      </w:r>
      <w:r>
        <w:t xml:space="preserve"> </w:t>
      </w:r>
      <w:r>
        <w:t xml:space="preserve">(H-13), y las dependencias no están fijadas (H-17).</w:t>
      </w:r>
    </w:p>
    <w:p>
      <w:pPr>
        <w:pStyle w:val="FirstParagraph"/>
      </w:pPr>
      <w:r>
        <w:rPr>
          <w:bCs/>
          <w:b/>
        </w:rPr>
        <w:t xml:space="preserve">Pruebas que faltan</w:t>
      </w:r>
    </w:p>
    <w:p>
      <w:pPr>
        <w:numPr>
          <w:ilvl w:val="0"/>
          <w:numId w:val="1017"/>
        </w:numPr>
        <w:pStyle w:val="Compact"/>
      </w:pPr>
      <w:r>
        <w:t xml:space="preserve">Embudo con τ &gt; 0: proporción esperada fuera de los límites.</w:t>
      </w:r>
    </w:p>
    <w:p>
      <w:pPr>
        <w:numPr>
          <w:ilvl w:val="0"/>
          <w:numId w:val="1017"/>
        </w:numPr>
        <w:pStyle w:val="Compact"/>
      </w:pPr>
      <w:r>
        <w:t xml:space="preserve">Privacidad adversarial entre archivos, que también escanee</w:t>
      </w:r>
      <w:r>
        <w:t xml:space="preserve"> </w:t>
      </w:r>
      <w:r>
        <w:rPr>
          <w:rStyle w:val="VerbatimChar"/>
        </w:rPr>
        <w:t xml:space="preserve">tests/</w:t>
      </w:r>
      <w:r>
        <w:t xml:space="preserve"> </w:t>
      </w:r>
      <w:r>
        <w:t xml:space="preserve">y</w:t>
      </w:r>
      <w:r>
        <w:t xml:space="preserve"> </w:t>
      </w:r>
      <w:r>
        <w:rPr>
          <w:rStyle w:val="VerbatimChar"/>
        </w:rPr>
        <w:t xml:space="preserve">docs/</w:t>
      </w:r>
      <w:r>
        <w:t xml:space="preserve">.</w:t>
      </w:r>
    </w:p>
    <w:p>
      <w:pPr>
        <w:numPr>
          <w:ilvl w:val="0"/>
          <w:numId w:val="1017"/>
        </w:numPr>
        <w:pStyle w:val="Compact"/>
      </w:pPr>
      <w:r>
        <w:t xml:space="preserve">Que</w:t>
      </w:r>
      <w:r>
        <w:t xml:space="preserve"> </w:t>
      </w:r>
      <w:r>
        <w:rPr>
          <w:rStyle w:val="VerbatimChar"/>
        </w:rPr>
        <w:t xml:space="preserve">rol_estancia</w:t>
      </w:r>
      <w:r>
        <w:t xml:space="preserve"> </w:t>
      </w:r>
      <w:r>
        <w:t xml:space="preserve">se respete (o que se elimine de la configuración).</w:t>
      </w:r>
    </w:p>
    <w:p>
      <w:pPr>
        <w:numPr>
          <w:ilvl w:val="0"/>
          <w:numId w:val="1017"/>
        </w:numPr>
        <w:pStyle w:val="Compact"/>
      </w:pPr>
      <w:r>
        <w:t xml:space="preserve">Mapeo Elixhauser contra una implementación de referencia, por ejemplo el paquete R</w:t>
      </w:r>
      <w:r>
        <w:t xml:space="preserve"> </w:t>
      </w:r>
      <w:r>
        <w:rPr>
          <w:rStyle w:val="VerbatimChar"/>
        </w:rPr>
        <w:t xml:space="preserve">comorbidity</w:t>
      </w:r>
      <w:r>
        <w:t xml:space="preserve">.</w:t>
      </w:r>
    </w:p>
    <w:p>
      <w:pPr>
        <w:numPr>
          <w:ilvl w:val="0"/>
          <w:numId w:val="1017"/>
        </w:numPr>
        <w:pStyle w:val="Compact"/>
      </w:pPr>
      <w:r>
        <w:t xml:space="preserve">Que la predicción de LightGBM no cambie con el orden ni con el conjunto de categorías de pandas.</w:t>
      </w:r>
    </w:p>
    <w:p>
      <w:pPr>
        <w:numPr>
          <w:ilvl w:val="0"/>
          <w:numId w:val="1017"/>
        </w:numPr>
        <w:pStyle w:val="Compact"/>
      </w:pPr>
      <w:r>
        <w:t xml:space="preserve">Canario de fuga: una columna igual al desenlace debe hacer fallar P4 y G3.</w:t>
      </w:r>
    </w:p>
    <w:p>
      <w:pPr>
        <w:numPr>
          <w:ilvl w:val="0"/>
          <w:numId w:val="1017"/>
        </w:numPr>
        <w:pStyle w:val="Compact"/>
      </w:pPr>
      <w:r>
        <w:t xml:space="preserve">Que el código de evaluación coincida con la huella pre-registrada.</w:t>
      </w:r>
    </w:p>
    <w:p>
      <w:pPr>
        <w:numPr>
          <w:ilvl w:val="0"/>
          <w:numId w:val="1017"/>
        </w:numPr>
        <w:pStyle w:val="Compact"/>
      </w:pPr>
      <w:r>
        <w:t xml:space="preserve">EX03 con casos sintéticos de cesárea y preeclampsia.</w:t>
      </w:r>
    </w:p>
    <w:p>
      <w:pPr>
        <w:numPr>
          <w:ilvl w:val="0"/>
          <w:numId w:val="1017"/>
        </w:numPr>
        <w:pStyle w:val="Compact"/>
      </w:pPr>
      <w:r>
        <w:t xml:space="preserve">Etiquetas de TIPOALTA cortadas asignadas por prefijo.</w:t>
      </w:r>
    </w:p>
    <w:p>
      <w:pPr>
        <w:numPr>
          <w:ilvl w:val="0"/>
          <w:numId w:val="1017"/>
        </w:numPr>
        <w:pStyle w:val="Compact"/>
      </w:pPr>
      <w:r>
        <w:t xml:space="preserve">Calibración por estrato de hospital en el ensayo de 2023.</w:t>
      </w:r>
    </w:p>
    <w:bookmarkEnd w:id="30"/>
    <w:bookmarkStart w:id="32" w:name="X98e9091e3ec6839eac5272e7098c7bdf2a6a3bb"/>
    <w:p>
      <w:pPr>
        <w:pStyle w:val="Heading3"/>
      </w:pPr>
      <w:r>
        <w:t xml:space="preserve">3.6 Perspectiva clínica y de política pública</w:t>
      </w:r>
    </w:p>
    <w:p>
      <w:pPr>
        <w:numPr>
          <w:ilvl w:val="0"/>
          <w:numId w:val="1018"/>
        </w:numPr>
        <w:pStyle w:val="Compact"/>
      </w:pPr>
      <w:r>
        <w:rPr>
          <w:bCs/>
          <w:b/>
        </w:rPr>
        <w:t xml:space="preserve">¿Puede un gestor usarlo sin malinterpretarlo?</w:t>
      </w:r>
      <w:r>
        <w:t xml:space="preserve"> </w:t>
      </w:r>
      <w:r>
        <w:t xml:space="preserve">La presentación (códigos, embudo, sin ranking, contexto al lado) es mejor que la de muchos tableros oficiales. Los riesgos concretos son:</w:t>
      </w:r>
    </w:p>
    <w:p>
      <w:pPr>
        <w:numPr>
          <w:ilvl w:val="1"/>
          <w:numId w:val="1019"/>
        </w:numPr>
        <w:pStyle w:val="Compact"/>
      </w:pPr>
      <w:r>
        <w:t xml:space="preserve">Leer la «señal baja» de un instituto monográfico como excelencia.</w:t>
      </w:r>
    </w:p>
    <w:p>
      <w:pPr>
        <w:numPr>
          <w:ilvl w:val="1"/>
          <w:numId w:val="1019"/>
        </w:numPr>
        <w:pStyle w:val="Compact"/>
      </w:pPr>
      <w:r>
        <w:t xml:space="preserve">Castigar a los hospitales de referencia (traslados entrantes: mediana 9,5 %, máximo 62,4 %).</w:t>
      </w:r>
    </w:p>
    <w:p>
      <w:pPr>
        <w:numPr>
          <w:ilvl w:val="1"/>
          <w:numId w:val="1019"/>
        </w:numPr>
        <w:pStyle w:val="Compact"/>
      </w:pPr>
      <w:r>
        <w:t xml:space="preserve">Premiar estadías cortas logradas derivando pacientes.</w:t>
      </w:r>
    </w:p>
    <w:p>
      <w:pPr>
        <w:numPr>
          <w:ilvl w:val="1"/>
          <w:numId w:val="1019"/>
        </w:numPr>
        <w:pStyle w:val="Compact"/>
      </w:pPr>
      <w:r>
        <w:t xml:space="preserve">Comparar hospitales recién incorporados a GRD.</w:t>
      </w:r>
    </w:p>
    <w:p>
      <w:pPr>
        <w:numPr>
          <w:ilvl w:val="0"/>
          <w:numId w:val="1018"/>
        </w:numPr>
        <w:pStyle w:val="Compact"/>
      </w:pPr>
      <w:r>
        <w:rPr>
          <w:bCs/>
          <w:b/>
        </w:rPr>
        <w:t xml:space="preserve">Variables clínicas que faltan.</w:t>
      </w:r>
      <w:r>
        <w:t xml:space="preserve"> </w:t>
      </w:r>
      <w:r>
        <w:t xml:space="preserve">Severidad fisiológica al ingreso (signos vitales, lactato, creatinina, NEWS o APACHE), estado funcional y fragilidad, POA, órdenes de no reanimar o de limitación del esfuerzo terapéutico, cuidados paliativos al ingreso, origen desde un ELEAM y nivel socioeconómico (excluido por equidad: hay que discutir el costo de esa decisión).</w:t>
      </w:r>
    </w:p>
    <w:p>
      <w:pPr>
        <w:numPr>
          <w:ilvl w:val="0"/>
          <w:numId w:val="1018"/>
        </w:numPr>
        <w:pStyle w:val="Compact"/>
      </w:pPr>
      <w:r>
        <w:rPr>
          <w:bCs/>
          <w:b/>
        </w:rPr>
        <w:t xml:space="preserve">Prácticas internacionales.</w:t>
      </w:r>
      <w:r>
        <w:t xml:space="preserve"> </w:t>
      </w:r>
      <w:r>
        <w:t xml:space="preserve">Esta parte es conocimiento general, salvo donde cito.</w:t>
      </w:r>
    </w:p>
    <w:p>
      <w:pPr>
        <w:numPr>
          <w:ilvl w:val="1"/>
          <w:numId w:val="1020"/>
        </w:numPr>
        <w:pStyle w:val="Compact"/>
      </w:pPr>
      <w:r>
        <w:rPr>
          <w:bCs/>
          <w:b/>
        </w:rPr>
        <w:t xml:space="preserve">HSMR</w:t>
      </w:r>
      <w:r>
        <w:t xml:space="preserve"> </w:t>
      </w:r>
      <w:r>
        <w:t xml:space="preserve">(Reino Unido, Países Bajos, Canadá): grupos diagnósticos que concentran la mayoría de las muertes; ajuste por edad, sexo, tipo de admisión, comorbilidad, privación y paliativos; re-basado anual.</w:t>
      </w:r>
    </w:p>
    <w:p>
      <w:pPr>
        <w:numPr>
          <w:ilvl w:val="1"/>
          <w:numId w:val="1020"/>
        </w:numPr>
        <w:pStyle w:val="Compact"/>
      </w:pPr>
      <w:r>
        <w:rPr>
          <w:bCs/>
          <w:b/>
        </w:rPr>
        <w:t xml:space="preserve">SHMI</w:t>
      </w:r>
      <w:r>
        <w:t xml:space="preserve"> </w:t>
      </w:r>
      <w:r>
        <w:t xml:space="preserve">(NHS England): incluye las muertes hasta 30 días después del alta, lo que neutraliza el alta anticipada. Su embudo usa transformación logarítmica y</w:t>
      </w:r>
      <w:r>
        <w:t xml:space="preserve"> </w:t>
      </w:r>
      <w:r>
        <w:rPr>
          <w:bCs/>
          <w:b/>
        </w:rPr>
        <w:t xml:space="preserve">truncamiento</w:t>
      </w:r>
      <w:r>
        <w:t xml:space="preserve"> </w:t>
      </w:r>
      <w:r>
        <w:t xml:space="preserve">al 10 % por cola, no winsorización. La variante CQC o Spiegelhalter usa raíz cuadrada y winsorización (</w:t>
      </w:r>
      <w:hyperlink r:id="rId31">
        <w:r>
          <w:rPr>
            <w:rStyle w:val="Hyperlink"/>
          </w:rPr>
          <w:t xml:space="preserve">FunnelPlotR</w:t>
        </w:r>
      </w:hyperlink>
      <w:r>
        <w:t xml:space="preserve">). El proyecto aplica la winsorización sin transformar: hay que declararlo.</w:t>
      </w:r>
    </w:p>
    <w:p>
      <w:pPr>
        <w:numPr>
          <w:ilvl w:val="1"/>
          <w:numId w:val="1020"/>
        </w:numPr>
        <w:pStyle w:val="Compact"/>
      </w:pPr>
      <w:r>
        <w:rPr>
          <w:bCs/>
          <w:b/>
        </w:rPr>
        <w:t xml:space="preserve">AHRQ IQI</w:t>
      </w:r>
      <w:r>
        <w:t xml:space="preserve">: mortalidad por condición o procedimiento, con POA.</w:t>
      </w:r>
    </w:p>
    <w:p>
      <w:pPr>
        <w:numPr>
          <w:ilvl w:val="1"/>
          <w:numId w:val="1020"/>
        </w:numPr>
        <w:pStyle w:val="Compact"/>
      </w:pPr>
      <w:r>
        <w:rPr>
          <w:bCs/>
          <w:b/>
        </w:rPr>
        <w:t xml:space="preserve">CMS</w:t>
      </w:r>
      <w:r>
        <w:t xml:space="preserve">: mortalidad a 30 días por condición, con modelos jerárquicos que encogen las estimaciones de los hospitales pequeños.</w:t>
      </w:r>
    </w:p>
    <w:p>
      <w:pPr>
        <w:numPr>
          <w:ilvl w:val="1"/>
          <w:numId w:val="1020"/>
        </w:numPr>
        <w:pStyle w:val="Compact"/>
      </w:pPr>
      <w:r>
        <w:rPr>
          <w:bCs/>
          <w:b/>
        </w:rPr>
        <w:t xml:space="preserve">Chile</w:t>
      </w:r>
      <w:r>
        <w:t xml:space="preserve">: el sistema GRD ya produce estadía ajustada por GRD y su norma. La tesis debería contrastar su O/E de estadía con esa referencia nacional (no lo pude verificar con el material).</w:t>
      </w:r>
    </w:p>
    <w:p>
      <w:pPr>
        <w:numPr>
          <w:ilvl w:val="0"/>
          <w:numId w:val="1018"/>
        </w:numPr>
        <w:pStyle w:val="Compact"/>
      </w:pPr>
      <w:r>
        <w:rPr>
          <w:bCs/>
          <w:b/>
        </w:rPr>
        <w:t xml:space="preserve">Recomendación de política.</w:t>
      </w:r>
      <w:r>
        <w:t xml:space="preserve"> </w:t>
      </w:r>
      <w:r>
        <w:t xml:space="preserve">Presentarlo como una</w:t>
      </w:r>
      <w:r>
        <w:t xml:space="preserve"> </w:t>
      </w:r>
      <w:r>
        <w:rPr>
          <w:bCs/>
          <w:b/>
        </w:rPr>
        <w:t xml:space="preserve">herramienta de cribado interno por grupo de pares</w:t>
      </w:r>
      <w:r>
        <w:t xml:space="preserve">, no como información pública por hospital. Lo prioritario a futuro es enlazar con el Registro Civil para obtener la mortalidad a 30 días.</w:t>
      </w:r>
    </w:p>
    <w:p>
      <w:r>
        <w:pict>
          <v:rect style="width:0;height:1.5pt" o:hralign="center" o:hrstd="t" o:hr="t"/>
        </w:pict>
      </w:r>
    </w:p>
    <w:bookmarkEnd w:id="32"/>
    <w:bookmarkEnd w:id="33"/>
    <w:bookmarkStart w:id="34" w:name="riesgos-de-fuga-de-información-o-sesgo"/>
    <w:p>
      <w:pPr>
        <w:pStyle w:val="Heading2"/>
      </w:pPr>
      <w:r>
        <w:t xml:space="preserve">4. Riesgos de fuga de información o sesgo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Riesgo</w:t>
            </w:r>
          </w:p>
        </w:tc>
        <w:tc>
          <w:tcPr/>
          <w:p>
            <w:pPr>
              <w:pStyle w:val="Compact"/>
              <w:jc w:val="left"/>
            </w:pPr>
            <w:r>
              <w:t xml:space="preserve">Certeza</w:t>
            </w:r>
          </w:p>
        </w:tc>
        <w:tc>
          <w:tcPr/>
          <w:p>
            <w:pPr>
              <w:pStyle w:val="Compact"/>
              <w:jc w:val="left"/>
            </w:pPr>
            <w:r>
              <w:t xml:space="preserve">Evidencia</w:t>
            </w:r>
          </w:p>
        </w:tc>
        <w:tc>
          <w:tcPr/>
          <w:p>
            <w:pPr>
              <w:pStyle w:val="Compact"/>
              <w:jc w:val="left"/>
            </w:pPr>
            <w:r>
              <w:t xml:space="preserve">Efecto</w:t>
            </w:r>
          </w:p>
        </w:tc>
      </w:tr>
      <w:tr>
        <w:tc>
          <w:tcPr/>
          <w:p>
            <w:pPr>
              <w:pStyle w:val="Compact"/>
              <w:jc w:val="left"/>
            </w:pPr>
            <w:r>
              <w:t xml:space="preserve">1</w:t>
            </w:r>
          </w:p>
        </w:tc>
        <w:tc>
          <w:tcPr/>
          <w:p>
            <w:pPr>
              <w:pStyle w:val="Compact"/>
              <w:jc w:val="left"/>
            </w:pPr>
            <w:r>
              <w:t xml:space="preserve">Comorbilidades que funcionan como complicaciones (coagulopatía, hidroelectrolíticos, pérdida de peso, circulación pulmonar, anemias) sin POA</w:t>
            </w:r>
          </w:p>
        </w:tc>
        <w:tc>
          <w:tcPr/>
          <w:p>
            <w:pPr>
              <w:pStyle w:val="Compact"/>
              <w:jc w:val="left"/>
            </w:pPr>
            <w:r>
              <w:rPr>
                <w:bCs/>
                <w:b/>
              </w:rPr>
              <w:t xml:space="preserve">Probable</w:t>
            </w:r>
          </w:p>
        </w:tc>
        <w:tc>
          <w:tcPr/>
          <w:p>
            <w:pPr>
              <w:pStyle w:val="Compact"/>
              <w:jc w:val="left"/>
            </w:pPr>
            <w:r>
              <w:t xml:space="preserve">OR ajustadas de 3,6 a 5,8; prevalencia 5,5–14 veces mayor con estadías largas; ablación con ΔPR AUC −0,025</w:t>
            </w:r>
          </w:p>
        </w:tc>
        <w:tc>
          <w:tcPr/>
          <w:p>
            <w:pPr>
              <w:pStyle w:val="Compact"/>
              <w:jc w:val="left"/>
            </w:pPr>
            <w:r>
              <w:t xml:space="preserve">El esperado se infla en hospitales con complicaciones; en estadía hay causalidad inversa</w:t>
            </w:r>
          </w:p>
        </w:tc>
      </w:tr>
      <w:tr>
        <w:tc>
          <w:tcPr/>
          <w:p>
            <w:pPr>
              <w:pStyle w:val="Compact"/>
              <w:jc w:val="left"/>
            </w:pPr>
            <w:r>
              <w:t xml:space="preserve">2</w:t>
            </w:r>
          </w:p>
        </w:tc>
        <w:tc>
          <w:tcPr/>
          <w:p>
            <w:pPr>
              <w:pStyle w:val="Compact"/>
              <w:jc w:val="left"/>
            </w:pPr>
            <w:r>
              <w:t xml:space="preserve">Diagnóstico principal codificado al alta: estados agudos (I46, R57, J96) y Z51 paliativo</w:t>
            </w:r>
          </w:p>
        </w:tc>
        <w:tc>
          <w:tcPr/>
          <w:p>
            <w:pPr>
              <w:pStyle w:val="Compact"/>
              <w:jc w:val="left"/>
            </w:pPr>
            <w:r>
              <w:rPr>
                <w:bCs/>
                <w:b/>
              </w:rPr>
              <w:t xml:space="preserve">Confirmado</w:t>
            </w:r>
            <w:r>
              <w:t xml:space="preserve"> </w:t>
            </w:r>
            <w:r>
              <w:t xml:space="preserve">(información de alta);</w:t>
            </w:r>
            <w:r>
              <w:t xml:space="preserve"> </w:t>
            </w:r>
            <w:r>
              <w:rPr>
                <w:bCs/>
                <w:b/>
              </w:rPr>
              <w:t xml:space="preserve">posible</w:t>
            </w:r>
            <w:r>
              <w:t xml:space="preserve"> </w:t>
            </w:r>
            <w:r>
              <w:t xml:space="preserve">(juego)</w:t>
            </w:r>
          </w:p>
        </w:tc>
        <w:tc>
          <w:tcPr/>
          <w:p>
            <w:pPr>
              <w:pStyle w:val="Compact"/>
              <w:jc w:val="left"/>
            </w:pPr>
            <w:r>
              <w:rPr>
                <w:rStyle w:val="VerbatimChar"/>
              </w:rPr>
              <w:t xml:space="preserve">oro_vocabularios.csv</w:t>
            </w:r>
          </w:p>
        </w:tc>
        <w:tc>
          <w:tcPr/>
          <w:p>
            <w:pPr>
              <w:pStyle w:val="Compact"/>
              <w:jc w:val="left"/>
            </w:pPr>
            <w:r>
              <w:t xml:space="preserve">Sube el esperado si se codifica estratégicamente</w:t>
            </w:r>
          </w:p>
        </w:tc>
      </w:tr>
      <w:tr>
        <w:tc>
          <w:tcPr/>
          <w:p>
            <w:pPr>
              <w:pStyle w:val="Compact"/>
              <w:jc w:val="left"/>
            </w:pPr>
            <w:r>
              <w:t xml:space="preserve">3</w:t>
            </w:r>
          </w:p>
        </w:tc>
        <w:tc>
          <w:tcPr/>
          <w:p>
            <w:pPr>
              <w:pStyle w:val="Compact"/>
              <w:jc w:val="left"/>
            </w:pPr>
            <w:r>
              <w:t xml:space="preserve">Severidad, peso y riesgo GRD, procedimientos y servicio de alta</w:t>
            </w:r>
          </w:p>
        </w:tc>
        <w:tc>
          <w:tcPr/>
          <w:p>
            <w:pPr>
              <w:pStyle w:val="Compact"/>
              <w:jc w:val="left"/>
            </w:pPr>
            <w:r>
              <w:rPr>
                <w:bCs/>
                <w:b/>
              </w:rPr>
              <w:t xml:space="preserve">Descartado</w:t>
            </w:r>
            <w:r>
              <w:t xml:space="preserve"> </w:t>
            </w:r>
            <w:r>
              <w:t xml:space="preserve">(no entran)</w:t>
            </w:r>
          </w:p>
        </w:tc>
        <w:tc>
          <w:tcPr/>
          <w:p>
            <w:pPr>
              <w:pStyle w:val="Compact"/>
              <w:jc w:val="left"/>
            </w:pPr>
            <w:r>
              <w:t xml:space="preserve">P4, G3,</w:t>
            </w:r>
            <w:r>
              <w:t xml:space="preserve"> </w:t>
            </w:r>
            <w:r>
              <w:rPr>
                <w:rStyle w:val="VerbatimChar"/>
              </w:rPr>
              <w:t xml:space="preserve">datos.py</w:t>
            </w:r>
            <w:r>
              <w:t xml:space="preserve">, fichas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Uso de MDC o GRD para excluir (EX01–EX03)</w:t>
            </w:r>
          </w:p>
        </w:tc>
        <w:tc>
          <w:tcPr/>
          <w:p>
            <w:pPr>
              <w:pStyle w:val="Compact"/>
              <w:jc w:val="left"/>
            </w:pPr>
            <w:r>
              <w:rPr>
                <w:bCs/>
                <w:b/>
              </w:rPr>
              <w:t xml:space="preserve">Confirmado</w:t>
            </w:r>
            <w:r>
              <w:t xml:space="preserve"> </w:t>
            </w:r>
            <w:r>
              <w:t xml:space="preserve">(uso)</w:t>
            </w:r>
          </w:p>
        </w:tc>
        <w:tc>
          <w:tcPr/>
          <w:p>
            <w:pPr>
              <w:pStyle w:val="Compact"/>
              <w:jc w:val="left"/>
            </w:pPr>
            <w:r>
              <w:rPr>
                <w:rStyle w:val="VerbatimChar"/>
              </w:rPr>
              <w:t xml:space="preserve">cohortes.py</w:t>
            </w:r>
          </w:p>
        </w:tc>
        <w:tc>
          <w:tcPr/>
          <w:p>
            <w:pPr>
              <w:pStyle w:val="Compact"/>
              <w:jc w:val="left"/>
            </w:pPr>
            <w:r>
              <w:t xml:space="preserve">Bajo; EX03 además está mal definida</w:t>
            </w:r>
          </w:p>
        </w:tc>
      </w:tr>
      <w:tr>
        <w:tc>
          <w:tcPr/>
          <w:p>
            <w:pPr>
              <w:pStyle w:val="Compact"/>
              <w:jc w:val="left"/>
            </w:pPr>
            <w:r>
              <w:t xml:space="preserve">5</w:t>
            </w:r>
          </w:p>
        </w:tc>
        <w:tc>
          <w:tcPr/>
          <w:p>
            <w:pPr>
              <w:pStyle w:val="Compact"/>
              <w:jc w:val="left"/>
            </w:pPr>
            <w:r>
              <w:t xml:space="preserve">Nivel de cuidado al ingreso y procedencia como variables de proceso o capacidad</w:t>
            </w:r>
          </w:p>
        </w:tc>
        <w:tc>
          <w:tcPr/>
          <w:p>
            <w:pPr>
              <w:pStyle w:val="Compact"/>
              <w:jc w:val="left"/>
            </w:pPr>
            <w:r>
              <w:rPr>
                <w:bCs/>
                <w:b/>
              </w:rPr>
              <w:t xml:space="preserve">Probable</w:t>
            </w:r>
          </w:p>
        </w:tc>
        <w:tc>
          <w:tcPr/>
          <w:p>
            <w:pPr>
              <w:pStyle w:val="Compact"/>
              <w:jc w:val="left"/>
            </w:pPr>
            <w:r>
              <w:t xml:space="preserve">Identificación del hospital de 3,9 % a 8,2 %; asociación 0,14–0,17</w:t>
            </w:r>
          </w:p>
        </w:tc>
        <w:tc>
          <w:tcPr/>
          <w:p>
            <w:pPr>
              <w:pStyle w:val="Compact"/>
              <w:jc w:val="left"/>
            </w:pPr>
            <w:r>
              <w:t xml:space="preserve">Absorben diferencias entre hospitales</w:t>
            </w:r>
          </w:p>
        </w:tc>
      </w:tr>
      <w:tr>
        <w:tc>
          <w:tcPr/>
          <w:p>
            <w:pPr>
              <w:pStyle w:val="Compact"/>
              <w:jc w:val="left"/>
            </w:pPr>
            <w:r>
              <w:t xml:space="preserve">6</w:t>
            </w:r>
          </w:p>
        </w:tc>
        <w:tc>
          <w:tcPr/>
          <w:p>
            <w:pPr>
              <w:pStyle w:val="Compact"/>
              <w:jc w:val="left"/>
            </w:pPr>
            <w:r>
              <w:t xml:space="preserve">Exposiciones de 2024 previas a la apertura (mortalidad 2,46 %; prevalencias y deriva)</w:t>
            </w:r>
          </w:p>
        </w:tc>
        <w:tc>
          <w:tcPr/>
          <w:p>
            <w:pPr>
              <w:pStyle w:val="Compact"/>
              <w:jc w:val="left"/>
            </w:pPr>
            <w:r>
              <w:rPr>
                <w:bCs/>
                <w:b/>
              </w:rPr>
              <w:t xml:space="preserve">Confirmado</w:t>
            </w:r>
            <w:r>
              <w:t xml:space="preserve"> </w:t>
            </w:r>
            <w:r>
              <w:t xml:space="preserve">(exposición)</w:t>
            </w:r>
          </w:p>
        </w:tc>
        <w:tc>
          <w:tcPr/>
          <w:p>
            <w:pPr>
              <w:pStyle w:val="Compact"/>
              <w:jc w:val="left"/>
            </w:pPr>
            <w:r>
              <w:t xml:space="preserve">F2 v4 §4.2 y §13.2</w:t>
            </w:r>
          </w:p>
        </w:tc>
        <w:tc>
          <w:tcPr/>
          <w:p>
            <w:pPr>
              <w:pStyle w:val="Compact"/>
              <w:jc w:val="left"/>
            </w:pPr>
            <w:r>
              <w:t xml:space="preserve">Sin evidencia de efecto en el modelo</w:t>
            </w:r>
          </w:p>
        </w:tc>
      </w:tr>
      <w:tr>
        <w:tc>
          <w:tcPr/>
          <w:p>
            <w:pPr>
              <w:pStyle w:val="Compact"/>
              <w:jc w:val="left"/>
            </w:pPr>
            <w:r>
              <w:t xml:space="preserve">7</w:t>
            </w:r>
          </w:p>
        </w:tc>
        <w:tc>
          <w:tcPr/>
          <w:p>
            <w:pPr>
              <w:pStyle w:val="Compact"/>
              <w:jc w:val="left"/>
            </w:pPr>
            <w:r>
              <w:t xml:space="preserve">Lectura directa del archivo sellado (solo el esquema)</w:t>
            </w:r>
          </w:p>
        </w:tc>
        <w:tc>
          <w:tcPr/>
          <w:p>
            <w:pPr>
              <w:pStyle w:val="Compact"/>
              <w:jc w:val="left"/>
            </w:pPr>
            <w:r>
              <w:rPr>
                <w:bCs/>
                <w:b/>
              </w:rPr>
              <w:t xml:space="preserve">Confirmado</w:t>
            </w:r>
            <w:r>
              <w:t xml:space="preserve">, declarado</w:t>
            </w:r>
          </w:p>
        </w:tc>
        <w:tc>
          <w:tcPr/>
          <w:p>
            <w:pPr>
              <w:pStyle w:val="Compact"/>
              <w:jc w:val="left"/>
            </w:pPr>
            <w:r>
              <w:rPr>
                <w:rStyle w:val="VerbatimChar"/>
              </w:rPr>
              <w:t xml:space="preserve">INCIDENTES.md</w:t>
            </w:r>
          </w:p>
        </w:tc>
        <w:tc>
          <w:tcPr/>
          <w:p>
            <w:pPr>
              <w:pStyle w:val="Compact"/>
              <w:jc w:val="left"/>
            </w:pPr>
            <w:r>
              <w:t xml:space="preserve">Nulo en las cifras</w:t>
            </w:r>
          </w:p>
        </w:tc>
      </w:tr>
      <w:tr>
        <w:tc>
          <w:tcPr/>
          <w:p>
            <w:pPr>
              <w:pStyle w:val="Compact"/>
              <w:jc w:val="left"/>
            </w:pPr>
            <w:r>
              <w:t xml:space="preserve">8</w:t>
            </w:r>
          </w:p>
        </w:tc>
        <w:tc>
          <w:tcPr/>
          <w:p>
            <w:pPr>
              <w:pStyle w:val="Compact"/>
              <w:jc w:val="left"/>
            </w:pPr>
            <w:r>
              <w:t xml:space="preserve">Cambios en el código de evaluación después de abrir</w:t>
            </w:r>
          </w:p>
        </w:tc>
        <w:tc>
          <w:tcPr/>
          <w:p>
            <w:pPr>
              <w:pStyle w:val="Compact"/>
              <w:jc w:val="left"/>
            </w:pPr>
            <w:r>
              <w:rPr>
                <w:bCs/>
                <w:b/>
              </w:rPr>
              <w:t xml:space="preserve">Confirmado</w:t>
            </w:r>
          </w:p>
        </w:tc>
        <w:tc>
          <w:tcPr/>
          <w:p>
            <w:pPr>
              <w:pStyle w:val="Compact"/>
              <w:jc w:val="left"/>
            </w:pPr>
            <w:r>
              <w:t xml:space="preserve">Informe F5 §9; G8 15 frente a 18 pruebas</w:t>
            </w:r>
          </w:p>
        </w:tc>
        <w:tc>
          <w:tcPr/>
          <w:p>
            <w:pPr>
              <w:pStyle w:val="Compact"/>
              <w:jc w:val="left"/>
            </w:pPr>
            <w:r>
              <w:t xml:space="preserve">Solo en el reporte</w:t>
            </w:r>
          </w:p>
        </w:tc>
      </w:tr>
      <w:tr>
        <w:tc>
          <w:tcPr/>
          <w:p>
            <w:pPr>
              <w:pStyle w:val="Compact"/>
              <w:jc w:val="left"/>
            </w:pPr>
            <w:r>
              <w:t xml:space="preserve">9</w:t>
            </w:r>
          </w:p>
        </w:tc>
        <w:tc>
          <w:tcPr/>
          <w:p>
            <w:pPr>
              <w:pStyle w:val="Compact"/>
              <w:jc w:val="left"/>
            </w:pPr>
            <w:r>
              <w:t xml:space="preserve">Detención temprana sobre el pliegue de validación</w:t>
            </w:r>
          </w:p>
        </w:tc>
        <w:tc>
          <w:tcPr/>
          <w:p>
            <w:pPr>
              <w:pStyle w:val="Compact"/>
              <w:jc w:val="left"/>
            </w:pPr>
            <w:r>
              <w:rPr>
                <w:bCs/>
                <w:b/>
              </w:rPr>
              <w:t xml:space="preserve">Confirmado</w:t>
            </w:r>
          </w:p>
        </w:tc>
        <w:tc>
          <w:tcPr/>
          <w:p>
            <w:pPr>
              <w:pStyle w:val="Compact"/>
              <w:jc w:val="left"/>
            </w:pPr>
            <w:r>
              <w:rPr>
                <w:rStyle w:val="VerbatimChar"/>
              </w:rPr>
              <w:t xml:space="preserve">tuning.py</w:t>
            </w:r>
          </w:p>
        </w:tc>
        <w:tc>
          <w:tcPr/>
          <w:p>
            <w:pPr>
              <w:pStyle w:val="Compact"/>
              <w:jc w:val="left"/>
            </w:pPr>
            <w:r>
              <w:t xml:space="preserve">Leve</w:t>
            </w:r>
          </w:p>
        </w:tc>
      </w:tr>
      <w:tr>
        <w:tc>
          <w:tcPr/>
          <w:p>
            <w:pPr>
              <w:pStyle w:val="Compact"/>
              <w:jc w:val="left"/>
            </w:pPr>
            <w:r>
              <w:t xml:space="preserve">10</w:t>
            </w:r>
          </w:p>
        </w:tc>
        <w:tc>
          <w:tcPr/>
          <w:p>
            <w:pPr>
              <w:pStyle w:val="Compact"/>
              <w:jc w:val="left"/>
            </w:pPr>
            <w:r>
              <w:t xml:space="preserve">Censura informativa por traslado y hospitalización domiciliaria</w:t>
            </w:r>
          </w:p>
        </w:tc>
        <w:tc>
          <w:tcPr/>
          <w:p>
            <w:pPr>
              <w:pStyle w:val="Compact"/>
              <w:jc w:val="left"/>
            </w:pPr>
            <w:r>
              <w:rPr>
                <w:bCs/>
                <w:b/>
              </w:rPr>
              <w:t xml:space="preserve">Probable</w:t>
            </w:r>
            <w:r>
              <w:t xml:space="preserve"> </w:t>
            </w:r>
            <w:r>
              <w:t xml:space="preserve">(estadía);</w:t>
            </w:r>
            <w:r>
              <w:t xml:space="preserve"> </w:t>
            </w:r>
            <w:r>
              <w:rPr>
                <w:bCs/>
                <w:b/>
              </w:rPr>
              <w:t xml:space="preserve">posible</w:t>
            </w:r>
            <w:r>
              <w:t xml:space="preserve"> </w:t>
            </w:r>
            <w:r>
              <w:t xml:space="preserve">(mortalidad, ρ = −0,08)</w:t>
            </w:r>
          </w:p>
        </w:tc>
        <w:tc>
          <w:tcPr/>
          <w:p>
            <w:pPr>
              <w:pStyle w:val="Compact"/>
              <w:jc w:val="left"/>
            </w:pPr>
            <w:r>
              <w:t xml:space="preserve">H-06</w:t>
            </w:r>
          </w:p>
        </w:tc>
        <w:tc>
          <w:tcPr/>
          <w:p>
            <w:pPr>
              <w:pStyle w:val="Compact"/>
              <w:jc w:val="left"/>
            </w:pPr>
            <w:r>
              <w:t xml:space="preserve">O/E de estadía sesgado hacia abajo en hospitales derivadores</w:t>
            </w:r>
          </w:p>
        </w:tc>
      </w:tr>
      <w:tr>
        <w:tc>
          <w:tcPr/>
          <w:p>
            <w:pPr>
              <w:pStyle w:val="Compact"/>
              <w:jc w:val="left"/>
            </w:pPr>
            <w:r>
              <w:t xml:space="preserve">11</w:t>
            </w:r>
          </w:p>
        </w:tc>
        <w:tc>
          <w:tcPr/>
          <w:p>
            <w:pPr>
              <w:pStyle w:val="Compact"/>
              <w:jc w:val="left"/>
            </w:pPr>
            <w:r>
              <w:t xml:space="preserve">Sesgo de supervivencia en estadía (fallecidos excluidos)</w:t>
            </w:r>
          </w:p>
        </w:tc>
        <w:tc>
          <w:tcPr/>
          <w:p>
            <w:pPr>
              <w:pStyle w:val="Compact"/>
              <w:jc w:val="left"/>
            </w:pPr>
            <w:r>
              <w:rPr>
                <w:bCs/>
                <w:b/>
              </w:rPr>
              <w:t xml:space="preserve">Posible</w:t>
            </w:r>
          </w:p>
        </w:tc>
        <w:tc>
          <w:tcPr/>
          <w:p>
            <w:pPr>
              <w:pStyle w:val="Compact"/>
              <w:jc w:val="left"/>
            </w:pPr>
            <w:r>
              <w:t xml:space="preserve">R8; correlación O/E mortalidad–estadía +0,25</w:t>
            </w:r>
          </w:p>
        </w:tc>
        <w:tc>
          <w:tcPr/>
          <w:p>
            <w:pPr>
              <w:pStyle w:val="Compact"/>
              <w:jc w:val="left"/>
            </w:pPr>
            <w:r>
              <w:t xml:space="preserve">Interacción entre los dos indicadores</w:t>
            </w:r>
          </w:p>
        </w:tc>
      </w:tr>
      <w:tr>
        <w:tc>
          <w:tcPr/>
          <w:p>
            <w:pPr>
              <w:pStyle w:val="Compact"/>
              <w:jc w:val="left"/>
            </w:pPr>
            <w:r>
              <w:t xml:space="preserve">12</w:t>
            </w:r>
          </w:p>
        </w:tc>
        <w:tc>
          <w:tcPr/>
          <w:p>
            <w:pPr>
              <w:pStyle w:val="Compact"/>
              <w:jc w:val="left"/>
            </w:pPr>
            <w:r>
              <w:t xml:space="preserve">Deriva de codificación (+3,8 % sobre 2023; índice de 0,65 a 1,50 por hospital)</w:t>
            </w:r>
          </w:p>
        </w:tc>
        <w:tc>
          <w:tcPr/>
          <w:p>
            <w:pPr>
              <w:pStyle w:val="Compact"/>
              <w:jc w:val="left"/>
            </w:pPr>
            <w:r>
              <w:rPr>
                <w:bCs/>
                <w:b/>
              </w:rPr>
              <w:t xml:space="preserve">Confirmado</w:t>
            </w:r>
            <w:r>
              <w:t xml:space="preserve"> </w:t>
            </w:r>
            <w:r>
              <w:t xml:space="preserve">(deriva);</w:t>
            </w:r>
            <w:r>
              <w:t xml:space="preserve"> </w:t>
            </w:r>
            <w:r>
              <w:rPr>
                <w:bCs/>
                <w:b/>
              </w:rPr>
              <w:t xml:space="preserve">posible</w:t>
            </w:r>
            <w:r>
              <w:t xml:space="preserve"> </w:t>
            </w:r>
            <w:r>
              <w:t xml:space="preserve">(efecto en las colas)</w:t>
            </w:r>
          </w:p>
        </w:tc>
        <w:tc>
          <w:tcPr/>
          <w:p>
            <w:pPr>
              <w:pStyle w:val="Compact"/>
              <w:jc w:val="left"/>
            </w:pPr>
            <w:r>
              <w:rPr>
                <w:rStyle w:val="VerbatimChar"/>
              </w:rPr>
              <w:t xml:space="preserve">resumen_evaluacion_2024.json</w:t>
            </w:r>
          </w:p>
        </w:tc>
        <w:tc>
          <w:tcPr/>
          <w:p>
            <w:pPr>
              <w:pStyle w:val="Compact"/>
              <w:jc w:val="left"/>
            </w:pPr>
            <w:r>
              <w:t xml:space="preserve">El O/E baja en hospitales que codifican más</w:t>
            </w:r>
          </w:p>
        </w:tc>
      </w:tr>
      <w:tr>
        <w:tc>
          <w:tcPr/>
          <w:p>
            <w:pPr>
              <w:pStyle w:val="Compact"/>
              <w:jc w:val="left"/>
            </w:pPr>
            <w:r>
              <w:t xml:space="preserve">13</w:t>
            </w:r>
          </w:p>
        </w:tc>
        <w:tc>
          <w:tcPr/>
          <w:p>
            <w:pPr>
              <w:pStyle w:val="Compact"/>
              <w:jc w:val="left"/>
            </w:pPr>
            <w:r>
              <w:t xml:space="preserve">Período pandémico (U07)</w:t>
            </w:r>
          </w:p>
        </w:tc>
        <w:tc>
          <w:tcPr/>
          <w:p>
            <w:pPr>
              <w:pStyle w:val="Compact"/>
              <w:jc w:val="left"/>
            </w:pPr>
            <w:r>
              <w:rPr>
                <w:bCs/>
                <w:b/>
              </w:rPr>
              <w:t xml:space="preserve">Confirmado</w:t>
            </w:r>
          </w:p>
        </w:tc>
        <w:tc>
          <w:tcPr/>
          <w:p>
            <w:pPr>
              <w:pStyle w:val="Compact"/>
              <w:jc w:val="left"/>
            </w:pPr>
            <w:r>
              <w:t xml:space="preserve">XXII: O/E 0,58</w:t>
            </w:r>
          </w:p>
        </w:tc>
        <w:tc>
          <w:tcPr/>
          <w:p>
            <w:pPr>
              <w:pStyle w:val="Compact"/>
              <w:jc w:val="left"/>
            </w:pPr>
            <w:r>
              <w:t xml:space="preserve">Sesgo según la carga COVID de cada hospital</w:t>
            </w:r>
          </w:p>
        </w:tc>
      </w:tr>
      <w:tr>
        <w:tc>
          <w:tcPr/>
          <w:p>
            <w:pPr>
              <w:pStyle w:val="Compact"/>
              <w:jc w:val="left"/>
            </w:pPr>
            <w:r>
              <w:t xml:space="preserve">14</w:t>
            </w:r>
          </w:p>
        </w:tc>
        <w:tc>
          <w:tcPr/>
          <w:p>
            <w:pPr>
              <w:pStyle w:val="Compact"/>
              <w:jc w:val="left"/>
            </w:pPr>
            <w:r>
              <w:t xml:space="preserve">Paradoja del diagnóstico secundario</w:t>
            </w:r>
          </w:p>
        </w:tc>
        <w:tc>
          <w:tcPr/>
          <w:p>
            <w:pPr>
              <w:pStyle w:val="Compact"/>
              <w:jc w:val="left"/>
            </w:pPr>
            <w:r>
              <w:rPr>
                <w:bCs/>
                <w:b/>
              </w:rPr>
              <w:t xml:space="preserve">Confirmado</w:t>
            </w:r>
            <w:r>
              <w:t xml:space="preserve"> </w:t>
            </w:r>
            <w:r>
              <w:t xml:space="preserve">(existe)</w:t>
            </w:r>
          </w:p>
        </w:tc>
        <w:tc>
          <w:tcPr/>
          <w:p>
            <w:pPr>
              <w:pStyle w:val="Compact"/>
              <w:jc w:val="left"/>
            </w:pPr>
            <w:r>
              <w:t xml:space="preserve">HTA OR 0,89; hipotiroidismo 0,91</w:t>
            </w:r>
          </w:p>
        </w:tc>
        <w:tc>
          <w:tcPr/>
          <w:p>
            <w:pPr>
              <w:pStyle w:val="Compact"/>
              <w:jc w:val="left"/>
            </w:pPr>
            <w:r>
              <w:t xml:space="preserve">Menor; declarar</w:t>
            </w:r>
          </w:p>
        </w:tc>
      </w:tr>
      <w:tr>
        <w:tc>
          <w:tcPr/>
          <w:p>
            <w:pPr>
              <w:pStyle w:val="Compact"/>
              <w:jc w:val="left"/>
            </w:pPr>
            <w:r>
              <w:t xml:space="preserve">15</w:t>
            </w:r>
          </w:p>
        </w:tc>
        <w:tc>
          <w:tcPr/>
          <w:p>
            <w:pPr>
              <w:pStyle w:val="Compact"/>
              <w:jc w:val="left"/>
            </w:pPr>
            <w:r>
              <w:t xml:space="preserve">Selección por la definición de EX03</w:t>
            </w:r>
          </w:p>
        </w:tc>
        <w:tc>
          <w:tcPr/>
          <w:p>
            <w:pPr>
              <w:pStyle w:val="Compact"/>
              <w:jc w:val="left"/>
            </w:pPr>
            <w:r>
              <w:rPr>
                <w:bCs/>
                <w:b/>
              </w:rPr>
              <w:t xml:space="preserve">Confirmado</w:t>
            </w:r>
            <w:r>
              <w:t xml:space="preserve"> </w:t>
            </w:r>
            <w:r>
              <w:t xml:space="preserve">(definición)</w:t>
            </w:r>
          </w:p>
        </w:tc>
        <w:tc>
          <w:tcPr/>
          <w:p>
            <w:pPr>
              <w:pStyle w:val="Compact"/>
              <w:jc w:val="left"/>
            </w:pPr>
            <w:r>
              <w:t xml:space="preserve">H-07</w:t>
            </w:r>
          </w:p>
        </w:tc>
        <w:tc>
          <w:tcPr/>
          <w:p>
            <w:pPr>
              <w:pStyle w:val="Compact"/>
              <w:jc w:val="left"/>
            </w:pPr>
            <w:r>
              <w:t xml:space="preserve">Población obstétrica arbitraria</w:t>
            </w:r>
          </w:p>
        </w:tc>
      </w:tr>
      <w:tr>
        <w:tc>
          <w:tcPr/>
          <w:p>
            <w:pPr>
              <w:pStyle w:val="Compact"/>
              <w:jc w:val="left"/>
            </w:pPr>
            <w:r>
              <w:t xml:space="preserve">16</w:t>
            </w:r>
          </w:p>
        </w:tc>
        <w:tc>
          <w:tcPr/>
          <w:p>
            <w:pPr>
              <w:pStyle w:val="Compact"/>
              <w:jc w:val="left"/>
            </w:pPr>
            <w:r>
              <w:t xml:space="preserve">Hospitales nuevos en GRD sobrerrepresentados en las alertas de estadía</w:t>
            </w:r>
          </w:p>
        </w:tc>
        <w:tc>
          <w:tcPr/>
          <w:p>
            <w:pPr>
              <w:pStyle w:val="Compact"/>
              <w:jc w:val="left"/>
            </w:pPr>
            <w:r>
              <w:rPr>
                <w:bCs/>
                <w:b/>
              </w:rPr>
              <w:t xml:space="preserve">Probable</w:t>
            </w:r>
          </w:p>
        </w:tc>
        <w:tc>
          <w:tcPr/>
          <w:p>
            <w:pPr>
              <w:pStyle w:val="Compact"/>
              <w:jc w:val="left"/>
            </w:pPr>
            <w:r>
              <w:t xml:space="preserve">Fisher p = 0,010</w:t>
            </w:r>
          </w:p>
        </w:tc>
        <w:tc>
          <w:tcPr/>
          <w:p>
            <w:pPr>
              <w:pStyle w:val="Compact"/>
              <w:jc w:val="left"/>
            </w:pPr>
            <w:r>
              <w:t xml:space="preserve">Artefacto de incorporación o de codificación</w:t>
            </w:r>
          </w:p>
        </w:tc>
      </w:tr>
      <w:tr>
        <w:tc>
          <w:tcPr/>
          <w:p>
            <w:pPr>
              <w:pStyle w:val="Compact"/>
              <w:jc w:val="left"/>
            </w:pPr>
            <w:r>
              <w:t xml:space="preserve">17</w:t>
            </w:r>
          </w:p>
        </w:tc>
        <w:tc>
          <w:tcPr/>
          <w:p>
            <w:pPr>
              <w:pStyle w:val="Compact"/>
              <w:jc w:val="left"/>
            </w:pPr>
            <w:r>
              <w:t xml:space="preserve">Alta voluntaria y fuga en la cohorte de estadía</w:t>
            </w:r>
          </w:p>
        </w:tc>
        <w:tc>
          <w:tcPr/>
          <w:p>
            <w:pPr>
              <w:pStyle w:val="Compact"/>
              <w:jc w:val="left"/>
            </w:pPr>
            <w:r>
              <w:rPr>
                <w:bCs/>
                <w:b/>
              </w:rPr>
              <w:t xml:space="preserve">Confirmado</w:t>
            </w:r>
          </w:p>
        </w:tc>
        <w:tc>
          <w:tcPr/>
          <w:p>
            <w:pPr>
              <w:pStyle w:val="Compact"/>
              <w:jc w:val="left"/>
            </w:pPr>
            <w:r>
              <w:t xml:space="preserve">H-08</w:t>
            </w:r>
          </w:p>
        </w:tc>
        <w:tc>
          <w:tcPr/>
          <w:p>
            <w:pPr>
              <w:pStyle w:val="Compact"/>
              <w:jc w:val="left"/>
            </w:pPr>
            <w:r>
              <w:t xml:space="preserve">Estadías cortadas</w:t>
            </w:r>
          </w:p>
        </w:tc>
      </w:tr>
    </w:tbl>
    <w:p>
      <w:r>
        <w:pict>
          <v:rect style="width:0;height:1.5pt" o:hralign="center" o:hrstd="t" o:hr="t"/>
        </w:pict>
      </w:r>
    </w:p>
    <w:bookmarkEnd w:id="34"/>
    <w:bookmarkStart w:id="35" w:name="preguntas-que-haría-el-comité-evaluador"/>
    <w:p>
      <w:pPr>
        <w:pStyle w:val="Heading2"/>
      </w:pPr>
      <w:r>
        <w:t xml:space="preserve">5. Preguntas que haría el comité evaluador</w:t>
      </w:r>
    </w:p>
    <w:p>
      <w:pPr>
        <w:numPr>
          <w:ilvl w:val="0"/>
          <w:numId w:val="1021"/>
        </w:numPr>
        <w:pStyle w:val="Compact"/>
      </w:pPr>
      <w:r>
        <w:rPr>
          <w:bCs/>
          <w:b/>
        </w:rPr>
        <w:t xml:space="preserve">¿Cómo sabe que el O/E mide desempeño y no tipo de hospital?</w:t>
      </w:r>
      <w:r>
        <w:t xml:space="preserve"> </w:t>
      </w:r>
      <w:r>
        <w:rPr>
          <w:iCs/>
          <w:i/>
        </w:rPr>
        <w:t xml:space="preserve">Respuesta sugerida:</w:t>
      </w:r>
      <w:r>
        <w:t xml:space="preserve"> </w:t>
      </w:r>
      <w:r>
        <w:t xml:space="preserve">«No lo sé del todo. Los 3 institutos monográficos quedaron fuera de los límites, así que presento embudos por grupo de pares como análisis secundario declarado. Que el O/E persista entre años indica diferencias sistemáticas, no necesariamente de calidad.»</w:t>
      </w:r>
    </w:p>
    <w:p>
      <w:pPr>
        <w:numPr>
          <w:ilvl w:val="0"/>
          <w:numId w:val="1021"/>
        </w:numPr>
        <w:pStyle w:val="Compact"/>
      </w:pPr>
      <w:r>
        <w:rPr>
          <w:bCs/>
          <w:b/>
        </w:rPr>
        <w:t xml:space="preserve">Sin marcador POA, ¿por qué usar coagulopatía o trastornos hidroelectrolíticos?</w:t>
      </w:r>
      <w:r>
        <w:t xml:space="preserve"> </w:t>
      </w:r>
      <w:r>
        <w:rPr>
          <w:iCs/>
          <w:i/>
        </w:rPr>
        <w:t xml:space="preserve">Respuesta sugerida:</w:t>
      </w:r>
      <w:r>
        <w:t xml:space="preserve"> </w:t>
      </w:r>
      <w:r>
        <w:t xml:space="preserve">«Es el estándar de los HSMR. Medí cuánto depende el modelo de ellas (ΔPR AUC −0,025) y cuántos hospitales cambian de zona sin ellas (mostrar la sensibilidad).»</w:t>
      </w:r>
    </w:p>
    <w:p>
      <w:pPr>
        <w:numPr>
          <w:ilvl w:val="0"/>
          <w:numId w:val="1021"/>
        </w:numPr>
        <w:pStyle w:val="Compact"/>
      </w:pPr>
      <w:r>
        <w:rPr>
          <w:bCs/>
          <w:b/>
        </w:rPr>
        <w:t xml:space="preserve">¿2024 fue realmente un año no visto?</w:t>
      </w:r>
      <w:r>
        <w:t xml:space="preserve"> </w:t>
      </w:r>
      <w:r>
        <w:rPr>
          <w:iCs/>
          <w:i/>
        </w:rPr>
        <w:t xml:space="preserve">Respuesta sugerida:</w:t>
      </w:r>
      <w:r>
        <w:t xml:space="preserve"> </w:t>
      </w:r>
      <w:r>
        <w:t xml:space="preserve">«Ningún desenlace individual de 2024 se usó para decidir. Hubo exposiciones agregadas (la mortalidad cruda en una versión previa, la deriva de codificación) y una lectura del esquema; están listadas. Los criterios son de agosto y el protocolo con huella es anterior a la única lectura registrada.»</w:t>
      </w:r>
    </w:p>
    <w:p>
      <w:pPr>
        <w:numPr>
          <w:ilvl w:val="0"/>
          <w:numId w:val="1021"/>
        </w:numPr>
        <w:pStyle w:val="Compact"/>
      </w:pPr>
      <w:r>
        <w:rPr>
          <w:bCs/>
          <w:b/>
        </w:rPr>
        <w:t xml:space="preserve">¿Por qué cambió la decisión sobre los traslados entrantes, y cuándo?</w:t>
      </w:r>
      <w:r>
        <w:t xml:space="preserve"> </w:t>
      </w:r>
      <w:r>
        <w:rPr>
          <w:iCs/>
          <w:i/>
        </w:rPr>
        <w:t xml:space="preserve">Respuesta sugerida:</w:t>
      </w:r>
      <w:r>
        <w:t xml:space="preserve"> </w:t>
      </w:r>
      <w:r>
        <w:t xml:space="preserve">«La Fase 3 los incluyó por un error de alineamiento que ninguna puerta detectó. Lo detecté en la Fase 5 y lo mantuve para no repetir el examen. La v4 es una enmienda posterior. Muestro la sensibilidad excluyéndolos y la proporción por hospital.»</w:t>
      </w:r>
    </w:p>
    <w:p>
      <w:pPr>
        <w:numPr>
          <w:ilvl w:val="0"/>
          <w:numId w:val="1021"/>
        </w:numPr>
        <w:pStyle w:val="Compact"/>
      </w:pPr>
      <w:r>
        <w:rPr>
          <w:bCs/>
          <w:b/>
        </w:rPr>
        <w:t xml:space="preserve">¿Por qué no hizo la sensibilidad sin 2020–2021 que prometió?</w:t>
      </w:r>
      <w:r>
        <w:t xml:space="preserve"> </w:t>
      </w:r>
      <w:r>
        <w:rPr>
          <w:iCs/>
          <w:i/>
        </w:rPr>
        <w:t xml:space="preserve">Respuesta sugerida:</w:t>
      </w:r>
      <w:r>
        <w:t xml:space="preserve"> </w:t>
      </w:r>
      <w:r>
        <w:t xml:space="preserve">idealmente, «la hice: estos son los resultados en 2023 y, como secundarios, en 2024». Si no alcanza, reconocerlo y mostrar el sesgo en COVID (O/E 0,58).</w:t>
      </w:r>
    </w:p>
    <w:p>
      <w:pPr>
        <w:numPr>
          <w:ilvl w:val="0"/>
          <w:numId w:val="1021"/>
        </w:numPr>
        <w:pStyle w:val="Compact"/>
      </w:pPr>
      <w:r>
        <w:rPr>
          <w:bCs/>
          <w:b/>
        </w:rPr>
        <w:t xml:space="preserve">Con 15,9 % de hospitales fuera, ¿el ajuste es malo?</w:t>
      </w:r>
      <w:r>
        <w:t xml:space="preserve"> </w:t>
      </w:r>
      <w:r>
        <w:rPr>
          <w:iCs/>
          <w:i/>
        </w:rPr>
        <w:t xml:space="preserve">Respuesta sugerida:</w:t>
      </w:r>
      <w:r>
        <w:t xml:space="preserve"> </w:t>
      </w:r>
      <w:r>
        <w:t xml:space="preserve">«Simulé el procedimiento: con heterogeneidad normal da alrededor de 11–13 %. La persistencia entre años (ρ 0,81 y 0,88) indica diferencias reales, y los casos extremos se explican por la casuística (monográficos) y por la derivación.»</w:t>
      </w:r>
    </w:p>
    <w:p>
      <w:pPr>
        <w:numPr>
          <w:ilvl w:val="0"/>
          <w:numId w:val="1021"/>
        </w:numPr>
        <w:pStyle w:val="Compact"/>
      </w:pPr>
      <w:r>
        <w:rPr>
          <w:bCs/>
          <w:b/>
        </w:rPr>
        <w:t xml:space="preserve">¿Por qué Spiegelhalter aditivo y winsorizado, y no un modelo jerárquico como el de CMS?</w:t>
      </w:r>
      <w:r>
        <w:t xml:space="preserve"> </w:t>
      </w:r>
      <w:r>
        <w:rPr>
          <w:iCs/>
          <w:i/>
        </w:rPr>
        <w:t xml:space="preserve">Respuesta sugerida:</w:t>
      </w:r>
      <w:r>
        <w:t xml:space="preserve"> </w:t>
      </w:r>
      <w:r>
        <w:t xml:space="preserve">«Por transparencia y porque tiene precedente (CQC y SHMI). La sensibilidad sin winsorizar deja fuera 6 hospitales. El modelo jerárquico queda como trabajo futuro.»</w:t>
      </w:r>
    </w:p>
    <w:p>
      <w:pPr>
        <w:numPr>
          <w:ilvl w:val="0"/>
          <w:numId w:val="1021"/>
        </w:numPr>
        <w:pStyle w:val="Compact"/>
      </w:pPr>
      <w:r>
        <w:rPr>
          <w:bCs/>
          <w:b/>
        </w:rPr>
        <w:t xml:space="preserve">LightGBM mejora solo 0,033 de PR AUC: ¿vale la complejidad?</w:t>
      </w:r>
      <w:r>
        <w:t xml:space="preserve"> </w:t>
      </w:r>
      <w:r>
        <w:rPr>
          <w:iCs/>
          <w:i/>
        </w:rPr>
        <w:t xml:space="preserve">Respuesta sugerida:</w:t>
      </w:r>
      <w:r>
        <w:t xml:space="preserve"> </w:t>
      </w:r>
      <w:r>
        <w:t xml:space="preserve">«La regla de parsimonia escrita antes lo decidía. Muestro la correlación del O/E por hospital entre LightGBM y la logística: si es cercana a 1, el indicador no depende del algoritmo.» (Hay que calcularla.)</w:t>
      </w:r>
    </w:p>
    <w:p>
      <w:pPr>
        <w:numPr>
          <w:ilvl w:val="0"/>
          <w:numId w:val="1021"/>
        </w:numPr>
        <w:pStyle w:val="Compact"/>
      </w:pPr>
      <w:r>
        <w:rPr>
          <w:bCs/>
          <w:b/>
        </w:rPr>
        <w:t xml:space="preserve">¿Por qué recalibrar con un solo año y no re-basar cada año?</w:t>
      </w:r>
      <w:r>
        <w:t xml:space="preserve"> </w:t>
      </w:r>
      <w:r>
        <w:rPr>
          <w:iCs/>
          <w:i/>
        </w:rPr>
        <w:t xml:space="preserve">Respuesta sugerida:</w:t>
      </w:r>
      <w:r>
        <w:t xml:space="preserve"> </w:t>
      </w:r>
      <w:r>
        <w:t xml:space="preserve">«El protocolo prohibía ajustar con 2024. En el despliegue propongo re-basar cada año. En 2024, re-basar no cambia la proporción fuera de los límites.»</w:t>
      </w:r>
    </w:p>
    <w:p>
      <w:pPr>
        <w:numPr>
          <w:ilvl w:val="0"/>
          <w:numId w:val="1021"/>
        </w:numPr>
        <w:pStyle w:val="Compact"/>
      </w:pPr>
      <w:r>
        <w:rPr>
          <w:bCs/>
          <w:b/>
        </w:rPr>
        <w:t xml:space="preserve">¿El tope de 53 días no oculta justo las estadías que importan?</w:t>
      </w:r>
      <w:r>
        <w:t xml:space="preserve"> </w:t>
      </w:r>
      <w:r>
        <w:rPr>
          <w:iCs/>
          <w:i/>
        </w:rPr>
        <w:t xml:space="preserve">Respuesta sugerida:</w:t>
      </w:r>
      <w:r>
        <w:t xml:space="preserve"> </w:t>
      </w:r>
      <w:r>
        <w:t xml:space="preserve">«Oculta el 10,7 % de los días. Propongo un indicador complementario de cola por hospital.»</w:t>
      </w:r>
    </w:p>
    <w:p>
      <w:pPr>
        <w:numPr>
          <w:ilvl w:val="0"/>
          <w:numId w:val="1021"/>
        </w:numPr>
        <w:pStyle w:val="Compact"/>
      </w:pPr>
      <w:r>
        <w:rPr>
          <w:bCs/>
          <w:b/>
        </w:rPr>
        <w:t xml:space="preserve">¿Qué pasa con los pacientes derivados o enviados a hospitalización domiciliaria?</w:t>
      </w:r>
      <w:r>
        <w:t xml:space="preserve"> </w:t>
      </w:r>
      <w:r>
        <w:rPr>
          <w:iCs/>
          <w:i/>
        </w:rPr>
        <w:t xml:space="preserve">Respuesta sugerida:</w:t>
      </w:r>
      <w:r>
        <w:t xml:space="preserve"> </w:t>
      </w:r>
      <w:r>
        <w:t xml:space="preserve">«Quedan censurados. La tasa de traslado se asocia con el O/E de estadía (ρ −0,28; los hospitales con alerta baja derivan el doble), y lo declaro como alta anticipada. El enlace con el Registro Civil es trabajo futuro.»</w:t>
      </w:r>
    </w:p>
    <w:p>
      <w:pPr>
        <w:numPr>
          <w:ilvl w:val="0"/>
          <w:numId w:val="1021"/>
        </w:numPr>
        <w:pStyle w:val="Compact"/>
      </w:pPr>
      <w:r>
        <w:rPr>
          <w:bCs/>
          <w:b/>
        </w:rPr>
        <w:t xml:space="preserve">¿Se puede reidentificar a alguien con lo que publica?</w:t>
      </w:r>
      <w:r>
        <w:t xml:space="preserve"> </w:t>
      </w:r>
      <w:r>
        <w:rPr>
          <w:iCs/>
          <w:i/>
        </w:rPr>
        <w:t xml:space="preserve">Respuesta sugerida:</w:t>
      </w:r>
      <w:r>
        <w:t xml:space="preserve"> </w:t>
      </w:r>
      <w:r>
        <w:t xml:space="preserve">«No hay registros individuales y las celdas menores que 10 están suprimidas. Detecté y corregí una fuga derivada (O/E × esperado) y un fixture de prueba con valores reales. Los códigos de hospital no anonimizan: la protección es no rankear.»</w:t>
      </w:r>
    </w:p>
    <w:p>
      <w:pPr>
        <w:numPr>
          <w:ilvl w:val="0"/>
          <w:numId w:val="1021"/>
        </w:numPr>
        <w:pStyle w:val="Compact"/>
      </w:pPr>
      <w:r>
        <w:rPr>
          <w:bCs/>
          <w:b/>
        </w:rPr>
        <w:t xml:space="preserve">¿Por qué incluir el nivel de cuidado al ingreso si depende de las camas UCI?</w:t>
      </w:r>
      <w:r>
        <w:t xml:space="preserve"> </w:t>
      </w:r>
      <w:r>
        <w:rPr>
          <w:iCs/>
          <w:i/>
        </w:rPr>
        <w:t xml:space="preserve">Respuesta sugerida:</w:t>
      </w:r>
      <w:r>
        <w:t xml:space="preserve"> </w:t>
      </w:r>
      <w:r>
        <w:t xml:space="preserve">«Es estable entre años y su asociación con el hospital es moderada. Muestro la zona de cada hospital con y sin las 4 variables condicionales.»</w:t>
      </w:r>
    </w:p>
    <w:p>
      <w:pPr>
        <w:numPr>
          <w:ilvl w:val="0"/>
          <w:numId w:val="1021"/>
        </w:numPr>
        <w:pStyle w:val="Compact"/>
      </w:pPr>
      <w:r>
        <w:rPr>
          <w:bCs/>
          <w:b/>
        </w:rPr>
        <w:t xml:space="preserve">¿Quién validó clínicamente las reglas?</w:t>
      </w:r>
      <w:r>
        <w:t xml:space="preserve"> </w:t>
      </w:r>
      <w:r>
        <w:rPr>
          <w:iCs/>
          <w:i/>
        </w:rPr>
        <w:t xml:space="preserve">Respuesta sugerida:</w:t>
      </w:r>
      <w:r>
        <w:t xml:space="preserve"> </w:t>
      </w:r>
      <w:r>
        <w:t xml:space="preserve">«Nadie todavía, y es una limitación. Las reglas se basan en literatura y datos. Pedí revisión de EX03, procedencia y nivel de cuidado antes de la defensa.»</w:t>
      </w:r>
    </w:p>
    <w:p>
      <w:pPr>
        <w:numPr>
          <w:ilvl w:val="0"/>
          <w:numId w:val="1021"/>
        </w:numPr>
        <w:pStyle w:val="Compact"/>
      </w:pPr>
      <w:r>
        <w:rPr>
          <w:bCs/>
          <w:b/>
        </w:rPr>
        <w:t xml:space="preserve">¿Qué pasa si un hospital codifica más paliativos (Z51.5)?</w:t>
      </w:r>
      <w:r>
        <w:t xml:space="preserve"> </w:t>
      </w:r>
      <w:r>
        <w:rPr>
          <w:iCs/>
          <w:i/>
        </w:rPr>
        <w:t xml:space="preserve">Respuesta sugerida:</w:t>
      </w:r>
      <w:r>
        <w:t xml:space="preserve"> </w:t>
      </w:r>
      <w:r>
        <w:t xml:space="preserve">«Su esperado sube. Propongo informar la tasa de Z51.5 por hospital junto al O/E y una sensibilidad sin paliativos.»</w:t>
      </w:r>
    </w:p>
    <w:p>
      <w:r>
        <w:pict>
          <v:rect style="width:0;height:1.5pt" o:hralign="center" o:hrstd="t" o:hr="t"/>
        </w:pict>
      </w:r>
    </w:p>
    <w:bookmarkEnd w:id="35"/>
    <w:bookmarkStart w:id="36" w:name="X04892baaec1cbcf91abd2f80949f9428bd9c37e"/>
    <w:p>
      <w:pPr>
        <w:pStyle w:val="Heading2"/>
      </w:pPr>
      <w:r>
        <w:t xml:space="preserve">6. Plan de mejora (ordenado por impacto / esfuerzo)</w:t>
      </w:r>
    </w:p>
    <w:p>
      <w:pPr>
        <w:pStyle w:val="FirstParagraph"/>
      </w:pPr>
      <w:r>
        <w:rPr>
          <w:bCs/>
          <w:b/>
        </w:rPr>
        <w:t xml:space="preserve">Antes de la defensa.</w:t>
      </w:r>
      <w:r>
        <w:t xml:space="preserve"> </w:t>
      </w:r>
      <w:r>
        <w:t xml:space="preserve">Todo esto se declara como análisis</w:t>
      </w:r>
      <w:r>
        <w:t xml:space="preserve"> </w:t>
      </w:r>
      <w:r>
        <w:rPr>
          <w:bCs/>
          <w:b/>
        </w:rPr>
        <w:t xml:space="preserve">secundario post hoc</w:t>
      </w:r>
      <w:r>
        <w:t xml:space="preserve">; el resultado primario congelado no se toca.</w:t>
      </w:r>
    </w:p>
    <w:p>
      <w:pPr>
        <w:numPr>
          <w:ilvl w:val="0"/>
          <w:numId w:val="1022"/>
        </w:numPr>
        <w:pStyle w:val="Compact"/>
      </w:pPr>
      <w:r>
        <w:rPr>
          <w:bCs/>
          <w:b/>
        </w:rPr>
        <w:t xml:space="preserve">Grupos de pares o exclusión de los monográficos en el embudo</w:t>
      </w:r>
      <w:r>
        <w:t xml:space="preserve"> </w:t>
      </w:r>
      <w:r>
        <w:t xml:space="preserve">(horas). Mostrar qué hospitales cambian de zona. → H-01.</w:t>
      </w:r>
    </w:p>
    <w:p>
      <w:pPr>
        <w:numPr>
          <w:ilvl w:val="0"/>
          <w:numId w:val="1022"/>
        </w:numPr>
        <w:pStyle w:val="Compact"/>
      </w:pPr>
      <w:r>
        <w:rPr>
          <w:bCs/>
          <w:b/>
        </w:rPr>
        <w:t xml:space="preserve">Sensibilidad sin las 5 comorbilidades sospechosas</w:t>
      </w:r>
      <w:r>
        <w:t xml:space="preserve"> </w:t>
      </w:r>
      <w:r>
        <w:t xml:space="preserve">(1 a 2 días con la receta congelada), con el cambio de zona por hospital. → H-02.</w:t>
      </w:r>
    </w:p>
    <w:p>
      <w:pPr>
        <w:numPr>
          <w:ilvl w:val="0"/>
          <w:numId w:val="1022"/>
        </w:numPr>
        <w:pStyle w:val="Compact"/>
      </w:pPr>
      <w:r>
        <w:rPr>
          <w:bCs/>
          <w:b/>
        </w:rPr>
        <w:t xml:space="preserve">Sensibilidad sin 2020–2021</w:t>
      </w:r>
      <w:r>
        <w:t xml:space="preserve"> </w:t>
      </w:r>
      <w:r>
        <w:t xml:space="preserve">(alrededor de 1 semana). → H-04.</w:t>
      </w:r>
    </w:p>
    <w:p>
      <w:pPr>
        <w:numPr>
          <w:ilvl w:val="0"/>
          <w:numId w:val="1022"/>
        </w:numPr>
        <w:pStyle w:val="Compact"/>
      </w:pPr>
      <w:r>
        <w:rPr>
          <w:bCs/>
          <w:b/>
        </w:rPr>
        <w:t xml:space="preserve">Corregir la gobernanza documental</w:t>
      </w:r>
      <w:r>
        <w:t xml:space="preserve">: la F1 v3 como pre-registro, la v4 como enmienda, una matriz de desviaciones (puede ser la §0.3 de esta auditoría) e</w:t>
      </w:r>
      <w:r>
        <w:t xml:space="preserve"> </w:t>
      </w:r>
      <w:r>
        <w:rPr>
          <w:rStyle w:val="VerbatimChar"/>
        </w:rPr>
        <w:t xml:space="preserve">INCIDENTES.md</w:t>
      </w:r>
      <w:r>
        <w:t xml:space="preserve"> </w:t>
      </w:r>
      <w:r>
        <w:t xml:space="preserve">completo. → H-03, H-12, H-13.</w:t>
      </w:r>
    </w:p>
    <w:p>
      <w:pPr>
        <w:numPr>
          <w:ilvl w:val="0"/>
          <w:numId w:val="1022"/>
        </w:numPr>
        <w:pStyle w:val="Compact"/>
      </w:pPr>
      <w:r>
        <w:rPr>
          <w:bCs/>
          <w:b/>
        </w:rPr>
        <w:t xml:space="preserve">Reescribir la conclusión de la F5</w:t>
      </w:r>
      <w:r>
        <w:t xml:space="preserve"> </w:t>
      </w:r>
      <w:r>
        <w:t xml:space="preserve">(«5 cumplen, 2 en el límite»; sesgo global de estadía). → H-11.</w:t>
      </w:r>
    </w:p>
    <w:p>
      <w:pPr>
        <w:numPr>
          <w:ilvl w:val="0"/>
          <w:numId w:val="1022"/>
        </w:numPr>
        <w:pStyle w:val="Compact"/>
      </w:pPr>
      <w:r>
        <w:rPr>
          <w:bCs/>
          <w:b/>
        </w:rPr>
        <w:t xml:space="preserve">Limpiar el fixture de la prueba y revisar el historial de git</w:t>
      </w:r>
      <w:r>
        <w:t xml:space="preserve">; extender el escáner. → H-09.</w:t>
      </w:r>
    </w:p>
    <w:p>
      <w:pPr>
        <w:numPr>
          <w:ilvl w:val="0"/>
          <w:numId w:val="1022"/>
        </w:numPr>
        <w:pStyle w:val="Compact"/>
      </w:pPr>
      <w:r>
        <w:rPr>
          <w:bCs/>
          <w:b/>
        </w:rPr>
        <w:t xml:space="preserve">Reportar el embudo con τ &gt; 0</w:t>
      </w:r>
      <w:r>
        <w:t xml:space="preserve">, sin winsorizar, y la persistencia 2023–2024. → H-05.</w:t>
      </w:r>
    </w:p>
    <w:p>
      <w:pPr>
        <w:numPr>
          <w:ilvl w:val="0"/>
          <w:numId w:val="1022"/>
        </w:numPr>
        <w:pStyle w:val="Compact"/>
      </w:pPr>
      <w:r>
        <w:rPr>
          <w:bCs/>
          <w:b/>
        </w:rPr>
        <w:t xml:space="preserve">Alinear</w:t>
      </w:r>
      <w:r>
        <w:rPr>
          <w:bCs/>
          <w:b/>
        </w:rPr>
        <w:t xml:space="preserve"> </w:t>
      </w:r>
      <w:r>
        <w:rPr>
          <w:rStyle w:val="VerbatimChar"/>
          <w:bCs/>
          <w:b/>
        </w:rPr>
        <w:t xml:space="preserve">rol_estancia</w:t>
      </w:r>
      <w:r>
        <w:t xml:space="preserve"> </w:t>
      </w:r>
      <w:r>
        <w:t xml:space="preserve">y corregir o declarar EX03. → H-07, H-08.</w:t>
      </w:r>
    </w:p>
    <w:p>
      <w:pPr>
        <w:numPr>
          <w:ilvl w:val="0"/>
          <w:numId w:val="1022"/>
        </w:numPr>
        <w:pStyle w:val="Compact"/>
      </w:pPr>
      <w:r>
        <w:rPr>
          <w:bCs/>
          <w:b/>
        </w:rPr>
        <w:t xml:space="preserve">Corregir las citas mal atribuidas del informe</w:t>
      </w:r>
      <w:r>
        <w:t xml:space="preserve"> </w:t>
      </w:r>
      <w:r>
        <w:t xml:space="preserve">(Chen 2023, Zeleke 2023, Guzmán-Muñoz 2025).</w:t>
      </w:r>
    </w:p>
    <w:p>
      <w:pPr>
        <w:pStyle w:val="FirstParagraph"/>
      </w:pPr>
      <w:r>
        <w:rPr>
          <w:bCs/>
          <w:b/>
        </w:rPr>
        <w:t xml:space="preserve">Declarar como limitación</w:t>
      </w:r>
      <w:r>
        <w:t xml:space="preserve">: la ausencia de POA; la falta de variables fisiológicas y de LET; la mortalidad solo intrahospitalaria; un único año de prueba; la deriva de codificación; la estadía topada; la falta de contraparte clínica; la exclusión de pediatría y neonatología; la paradoja del diagnóstico secundario; el sesgo de supervivencia en estadía.</w:t>
      </w:r>
    </w:p>
    <w:p>
      <w:pPr>
        <w:pStyle w:val="BodyText"/>
      </w:pPr>
      <w:r>
        <w:rPr>
          <w:bCs/>
          <w:b/>
        </w:rPr>
        <w:t xml:space="preserve">Trabajo futuro</w:t>
      </w:r>
      <w:r>
        <w:t xml:space="preserve">: modelo jerárquico con encogimiento; mortalidad a 30 días con el Registro Civil; POA; rastreo de traslados desde 2021; indicadores por condición (tipo IQI); re-basado anual; nivel de complejidad DEIS para los grupos de pares; sello criptográfico del año de prueba.</w:t>
      </w:r>
    </w:p>
    <w:p>
      <w:r>
        <w:pict>
          <v:rect style="width:0;height:1.5pt" o:hralign="center" o:hrstd="t" o:hr="t"/>
        </w:pict>
      </w:r>
    </w:p>
    <w:bookmarkEnd w:id="36"/>
    <w:bookmarkStart w:id="39" w:name="X86b4576d712b145e1780e4e0ce34f2b222222c4"/>
    <w:p>
      <w:pPr>
        <w:pStyle w:val="Heading2"/>
      </w:pPr>
      <w:r>
        <w:t xml:space="preserve">7. Lo que no pude verificar y qué necesitaría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Pendiente</w:t>
            </w:r>
          </w:p>
        </w:tc>
        <w:tc>
          <w:tcPr/>
          <w:p>
            <w:pPr>
              <w:pStyle w:val="Compact"/>
              <w:jc w:val="left"/>
            </w:pPr>
            <w:r>
              <w:t xml:space="preserve">Qué necesitaría</w:t>
            </w:r>
          </w:p>
        </w:tc>
      </w:tr>
      <w:tr>
        <w:tc>
          <w:tcPr/>
          <w:p>
            <w:pPr>
              <w:pStyle w:val="Compact"/>
              <w:jc w:val="left"/>
            </w:pPr>
            <w:r>
              <w:t xml:space="preserve">Ejecutar el pipeline y las sensibilidades sobre los microdatos</w:t>
            </w:r>
          </w:p>
        </w:tc>
        <w:tc>
          <w:tcPr/>
          <w:p>
            <w:pPr>
              <w:pStyle w:val="Compact"/>
              <w:jc w:val="left"/>
            </w:pPr>
            <w:r>
              <w:t xml:space="preserve">Acceso a la base completa (</w:t>
            </w:r>
            <w:r>
              <w:rPr>
                <w:rStyle w:val="VerbatimChar"/>
              </w:rPr>
              <w:t xml:space="preserve">data seminario_full</w:t>
            </w:r>
            <w:r>
              <w:t xml:space="preserve">) o ejecución en tu equipo</w:t>
            </w:r>
          </w:p>
        </w:tc>
      </w:tr>
      <w:tr>
        <w:tc>
          <w:tcPr/>
          <w:p>
            <w:pPr>
              <w:pStyle w:val="Compact"/>
              <w:jc w:val="left"/>
            </w:pPr>
            <w:r>
              <w:t xml:space="preserve">De dónde sale el 2,78 % del informe de seminario</w:t>
            </w:r>
          </w:p>
        </w:tc>
        <w:tc>
          <w:tcPr/>
          <w:p>
            <w:pPr>
              <w:pStyle w:val="Compact"/>
              <w:jc w:val="left"/>
            </w:pPr>
            <w:r>
              <w:t xml:space="preserve">La planilla o el script del seminario</w:t>
            </w:r>
          </w:p>
        </w:tc>
      </w:tr>
      <w:tr>
        <w:tc>
          <w:tcPr/>
          <w:p>
            <w:pPr>
              <w:pStyle w:val="Compact"/>
              <w:jc w:val="left"/>
            </w:pPr>
            <w:r>
              <w:t xml:space="preserve">Si el O/E sin suprimir de 110110 está en el historial de git</w:t>
            </w:r>
          </w:p>
        </w:tc>
        <w:tc>
          <w:tcPr/>
          <w:p>
            <w:pPr>
              <w:pStyle w:val="Compact"/>
              <w:jc w:val="left"/>
            </w:pPr>
            <w:r>
              <w:rPr>
                <w:rStyle w:val="VerbatimChar"/>
              </w:rPr>
              <w:t xml:space="preserve">git log -p</w:t>
            </w:r>
            <w:r>
              <w:t xml:space="preserve"> </w:t>
            </w:r>
            <w:r>
              <w:t xml:space="preserve">sobre</w:t>
            </w:r>
            <w:r>
              <w:t xml:space="preserve"> </w:t>
            </w:r>
            <w:r>
              <w:rPr>
                <w:rStyle w:val="VerbatimChar"/>
              </w:rPr>
              <w:t xml:space="preserve">fase5_evaluacion/salidas</w:t>
            </w:r>
            <w:r>
              <w:t xml:space="preserve"> </w:t>
            </w:r>
            <w:r>
              <w:t xml:space="preserve">y</w:t>
            </w:r>
            <w:r>
              <w:t xml:space="preserve"> </w:t>
            </w:r>
            <w:r>
              <w:rPr>
                <w:rStyle w:val="VerbatimChar"/>
              </w:rPr>
              <w:t xml:space="preserve">tests/</w:t>
            </w:r>
          </w:p>
        </w:tc>
      </w:tr>
      <w:tr>
        <w:tc>
          <w:tcPr/>
          <w:p>
            <w:pPr>
              <w:pStyle w:val="Compact"/>
              <w:jc w:val="left"/>
            </w:pPr>
            <w:r>
              <w:t xml:space="preserve">La autorización del profesor guía</w:t>
            </w:r>
          </w:p>
        </w:tc>
        <w:tc>
          <w:tcPr/>
          <w:p>
            <w:pPr>
              <w:pStyle w:val="Compact"/>
              <w:jc w:val="left"/>
            </w:pPr>
            <w:r>
              <w:t xml:space="preserve">Su constancia escrita (está pendiente según la F5)</w:t>
            </w:r>
          </w:p>
        </w:tc>
      </w:tr>
      <w:tr>
        <w:tc>
          <w:tcPr/>
          <w:p>
            <w:pPr>
              <w:pStyle w:val="Compact"/>
              <w:jc w:val="left"/>
            </w:pPr>
            <w:r>
              <w:t xml:space="preserve">Las ablaciones con la base completa (solo vi el extracto)</w:t>
            </w:r>
          </w:p>
        </w:tc>
        <w:tc>
          <w:tcPr/>
          <w:p>
            <w:pPr>
              <w:pStyle w:val="Compact"/>
              <w:jc w:val="left"/>
            </w:pPr>
            <w:r>
              <w:rPr>
                <w:rStyle w:val="VerbatimChar"/>
              </w:rPr>
              <w:t xml:space="preserve">auditoria_ablacion_*.csv</w:t>
            </w:r>
            <w:r>
              <w:t xml:space="preserve"> </w:t>
            </w:r>
            <w:r>
              <w:t xml:space="preserve">de la corrida completa</w:t>
            </w:r>
          </w:p>
        </w:tc>
      </w:tr>
      <w:tr>
        <w:tc>
          <w:tcPr/>
          <w:p>
            <w:pPr>
              <w:pStyle w:val="Compact"/>
              <w:jc w:val="left"/>
            </w:pPr>
            <w:r>
              <w:t xml:space="preserve">El nivel de complejidad de los hospitales</w:t>
            </w:r>
          </w:p>
        </w:tc>
        <w:tc>
          <w:tcPr/>
          <w:p>
            <w:pPr>
              <w:pStyle w:val="Compact"/>
              <w:jc w:val="left"/>
            </w:pPr>
            <w:r>
              <w:t xml:space="preserve">El catálogo DEIS de establecimientos (Hospitales.csv no lo trae)</w:t>
            </w:r>
          </w:p>
        </w:tc>
      </w:tr>
      <w:tr>
        <w:tc>
          <w:tcPr/>
          <w:p>
            <w:pPr>
              <w:pStyle w:val="Compact"/>
              <w:jc w:val="left"/>
            </w:pPr>
            <w:r>
              <w:t xml:space="preserve">La versión de la F2 que reportó la mortalidad de 2024</w:t>
            </w:r>
          </w:p>
        </w:tc>
        <w:tc>
          <w:tcPr/>
          <w:p>
            <w:pPr>
              <w:pStyle w:val="Compact"/>
              <w:jc w:val="left"/>
            </w:pPr>
            <w:r>
              <w:t xml:space="preserve">Ese documento, para fechar la exposición</w:t>
            </w:r>
          </w:p>
        </w:tc>
      </w:tr>
      <w:tr>
        <w:tc>
          <w:tcPr/>
          <w:p>
            <w:pPr>
              <w:pStyle w:val="Compact"/>
              <w:jc w:val="left"/>
            </w:pPr>
            <w:r>
              <w:t xml:space="preserve">El código de la Fase 2 (1,4 MB)</w:t>
            </w:r>
          </w:p>
        </w:tc>
        <w:tc>
          <w:tcPr/>
          <w:p>
            <w:pPr>
              <w:pStyle w:val="Compact"/>
              <w:jc w:val="left"/>
            </w:pPr>
            <w:r>
              <w:t xml:space="preserve">Lo revisé por sus tablas, no línea por línea</w:t>
            </w:r>
          </w:p>
        </w:tc>
      </w:tr>
      <w:tr>
        <w:tc>
          <w:tcPr/>
          <w:p>
            <w:pPr>
              <w:pStyle w:val="Compact"/>
              <w:jc w:val="left"/>
            </w:pPr>
            <w:r>
              <w:t xml:space="preserve">La vigencia actual de la Ley 21.719</w:t>
            </w:r>
          </w:p>
        </w:tc>
        <w:tc>
          <w:tcPr/>
          <w:p>
            <w:pPr>
              <w:pStyle w:val="Compact"/>
              <w:jc w:val="left"/>
            </w:pPr>
            <w:r>
              <w:t xml:space="preserve">Confirmar si se aprobó la postergación a diciembre de 2027 (</w:t>
            </w:r>
            <w:hyperlink r:id="rId37">
              <w:r>
                <w:rPr>
                  <w:rStyle w:val="Hyperlink"/>
                </w:rPr>
                <w:t xml:space="preserve">Diario Constitucional, jun. 2026</w:t>
              </w:r>
            </w:hyperlink>
            <w:r>
              <w:t xml:space="preserve">;</w:t>
            </w:r>
            <w:r>
              <w:t xml:space="preserve"> </w:t>
            </w:r>
            <w:hyperlink r:id="rId38">
              <w:r>
                <w:rPr>
                  <w:rStyle w:val="Hyperlink"/>
                </w:rPr>
                <w:t xml:space="preserve">Ecosistema Startup, sept. 2026</w:t>
              </w:r>
            </w:hyperlink>
            <w:r>
              <w:t xml:space="preserve">)</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ecosistemastartup.com/?p=104145" TargetMode="External" /><Relationship Type="http://schemas.openxmlformats.org/officeDocument/2006/relationships/hyperlink" Id="rId31" Target="https://rdrr.io/cran/FunnelPlotR/man/funnel_plot.html" TargetMode="External" /><Relationship Type="http://schemas.openxmlformats.org/officeDocument/2006/relationships/hyperlink" Id="rId37" Target="https://www.diarioconstitucional.cl/2026/06/12/la-ley-21-719-entra-en-vigor-el-1-de-diciembre-y-expone-vacios-en-regulacion-de-pequenas-empresas/" TargetMode="External" /></Relationships>
</file>

<file path=word/_rels/footnotes.xml.rels><?xml version="1.0" encoding="UTF-8"?><Relationships xmlns="http://schemas.openxmlformats.org/package/2006/relationships"><Relationship Type="http://schemas.openxmlformats.org/officeDocument/2006/relationships/hyperlink" Id="rId38" Target="https://ecosistemastartup.com/?p=104145" TargetMode="External" /><Relationship Type="http://schemas.openxmlformats.org/officeDocument/2006/relationships/hyperlink" Id="rId31" Target="https://rdrr.io/cran/FunnelPlotR/man/funnel_plot.html" TargetMode="External" /><Relationship Type="http://schemas.openxmlformats.org/officeDocument/2006/relationships/hyperlink" Id="rId37" Target="https://www.diarioconstitucional.cl/2026/06/12/la-ley-21-719-entra-en-vigor-el-1-de-diciembre-y-expone-vacios-en-regulacion-de-pequenas-empres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2026-10-21T03:07:47Z</dcterms:created>
  <dcterms:modified xsi:type="dcterms:W3CDTF">2026-10-21T03:07:47Z</dcterms:modified>
</cp:coreProperties>
</file>

<file path=docProps/custom.xml><?xml version="1.0" encoding="utf-8"?>
<Properties xmlns="http://schemas.openxmlformats.org/officeDocument/2006/custom-properties" xmlns:vt="http://schemas.openxmlformats.org/officeDocument/2006/docPropsVTypes"/>
</file>