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00000"/>
          <w:sz w:val="24"/>
          <w:szCs w:val="24"/>
        </w:rPr>
        <w:t xml:space="preserve">UNIVERSIDAD DE SANTIAGO DE CHILE</w:t>
      </w:r>
    </w:p>
    <w:p>
      <w:pPr>
        <w:spacing w:after="60"/>
        <w:jc w:val="center"/>
      </w:pPr>
      <w:r>
        <w:rPr>
          <w:b/>
          <w:bCs/>
          <w:color w:val="000000"/>
          <w:sz w:val="24"/>
          <w:szCs w:val="24"/>
        </w:rPr>
        <w:t xml:space="preserve">FACULTAD DE INGENIERÍA</w:t>
      </w:r>
    </w:p>
    <w:p>
      <w:pPr>
        <w:spacing w:after="1200"/>
        <w:jc w:val="center"/>
      </w:pPr>
      <w:r>
        <w:rPr>
          <w:b/>
          <w:bCs/>
          <w:color w:val="000000"/>
          <w:sz w:val="24"/>
          <w:szCs w:val="24"/>
        </w:rPr>
        <w:t xml:space="preserve">DEPARTAMENTO DE INGENIERÍA INFORMÁTICA</w:t>
      </w:r>
    </w:p>
    <w:p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 xml:space="preserve">INFORME TÉCNICO — FASE 1</w:t>
      </w:r>
    </w:p>
    <w:p>
      <w:pPr>
        <w:spacing w:after="160"/>
        <w:jc w:val="center"/>
      </w:pPr>
      <w:r>
        <w:rPr>
          <w:b/>
          <w:bCs/>
          <w:color w:val="1F3864"/>
          <w:sz w:val="40"/>
          <w:szCs w:val="40"/>
        </w:rPr>
        <w:t xml:space="preserve">COMPRENSIÓN DEL DOMINIO</w:t>
      </w:r>
    </w:p>
    <w:p>
      <w:pPr>
        <w:spacing w:after="1000"/>
        <w:jc w:val="center"/>
      </w:pPr>
      <w:r>
        <w:rPr>
          <w:color w:val="404040"/>
          <w:sz w:val="24"/>
          <w:szCs w:val="24"/>
        </w:rPr>
        <w:t xml:space="preserve">Qué problema resuelve el proyecto, con qué datos y bajo qué reglas</w:t>
      </w:r>
    </w:p>
    <w:p>
      <w:pPr>
        <w:spacing w:after="60"/>
        <w:jc w:val="center"/>
      </w:pPr>
      <w:r>
        <w:rPr>
          <w:b/>
          <w:bCs/>
          <w:color w:val="000000"/>
          <w:sz w:val="24"/>
          <w:szCs w:val="24"/>
        </w:rPr>
        <w:t xml:space="preserve">Proyecto de Tesis</w:t>
      </w:r>
    </w:p>
    <w:p>
      <w:pPr>
        <w:spacing w:after="60"/>
        <w:jc w:val="center"/>
      </w:pPr>
      <w:r>
        <w:rPr>
          <w:color w:val="000000"/>
          <w:sz w:val="24"/>
          <w:szCs w:val="24"/>
        </w:rPr>
        <w:t xml:space="preserve">Sistema de evaluación del desempeño hospitalario</w:t>
      </w:r>
    </w:p>
    <w:p>
      <w:pPr>
        <w:spacing w:after="900"/>
        <w:jc w:val="center"/>
      </w:pPr>
      <w:r>
        <w:rPr>
          <w:color w:val="000000"/>
          <w:sz w:val="24"/>
          <w:szCs w:val="24"/>
        </w:rPr>
        <w:t xml:space="preserve">ajustado por riesgo mediante aprendizaje automático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21"/>
                <w:szCs w:val="21"/>
              </w:rPr>
              <w:t xml:space="preserve">Estudiante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21"/>
                <w:szCs w:val="21"/>
              </w:rPr>
              <w:t xml:space="preserve">Felipe Ignacio Baeza Muñoz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21"/>
                <w:szCs w:val="21"/>
              </w:rPr>
              <w:t xml:space="preserve">Profesor guía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21"/>
                <w:szCs w:val="21"/>
              </w:rPr>
              <w:t xml:space="preserve">Manuel Villalobos Cid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21"/>
                <w:szCs w:val="21"/>
              </w:rPr>
              <w:t xml:space="preserve">Carrera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21"/>
                <w:szCs w:val="21"/>
              </w:rPr>
              <w:t xml:space="preserve">Ingeniería de Ejecución en Computación e Informática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21"/>
                <w:szCs w:val="21"/>
              </w:rPr>
              <w:t xml:space="preserve">Fecha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21"/>
                <w:szCs w:val="21"/>
              </w:rPr>
              <w:t xml:space="preserve">Octubre 2026 · Versión 5 (verificada por reproducción independiente)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none" w:color="FFFFFF" w:sz="0"/>
              <w:left w:val="single" w:color="2E5AAC" w:sz="24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2E5AAC"/>
              </w:rPr>
              <w:t xml:space="preserve">Cómo leer este informe</w:t>
            </w:r>
          </w:p>
          <w:p>
            <w:pPr>
              <w:spacing w:after="60" w:line="264"/>
            </w:pPr>
            <w:r>
              <w:t xml:space="preserve">Este informe explica la Fase 1 para alguien que llega recién al proyecto. Solo describe lo que </w:t>
            </w:r>
            <w:r>
              <w:rPr>
                <w:b/>
                <w:bCs/>
              </w:rPr>
              <w:t xml:space="preserve">de verdad se ejecutó</w:t>
            </w:r>
            <w:r>
              <w:t xml:space="preserve">: cada cifra sale de una tabla del repositorio y fue comprobada en una </w:t>
            </w:r>
            <w:r>
              <w:rPr>
                <w:b/>
                <w:bCs/>
              </w:rPr>
              <w:t xml:space="preserve">reproducción independiente desde cero</w:t>
            </w:r>
            <w:r>
              <w:t xml:space="preserve"> (octubre de 2026), que corrió el código sin cambios sobre los archivos originales de FONASA.</w:t>
            </w:r>
          </w:p>
          <w:p>
            <w:pPr>
              <w:spacing w:after="60" w:line="264"/>
            </w:pPr>
            <w:r>
              <w:t xml:space="preserve">Las decisiones que cambiaron en el camino se muestran con su fecha y con si fueron </w:t>
            </w:r>
            <w:r>
              <w:rPr>
                <w:b/>
                <w:bCs/>
              </w:rPr>
              <w:t xml:space="preserve">antes o después de abrir el año 2024</w:t>
            </w:r>
            <w:r>
              <w:t xml:space="preserve"> (el examen final de los modelos). Las versiones anteriores del informe se conservan sin cambios 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docs/historial/</w:t>
            </w:r>
            <w:r>
              <w:t xml:space="preserve">.</w:t>
            </w:r>
          </w:p>
          <w:p>
            <w:pPr>
              <w:spacing w:after="60" w:line="264"/>
            </w:pPr>
            <w:r>
              <w:t xml:space="preserve">La Fase 1 no tiene código: es el diseño del proyecto. Por eso este informe dice, para cada regla, </w:t>
            </w:r>
            <w:r>
              <w:rPr>
                <w:b/>
                <w:bCs/>
              </w:rPr>
              <w:t xml:space="preserve">dónde se aplicó</w:t>
            </w:r>
            <w:r>
              <w:t xml:space="preserve"> en las fases siguientes y si se cumplió.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1. Lo esencial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AF1FB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3864"/>
                <w:sz w:val="34"/>
                <w:szCs w:val="34"/>
              </w:rPr>
              <w:t xml:space="preserve">5.808.535</w:t>
            </w:r>
          </w:p>
          <w:p>
            <w:pPr>
              <w:spacing w:after="0"/>
              <w:jc w:val="center"/>
            </w:pPr>
            <w:r>
              <w:rPr>
                <w:color w:val="404040"/>
                <w:sz w:val="17"/>
                <w:szCs w:val="17"/>
              </w:rPr>
              <w:t xml:space="preserve">egresos hospitalarios</w:t>
            </w:r>
          </w:p>
          <w:p>
            <w:pPr>
              <w:spacing w:after="0"/>
              <w:jc w:val="center"/>
            </w:pPr>
            <w:r>
              <w:rPr>
                <w:color w:val="404040"/>
                <w:sz w:val="17"/>
                <w:szCs w:val="17"/>
              </w:rPr>
              <w:t xml:space="preserve">2019–2024 (FONASA)</w:t>
            </w:r>
          </w:p>
        </w:tc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AF1FB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3864"/>
                <w:sz w:val="34"/>
                <w:szCs w:val="34"/>
              </w:rPr>
              <w:t xml:space="preserve">8</w:t>
            </w:r>
          </w:p>
          <w:p>
            <w:pPr>
              <w:spacing w:after="0"/>
              <w:jc w:val="center"/>
            </w:pPr>
            <w:r>
              <w:rPr>
                <w:color w:val="404040"/>
                <w:sz w:val="17"/>
                <w:szCs w:val="17"/>
              </w:rPr>
              <w:t xml:space="preserve">reglas que ninguna</w:t>
            </w:r>
          </w:p>
          <w:p>
            <w:pPr>
              <w:spacing w:after="0"/>
              <w:jc w:val="center"/>
            </w:pPr>
            <w:r>
              <w:rPr>
                <w:color w:val="404040"/>
                <w:sz w:val="17"/>
                <w:szCs w:val="17"/>
              </w:rPr>
              <w:t xml:space="preserve">fase puede romper</w:t>
            </w:r>
          </w:p>
        </w:tc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AF1FB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3864"/>
                <w:sz w:val="34"/>
                <w:szCs w:val="34"/>
              </w:rPr>
              <w:t xml:space="preserve">17</w:t>
            </w:r>
          </w:p>
          <w:p>
            <w:pPr>
              <w:spacing w:after="0"/>
              <w:jc w:val="center"/>
            </w:pPr>
            <w:r>
              <w:rPr>
                <w:color w:val="404040"/>
                <w:sz w:val="17"/>
                <w:szCs w:val="17"/>
              </w:rPr>
              <w:t xml:space="preserve">decisiones de diseño,</w:t>
            </w:r>
          </w:p>
          <w:p>
            <w:pPr>
              <w:spacing w:after="0"/>
              <w:jc w:val="center"/>
            </w:pPr>
            <w:r>
              <w:rPr>
                <w:color w:val="404040"/>
                <w:sz w:val="17"/>
                <w:szCs w:val="17"/>
              </w:rPr>
              <w:t xml:space="preserve">con su estado final</w:t>
            </w:r>
          </w:p>
        </w:tc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AF1FB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3864"/>
                <w:sz w:val="34"/>
                <w:szCs w:val="34"/>
              </w:rPr>
              <w:t xml:space="preserve">7</w:t>
            </w:r>
          </w:p>
          <w:p>
            <w:pPr>
              <w:spacing w:after="0"/>
              <w:jc w:val="center"/>
            </w:pPr>
            <w:r>
              <w:rPr>
                <w:color w:val="404040"/>
                <w:sz w:val="17"/>
                <w:szCs w:val="17"/>
              </w:rPr>
              <w:t xml:space="preserve">criterios de aceptación</w:t>
            </w:r>
          </w:p>
          <w:p>
            <w:pPr>
              <w:spacing w:after="0"/>
              <w:jc w:val="center"/>
            </w:pPr>
            <w:r>
              <w:rPr>
                <w:color w:val="404040"/>
                <w:sz w:val="17"/>
                <w:szCs w:val="17"/>
              </w:rPr>
              <w:t xml:space="preserve">de los modelos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En Chile, cada egreso de un hospital público queda registrado en el sistema GRD (Grupos Relacionados por el Diagnóstico). Hoy no existe un indicador público que compare hospitales </w:t>
      </w:r>
      <w:r>
        <w:rPr>
          <w:b/>
          <w:bCs/>
        </w:rPr>
        <w:t xml:space="preserve">ajustando por la gravedad de sus pacientes</w:t>
      </w:r>
      <w:r>
        <w:t xml:space="preserve">: las cifras oficiales son promedios brutos, y un hospital que recibe pacientes más graves parece peor aunque trabaje igual de bien.</w:t>
      </w:r>
    </w:p>
    <w:p>
      <w:pPr>
        <w:spacing w:after="120" w:line="276"/>
      </w:pPr>
      <w:r>
        <w:t xml:space="preserve">El proyecto construye ese ajuste. Con los egresos 2019–2024 entrega cuatro piezas: (1) el procesamiento de los datos, (2) dos modelos que estiman cuántas </w:t>
      </w:r>
      <w:r>
        <w:rPr>
          <w:b/>
          <w:bCs/>
        </w:rPr>
        <w:t xml:space="preserve">muertes</w:t>
      </w:r>
      <w:r>
        <w:t xml:space="preserve"> y cuántos </w:t>
      </w:r>
      <w:r>
        <w:rPr>
          <w:b/>
          <w:bCs/>
        </w:rPr>
        <w:t xml:space="preserve">días de estadía</w:t>
      </w:r>
      <w:r>
        <w:t xml:space="preserve"> se esperan según el perfil de los pacientes, (3) la razón </w:t>
      </w:r>
      <w:r>
        <w:rPr>
          <w:b/>
          <w:bCs/>
        </w:rPr>
        <w:t xml:space="preserve">Observado/Esperado (O/E)</w:t>
      </w:r>
      <w:r>
        <w:t xml:space="preserve"> por hospital, leída con gráficos de embudo, y (4) una plataforma web.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none" w:color="FFFFFF" w:sz="0"/>
              <w:left w:val="single" w:color="7F7F7F" w:sz="24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7F7F7F"/>
              </w:rPr>
              <w:t xml:space="preserve">Qué es y qué no es el indicador</w:t>
            </w:r>
          </w:p>
          <w:p>
            <w:pPr>
              <w:spacing w:after="60" w:line="264"/>
              <w:ind w:left="240" w:hanging="200"/>
            </w:pPr>
            <w:r>
              <w:t xml:space="preserve">•  </w:t>
            </w:r>
            <w:r>
              <w:rPr>
                <w:b/>
                <w:bCs/>
              </w:rPr>
              <w:t xml:space="preserve">Es</w:t>
            </w:r>
            <w:r>
              <w:t xml:space="preserve"> una señal estadística: dice dónde un hospital se aparta de lo esperado más de lo que el azar explicaría.</w:t>
            </w:r>
          </w:p>
          <w:p>
            <w:pPr>
              <w:spacing w:after="60" w:line="264"/>
              <w:ind w:left="240" w:hanging="200"/>
            </w:pPr>
            <w:r>
              <w:t xml:space="preserve">•  </w:t>
            </w:r>
            <w:r>
              <w:rPr>
                <w:b/>
                <w:bCs/>
              </w:rPr>
              <w:t xml:space="preserve">No es</w:t>
            </w:r>
            <w:r>
              <w:t xml:space="preserve"> una medida directa de calidad, no prueba causalidad, no reemplaza una auditoría clínica y </w:t>
            </w:r>
            <w:r>
              <w:rPr>
                <w:b/>
                <w:bCs/>
              </w:rPr>
              <w:t xml:space="preserve">no se presenta como ranking</w:t>
            </w:r>
            <w:r>
              <w:t xml:space="preserve">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Dónde está esta fase dentro del proyecto</w:t>
      </w:r>
    </w:p>
    <w:p>
      <w:pPr>
        <w:spacing w:after="120" w:line="276"/>
      </w:pPr>
      <w:r>
        <w:t xml:space="preserve">El proyecto sigue CRISP-DM (</w:t>
      </w:r>
      <w:r>
        <w:rPr>
          <w:i/>
          <w:iCs/>
        </w:rPr>
        <w:t xml:space="preserve">Cross-Industry Standard Process for Data Mining</w:t>
      </w:r>
      <w:r>
        <w:t xml:space="preserve">), un método en seis fases. Cada fase tiene su carpeta de código y su informe: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71"/>
        <w:gridCol w:w="3153"/>
        <w:gridCol w:w="2463"/>
        <w:gridCol w:w="1773"/>
      </w:tblGrid>
      <w:tr>
        <w:trPr>
          <w:tblHeader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31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Pregunta que responde</w:t>
            </w:r>
          </w:p>
        </w:tc>
        <w:tc>
          <w:tcPr>
            <w:tcW w:type="dxa" w:w="24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Carpeta de código</w:t>
            </w:r>
          </w:p>
        </w:tc>
        <w:tc>
          <w:tcPr>
            <w:tcW w:type="dxa" w:w="177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1. Comprensión del dominio</w:t>
            </w:r>
          </w:p>
        </w:tc>
        <w:tc>
          <w:tcPr>
            <w:tcW w:type="dxa" w:w="31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¿Qué problema se resuelve y con qué reglas?</w:t>
            </w:r>
          </w:p>
        </w:tc>
        <w:tc>
          <w:tcPr>
            <w:tcW w:type="dxa" w:w="24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— (solo documentos)</w:t>
            </w:r>
          </w:p>
        </w:tc>
        <w:tc>
          <w:tcPr>
            <w:tcW w:type="dxa" w:w="177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Cerrada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2. Comprensión de los datos</w:t>
            </w:r>
          </w:p>
        </w:tc>
        <w:tc>
          <w:tcPr>
            <w:tcW w:type="dxa" w:w="31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¿Los datos permiten hacerlo así?</w:t>
            </w:r>
          </w:p>
        </w:tc>
        <w:tc>
          <w:tcPr>
            <w:tcW w:type="dxa" w:w="24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fase2_eda/</w:t>
            </w:r>
          </w:p>
        </w:tc>
        <w:tc>
          <w:tcPr>
            <w:tcW w:type="dxa" w:w="177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Cerrada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3. Preparación de los datos</w:t>
            </w:r>
          </w:p>
        </w:tc>
        <w:tc>
          <w:tcPr>
            <w:tcW w:type="dxa" w:w="31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¿Cómo se limpian y quién entra a cada modelo?</w:t>
            </w:r>
          </w:p>
        </w:tc>
        <w:tc>
          <w:tcPr>
            <w:tcW w:type="dxa" w:w="24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fase3_preparacion/</w:t>
            </w:r>
          </w:p>
        </w:tc>
        <w:tc>
          <w:tcPr>
            <w:tcW w:type="dxa" w:w="177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Cerrada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4. Modelado</w:t>
            </w:r>
          </w:p>
        </w:tc>
        <w:tc>
          <w:tcPr>
            <w:tcW w:type="dxa" w:w="31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¿Qué modelo predice mejor y cómo se calibra?</w:t>
            </w:r>
          </w:p>
        </w:tc>
        <w:tc>
          <w:tcPr>
            <w:tcW w:type="dxa" w:w="24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fase4_modelado/</w:t>
            </w:r>
          </w:p>
        </w:tc>
        <w:tc>
          <w:tcPr>
            <w:tcW w:type="dxa" w:w="177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Cerrada; modelos congelados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5. Evaluación</w:t>
            </w:r>
          </w:p>
        </w:tc>
        <w:tc>
          <w:tcPr>
            <w:tcW w:type="dxa" w:w="31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¿Funcionan los modelos en 2024 y qué dice el indicador?</w:t>
            </w:r>
          </w:p>
        </w:tc>
        <w:tc>
          <w:tcPr>
            <w:tcW w:type="dxa" w:w="24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fase5_evaluacion/</w:t>
            </w:r>
          </w:p>
        </w:tc>
        <w:tc>
          <w:tcPr>
            <w:tcW w:type="dxa" w:w="177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Cerrada; 2024 abierto una vez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6. Despliegue</w:t>
            </w:r>
          </w:p>
        </w:tc>
        <w:tc>
          <w:tcPr>
            <w:tcW w:type="dxa" w:w="31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¿Cómo se entrega el indicador?</w:t>
            </w:r>
          </w:p>
        </w:tc>
        <w:tc>
          <w:tcPr>
            <w:tcW w:type="dxa" w:w="24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fase6_despliegue/</w:t>
            </w:r>
          </w:p>
        </w:tc>
        <w:tc>
          <w:tcPr>
            <w:tcW w:type="dxa" w:w="177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En desarrollo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2. Usuarios y objetivo</w:t>
      </w:r>
    </w:p>
    <w:p>
      <w:pPr>
        <w:spacing w:after="120" w:line="276"/>
      </w:pPr>
      <w:r>
        <w:t xml:space="preserve">Los usuarios principales son </w:t>
      </w:r>
      <w:r>
        <w:rPr>
          <w:b/>
          <w:bCs/>
        </w:rPr>
        <w:t xml:space="preserve">gestores y autoridades de salud</w:t>
      </w:r>
      <w:r>
        <w:t xml:space="preserve">, que necesitan una señal comparable y justa para orientar revisiones internas. Un usuario secundario es la ciudadanía, a la que se ofrece una demostración pedagógica del modelo (sin datos personales).</w:t>
      </w:r>
    </w:p>
    <w:p>
      <w:pPr>
        <w:spacing w:after="120" w:line="276"/>
      </w:pPr>
      <w:r>
        <w:t xml:space="preserve">Además de los criterios del modelo (sección 7), el proyecto fijó criterios para el sistema: respuesta de la demo en menos de 2 segundos, ningún dato personal guardado, coherencia entre el tablero y la API, ausencia de rankings y reproducibilidad completa desde los archivos originales.</w:t>
      </w:r>
    </w:p>
    <w:p>
      <w:pPr>
        <w:pStyle w:val="Heading1"/>
      </w:pPr>
      <w:r>
        <w:t xml:space="preserve">3. Los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70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Fuente</w:t>
            </w:r>
          </w:p>
        </w:tc>
        <w:tc>
          <w:tcPr>
            <w:tcW w:type="dxa" w:w="70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FONASA, solicitada por la Ley 20.285 de Transparencia (oficio N.º 23364, solicitud T10901).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Período y volumen</w:t>
            </w:r>
          </w:p>
        </w:tc>
        <w:tc>
          <w:tcPr>
            <w:tcW w:type="dxa" w:w="70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Egresos 2019 a 2024: </w:t>
            </w:r>
            <w:r>
              <w:rPr>
                <w:sz w:val="19"/>
                <w:szCs w:val="19"/>
              </w:rPr>
              <w:t xml:space="preserve">5.808.535 registros</w:t>
            </w:r>
            <w:r>
              <w:rPr>
                <w:sz w:val="19"/>
                <w:szCs w:val="19"/>
              </w:rPr>
              <w:t xml:space="preserve"> en seis archivos de texto (uno por año), 129 columnas.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Privacidad</w:t>
            </w:r>
          </w:p>
        </w:tc>
        <w:tc>
          <w:tcPr>
            <w:tcW w:type="dxa" w:w="70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Sin RUT, nombre ni contacto; </w:t>
            </w:r>
            <w:r>
              <w:rPr>
                <w:sz w:val="19"/>
                <w:szCs w:val="19"/>
              </w:rPr>
              <w:t xml:space="preserve">sí trae fechas exactas</w:t>
            </w:r>
            <w:r>
              <w:rPr>
                <w:sz w:val="19"/>
                <w:szCs w:val="19"/>
              </w:rPr>
              <w:t xml:space="preserve"> de nacimiento, ingreso y alta, por lo que se trata como dato sensible.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Hospitales</w:t>
            </w:r>
          </w:p>
        </w:tc>
        <w:tc>
          <w:tcPr>
            <w:tcW w:type="dxa" w:w="70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72 códigos distintos: 65 por año en 2019–2022, 68 en 2023 y 72 en 2024.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Identificador del paciente</w:t>
            </w:r>
          </w:p>
        </w:tc>
        <w:tc>
          <w:tcPr>
            <w:tcW w:type="dxa" w:w="70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Cambia de sistema entre 2020 y 2021: no se puede seguir a una persona entre ambos períodos. En 2024 la columna se llama ID_BENEFICIARIO.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Catálogos</w:t>
            </w:r>
          </w:p>
        </w:tc>
        <w:tc>
          <w:tcPr>
            <w:tcW w:type="dxa" w:w="70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CIE-10, CIE-9, IR-GRD, hospitales y tablas auxiliares, en la raíz del repositorio.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 Las ocho reglas</w:t>
      </w:r>
    </w:p>
    <w:p>
      <w:pPr>
        <w:spacing w:after="120" w:line="276"/>
      </w:pPr>
      <w:r>
        <w:t xml:space="preserve">Estas reglas se fijaron antes de modelar y valen para todas las fases. La última columna dice dónde se comprobó cada una.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88"/>
        <w:gridCol w:w="4160"/>
        <w:gridCol w:w="2912"/>
      </w:tblGrid>
      <w:tr>
        <w:trPr>
          <w:tblHeader/>
        </w:trPr>
        <w:tc>
          <w:tcPr>
            <w:tcW w:type="dxa" w:w="22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dice</w:t>
            </w:r>
          </w:p>
        </w:tc>
        <w:tc>
          <w:tcPr>
            <w:tcW w:type="dxa" w:w="29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Dónde se comprobó</w:t>
            </w:r>
          </w:p>
        </w:tc>
      </w:tr>
      <w:tr>
        <w:trPr>
          <w:cantSplit/>
        </w:trPr>
        <w:tc>
          <w:tcPr>
            <w:tcW w:type="dxa" w:w="22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R1</w:t>
            </w:r>
            <w:r>
              <w:rPr>
                <w:sz w:val="19"/>
                <w:szCs w:val="19"/>
              </w:rPr>
              <w:t xml:space="preserve"> Nada que revele el desenlace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 se usan datos generados durante la hospitalización (procedimientos, fecha de alta, severidad del GRD). Los diagnósticos son una excepción declarada.</w:t>
            </w:r>
          </w:p>
        </w:tc>
        <w:tc>
          <w:tcPr>
            <w:tcW w:type="dxa" w:w="29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Fase 2 (prueba de fuga) y Fase 3 (columnas prohibidas no pasan a Plata)</w:t>
            </w:r>
          </w:p>
        </w:tc>
      </w:tr>
      <w:tr>
        <w:trPr>
          <w:cantSplit/>
        </w:trPr>
        <w:tc>
          <w:tcPr>
            <w:tcW w:type="dxa" w:w="22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R2</w:t>
            </w:r>
            <w:r>
              <w:rPr>
                <w:sz w:val="19"/>
                <w:szCs w:val="19"/>
              </w:rPr>
              <w:t xml:space="preserve"> El hospital no es predictor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Prohibidos el código del hospital, el Servicio de Salud y todo lo que identifique al establecimiento.</w:t>
            </w:r>
          </w:p>
        </w:tc>
        <w:tc>
          <w:tcPr>
            <w:tcW w:type="dxa" w:w="29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Fase 4, puerta G3 y prueba de identificación del hospital</w:t>
            </w:r>
          </w:p>
        </w:tc>
      </w:tr>
      <w:tr>
        <w:trPr>
          <w:cantSplit/>
        </w:trPr>
        <w:tc>
          <w:tcPr>
            <w:tcW w:type="dxa" w:w="22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R3</w:t>
            </w:r>
            <w:r>
              <w:rPr>
                <w:sz w:val="19"/>
                <w:szCs w:val="19"/>
              </w:rPr>
              <w:t xml:space="preserve"> Las enfermedades previas son el núcleo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Las 31 categorías de Elixhauser se calculan solo con diagnósticos secundarios, nunca con el principal.</w:t>
            </w:r>
          </w:p>
        </w:tc>
        <w:tc>
          <w:tcPr>
            <w:tcW w:type="dxa" w:w="29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Fase 2 (con el principal, «tumor sólido» sube 109 %) y Fase 3</w:t>
            </w:r>
          </w:p>
        </w:tc>
      </w:tr>
      <w:tr>
        <w:trPr>
          <w:cantSplit/>
        </w:trPr>
        <w:tc>
          <w:tcPr>
            <w:tcW w:type="dxa" w:w="22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R4</w:t>
            </w:r>
            <w:r>
              <w:rPr>
                <w:sz w:val="19"/>
                <w:szCs w:val="19"/>
              </w:rPr>
              <w:t xml:space="preserve"> Los originales son inmutables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Los archivos de FONASA no se modifican; todo se procesa en capas.</w:t>
            </w:r>
          </w:p>
        </w:tc>
        <w:tc>
          <w:tcPr>
            <w:tcW w:type="dxa" w:w="29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Fase 3 (Bronce) y reproducción: huellas SHA-256 iguales</w:t>
            </w:r>
          </w:p>
        </w:tc>
      </w:tr>
      <w:tr>
        <w:trPr>
          <w:cantSplit/>
        </w:trPr>
        <w:tc>
          <w:tcPr>
            <w:tcW w:type="dxa" w:w="22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R5</w:t>
            </w:r>
            <w:r>
              <w:rPr>
                <w:sz w:val="19"/>
                <w:szCs w:val="19"/>
              </w:rPr>
              <w:t xml:space="preserve"> Errores se anulan, no se imputan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Un valor imposible se deja vacío y se cuenta; nunca se rellena.</w:t>
            </w:r>
          </w:p>
        </w:tc>
        <w:tc>
          <w:tcPr>
            <w:tcW w:type="dxa" w:w="29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Fase 3, tabla de valores anulados</w:t>
            </w:r>
          </w:p>
        </w:tc>
      </w:tr>
      <w:tr>
        <w:trPr>
          <w:cantSplit/>
        </w:trPr>
        <w:tc>
          <w:tcPr>
            <w:tcW w:type="dxa" w:w="22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R6</w:t>
            </w:r>
            <w:r>
              <w:rPr>
                <w:sz w:val="19"/>
                <w:szCs w:val="19"/>
              </w:rPr>
              <w:t xml:space="preserve"> Riesgo de mortalidad del GRD prohibido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IR_29301_MORTALIDAD, SEVERIDAD y PESO quedan fuera: el agrupador los calcula con todo lo ocurrido.</w:t>
            </w:r>
          </w:p>
        </w:tc>
        <w:tc>
          <w:tcPr>
            <w:tcW w:type="dxa" w:w="29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Fase 2: AUC 0,876 y 0,861 en 2023, sobre el umbral de fuga 0,85</w:t>
            </w:r>
          </w:p>
        </w:tc>
      </w:tr>
      <w:tr>
        <w:trPr>
          <w:cantSplit/>
        </w:trPr>
        <w:tc>
          <w:tcPr>
            <w:tcW w:type="dxa" w:w="22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R7</w:t>
            </w:r>
            <w:r>
              <w:rPr>
                <w:sz w:val="19"/>
                <w:szCs w:val="19"/>
              </w:rPr>
              <w:t xml:space="preserve"> Validar con datos nunca vistos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El rendimiento final se mide solo en 2024.</w:t>
            </w:r>
          </w:p>
        </w:tc>
        <w:tc>
          <w:tcPr>
            <w:tcW w:type="dxa" w:w="29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Fases 3–5: 2024 sellado y abierto una sola vez</w:t>
            </w:r>
          </w:p>
        </w:tc>
      </w:tr>
      <w:tr>
        <w:trPr>
          <w:cantSplit/>
        </w:trPr>
        <w:tc>
          <w:tcPr>
            <w:tcW w:type="dxa" w:w="22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R8</w:t>
            </w:r>
            <w:r>
              <w:rPr>
                <w:sz w:val="19"/>
                <w:szCs w:val="19"/>
              </w:rPr>
              <w:t xml:space="preserve"> Fallecidos fuera del modelo de estadía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El modelo de días se entrena solo con sobrevivientes.</w:t>
            </w:r>
          </w:p>
        </w:tc>
        <w:tc>
          <w:tcPr>
            <w:tcW w:type="dxa" w:w="29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Fase 3, exclusión EX07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5. Quiénes entran al análisis</w:t>
      </w:r>
    </w:p>
    <w:p>
      <w:pPr>
        <w:spacing w:after="120" w:line="276"/>
      </w:pPr>
      <w:r>
        <w:t xml:space="preserve">El análisis se hace sobre </w:t>
      </w:r>
      <w:r>
        <w:rPr>
          <w:b/>
          <w:bCs/>
        </w:rPr>
        <w:t xml:space="preserve">adultos hospitalizados con desenlace conocido</w:t>
      </w:r>
      <w:r>
        <w:t xml:space="preserve">. La Fase 3 aplica ocho exclusiones en orden; después de cada una queda una cohorte con nombre: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0"/>
        <w:gridCol w:w="5200"/>
        <w:gridCol w:w="3120"/>
      </w:tblGrid>
      <w:tr>
        <w:trPr>
          <w:tblHeader/>
        </w:trPr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Cohorte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es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qué se usa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Sin GRD inválido, sin recién nacidos (MDC 15) y sin partos sin comorbilidad (MDC 14)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Base común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B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A, solo adultos (18 años o más)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Decisión 5: la mortalidad infantil sigue otra lógica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B, solo hospitalización (sin actividad ambulatoria)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Única cohorte que existe también en 2024 antes de abrir el desenlace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C, sin traslados ni altas sin desenlace conocido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Modelo de mortalidad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D, solo sobrevivientes con al menos 1 día de estadía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Modelo de estadía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Los traslados </w:t>
      </w:r>
      <w:r>
        <w:rPr>
          <w:b/>
          <w:bCs/>
        </w:rPr>
        <w:t xml:space="preserve">salientes</w:t>
      </w:r>
      <w:r>
        <w:t xml:space="preserve"> quedan fuera (no se sabe si el paciente sobrevivió) y se muestra la tasa de traslado de cada hospital como contexto. Los traslados </w:t>
      </w:r>
      <w:r>
        <w:rPr>
          <w:b/>
          <w:bCs/>
        </w:rPr>
        <w:t xml:space="preserve">entrantes</w:t>
      </w:r>
      <w:r>
        <w:t xml:space="preserve"> se incluyen y se ajustan con la variable de procedencia (ver la decisión 16, que cambió).</w:t>
      </w:r>
    </w:p>
    <w:p>
      <w:pPr>
        <w:pStyle w:val="Heading1"/>
      </w:pPr>
      <w:r>
        <w:t xml:space="preserve">6. Modelos, partición temporal e indicador</w:t>
      </w:r>
    </w:p>
    <w:p>
      <w:pPr>
        <w:pStyle w:val="Heading2"/>
      </w:pPr>
      <w:r>
        <w:t xml:space="preserve">6.1 Los dos modelos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Mortalidad intrahospitalaria</w:t>
      </w:r>
      <w:r>
        <w:t xml:space="preserve"> (sí/no), cohorte D. Línea base: regresión logística regularizada.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Días de estadía</w:t>
      </w:r>
      <w:r>
        <w:t xml:space="preserve">, cohorte E, con un tope en el percentil 99 de 2019–2022 (</w:t>
      </w:r>
      <w:r>
        <w:rPr>
          <w:b/>
          <w:bCs/>
        </w:rPr>
        <w:t xml:space="preserve">53 días</w:t>
      </w:r>
      <w:r>
        <w:t xml:space="preserve">), aplicado igual a observados y esperados. Líneas base: regresión de Poisson y regresión lineal.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Predictores permitidos: edad, sexo, ingreso en fin de semana, tipo de ingreso, procedencia (dos niveles), nivel de cuidado al ingreso, diagnóstico principal (3 caracteres), grupo clínico y las 31 categorías de Elixhauser. No se rebalancean clases, porque el O/E depende de que las probabilidades estén bien calibradas.</w:t>
      </w:r>
    </w:p>
    <w:p>
      <w:pPr>
        <w:pStyle w:val="Heading2"/>
      </w:pPr>
      <w:r>
        <w:t xml:space="preserve">6.2 Partición temporal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6"/>
        <w:gridCol w:w="4368"/>
        <w:gridCol w:w="3536"/>
      </w:tblGrid>
      <w:tr>
        <w:trPr>
          <w:tblHeader/>
        </w:trPr>
        <w:tc>
          <w:tcPr>
            <w:tcW w:type="dxa" w:w="14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Años</w:t>
            </w:r>
          </w:p>
        </w:tc>
        <w:tc>
          <w:tcPr>
            <w:tcW w:type="dxa" w:w="43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  <w:tc>
          <w:tcPr>
            <w:tcW w:type="dxa" w:w="35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qué</w:t>
            </w:r>
          </w:p>
        </w:tc>
      </w:tr>
      <w:tr>
        <w:trPr>
          <w:cantSplit/>
        </w:trPr>
        <w:tc>
          <w:tcPr>
            <w:tcW w:type="dxa" w:w="14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2019–2022</w:t>
            </w:r>
          </w:p>
        </w:tc>
        <w:tc>
          <w:tcPr>
            <w:tcW w:type="dxa" w:w="43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Entrenar y elegir hiperparámetros (dos pliegues hacia adelante: 2019–20 → 2021 y 2019–21 → 2022)</w:t>
            </w:r>
          </w:p>
        </w:tc>
        <w:tc>
          <w:tcPr>
            <w:tcW w:type="dxa" w:w="35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Nunca se usa el futuro para predecir el pasado</w:t>
            </w:r>
          </w:p>
        </w:tc>
      </w:tr>
      <w:tr>
        <w:trPr>
          <w:cantSplit/>
        </w:trPr>
        <w:tc>
          <w:tcPr>
            <w:tcW w:type="dxa" w:w="14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2023</w:t>
            </w:r>
          </w:p>
        </w:tc>
        <w:tc>
          <w:tcPr>
            <w:tcW w:type="dxa" w:w="43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Recalibrar el nivel de las predicciones</w:t>
            </w:r>
          </w:p>
        </w:tc>
        <w:tc>
          <w:tcPr>
            <w:tcW w:type="dxa" w:w="35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La pandemia cambió el nivel de mortalidad; se ajusta con el año más reciente</w:t>
            </w:r>
          </w:p>
        </w:tc>
      </w:tr>
      <w:tr>
        <w:trPr>
          <w:cantSplit/>
        </w:trPr>
        <w:tc>
          <w:tcPr>
            <w:tcW w:type="dxa" w:w="14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2024</w:t>
            </w:r>
          </w:p>
        </w:tc>
        <w:tc>
          <w:tcPr>
            <w:tcW w:type="dxa" w:w="43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Examen final</w:t>
            </w:r>
            <w:r>
              <w:rPr>
                <w:sz w:val="19"/>
                <w:szCs w:val="19"/>
              </w:rPr>
              <w:t xml:space="preserve">, sellado hasta la Fase 5 y abierto una sola vez</w:t>
            </w:r>
          </w:p>
        </w:tc>
        <w:tc>
          <w:tcPr>
            <w:tcW w:type="dxa" w:w="35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Regla R7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6.3 El indicador O/E y el gráfico de embudo</w:t>
      </w:r>
    </w:p>
    <w:p>
      <w:pPr>
        <w:spacing w:after="120" w:line="276"/>
      </w:pPr>
      <w:r>
        <w:t xml:space="preserve">Para cada hospital se suman las muertes (o días) </w:t>
      </w:r>
      <w:r>
        <w:rPr>
          <w:b/>
          <w:bCs/>
        </w:rPr>
        <w:t xml:space="preserve">observadas</w:t>
      </w:r>
      <w:r>
        <w:t xml:space="preserve"> y las </w:t>
      </w:r>
      <w:r>
        <w:rPr>
          <w:b/>
          <w:bCs/>
        </w:rPr>
        <w:t xml:space="preserve">esperadas</w:t>
      </w:r>
      <w:r>
        <w:t xml:space="preserve"> por el modelo; su cociente es el O/E. Un O/E de 1 significa «lo esperado». Como con pocos pacientes el cociente varía mucho por azar, se usa un </w:t>
      </w:r>
      <w:r>
        <w:rPr>
          <w:b/>
          <w:bCs/>
        </w:rPr>
        <w:t xml:space="preserve">gráfico de embudo</w:t>
      </w:r>
      <w:r>
        <w:t xml:space="preserve"> (Spiegelhalter, 2005): cada hospital es un punto según su volumen esperado, y las curvas marcan hasta dónde llega el azar más la variación habitual entre hospitales.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80"/>
        <w:gridCol w:w="7280"/>
      </w:tblGrid>
      <w:tr>
        <w:trPr>
          <w:tblHeader/>
        </w:trPr>
        <w:tc>
          <w:tcPr>
            <w:tcW w:type="dxa" w:w="2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7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 fijado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Límites</w:t>
            </w:r>
          </w:p>
        </w:tc>
        <w:tc>
          <w:tcPr>
            <w:tcW w:type="dxa" w:w="7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95 % (alerta) y 99,8 % (señal), con corrección aditiva de sobredispersión (τ² de DerSimonian-Laird sobre puntajes z winsorizados al 10 %)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Volumen mínimo</w:t>
            </w:r>
          </w:p>
        </w:tc>
        <w:tc>
          <w:tcPr>
            <w:tcW w:type="dxa" w:w="7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500 egresos y 10 eventos esperados en el año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Privacidad</w:t>
            </w:r>
          </w:p>
        </w:tc>
        <w:tc>
          <w:tcPr>
            <w:tcW w:type="dxa" w:w="7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Ninguna cifra basada en 1 a 9 casos; hospitales solo por código, ordenados por código, sin ranking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Lectura acompañante</w:t>
            </w:r>
          </w:p>
        </w:tc>
        <w:tc>
          <w:tcPr>
            <w:tcW w:type="dxa" w:w="7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Índice de exhaustividad de la codificación y tasas de traslado por hospital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7. Criterios de aceptación de los modelos</w:t>
      </w:r>
    </w:p>
    <w:p>
      <w:pPr>
        <w:spacing w:after="120" w:line="276"/>
      </w:pPr>
      <w:r>
        <w:t xml:space="preserve">Se fijaron antes de abrir 2024, junto con lo que se haría si alguno fallaba. La Fase 5 los aplicó con intervalos de confianza del 95 % (1.000 remuestreos de hospitales completos).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14"/>
        <w:gridCol w:w="2214"/>
        <w:gridCol w:w="2315"/>
        <w:gridCol w:w="2617"/>
      </w:tblGrid>
      <w:tr>
        <w:trPr>
          <w:tblHeader/>
        </w:trPr>
        <w:tc>
          <w:tcPr>
            <w:tcW w:type="dxa" w:w="22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22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Umbral</w:t>
            </w:r>
          </w:p>
        </w:tc>
        <w:tc>
          <w:tcPr>
            <w:tcW w:type="dxa" w:w="23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 no se cumple</w:t>
            </w:r>
          </w:p>
        </w:tc>
        <w:tc>
          <w:tcPr>
            <w:tcW w:type="dxa" w:w="261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 en 2024 (Fase 5)</w:t>
            </w:r>
          </w:p>
        </w:tc>
      </w:tr>
      <w:tr>
        <w:trPr>
          <w:cantSplit/>
        </w:trPr>
        <w:tc>
          <w:tcPr>
            <w:tcW w:type="dxa" w:w="22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Discriminación de mortalidad</w:t>
            </w:r>
          </w:p>
        </w:tc>
        <w:tc>
          <w:tcPr>
            <w:tcW w:type="dxa" w:w="22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PR AUC mayor que la logística</w:t>
            </w:r>
          </w:p>
        </w:tc>
        <w:tc>
          <w:tcPr>
            <w:tcW w:type="dxa" w:w="23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El modelo final es la logística</w:t>
            </w:r>
          </w:p>
        </w:tc>
        <w:tc>
          <w:tcPr>
            <w:tcW w:type="dxa" w:w="261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Cumple (+0,033)</w:t>
            </w:r>
          </w:p>
        </w:tc>
      </w:tr>
      <w:tr>
        <w:trPr>
          <w:cantSplit/>
        </w:trPr>
        <w:tc>
          <w:tcPr>
            <w:tcW w:type="dxa" w:w="22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Error de estadía</w:t>
            </w:r>
          </w:p>
        </w:tc>
        <w:tc>
          <w:tcPr>
            <w:tcW w:type="dxa" w:w="22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RMSE menor que regresión lineal y Poisson</w:t>
            </w:r>
          </w:p>
        </w:tc>
        <w:tc>
          <w:tcPr>
            <w:tcW w:type="dxa" w:w="23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El modelo final es la línea base</w:t>
            </w:r>
          </w:p>
        </w:tc>
        <w:tc>
          <w:tcPr>
            <w:tcW w:type="dxa" w:w="261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Cumple (−0,19 y −0,25 días)</w:t>
            </w:r>
          </w:p>
        </w:tc>
      </w:tr>
      <w:tr>
        <w:trPr>
          <w:cantSplit/>
        </w:trPr>
        <w:tc>
          <w:tcPr>
            <w:tcW w:type="dxa" w:w="22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Calibración</w:t>
            </w:r>
          </w:p>
        </w:tc>
        <w:tc>
          <w:tcPr>
            <w:tcW w:type="dxa" w:w="22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Brier Skill Score &gt; 0</w:t>
            </w:r>
          </w:p>
        </w:tc>
        <w:tc>
          <w:tcPr>
            <w:tcW w:type="dxa" w:w="23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Recalibrar; si no, no usar</w:t>
            </w:r>
          </w:p>
        </w:tc>
        <w:tc>
          <w:tcPr>
            <w:tcW w:type="dxa" w:w="261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Cumple (0,227)</w:t>
            </w:r>
          </w:p>
        </w:tc>
      </w:tr>
      <w:tr>
        <w:trPr>
          <w:cantSplit/>
        </w:trPr>
        <w:tc>
          <w:tcPr>
            <w:tcW w:type="dxa" w:w="22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Pendiente de calibración</w:t>
            </w:r>
          </w:p>
        </w:tc>
        <w:tc>
          <w:tcPr>
            <w:tcW w:type="dxa" w:w="22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Entre 0,8 y 1,2</w:t>
            </w:r>
          </w:p>
        </w:tc>
        <w:tc>
          <w:tcPr>
            <w:tcW w:type="dxa" w:w="23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Recalibrar y reportar</w:t>
            </w:r>
          </w:p>
        </w:tc>
        <w:tc>
          <w:tcPr>
            <w:tcW w:type="dxa" w:w="261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Cumple (1,018)</w:t>
            </w:r>
          </w:p>
        </w:tc>
      </w:tr>
      <w:tr>
        <w:trPr>
          <w:cantSplit/>
        </w:trPr>
        <w:tc>
          <w:tcPr>
            <w:tcW w:type="dxa" w:w="22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O/E global de mortalidad</w:t>
            </w:r>
          </w:p>
        </w:tc>
        <w:tc>
          <w:tcPr>
            <w:tcW w:type="dxa" w:w="22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Entre 0,95 y 1,05</w:t>
            </w:r>
          </w:p>
        </w:tc>
        <w:tc>
          <w:tcPr>
            <w:tcW w:type="dxa" w:w="23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Recalibrar y reportar</w:t>
            </w:r>
          </w:p>
        </w:tc>
        <w:tc>
          <w:tcPr>
            <w:tcW w:type="dxa" w:w="261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Cumple con incertidumbre (0,979; IC 0,937–1,021)</w:t>
            </w:r>
          </w:p>
        </w:tc>
      </w:tr>
      <w:tr>
        <w:trPr>
          <w:cantSplit/>
        </w:trPr>
        <w:tc>
          <w:tcPr>
            <w:tcW w:type="dxa" w:w="22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O/E global de estadía</w:t>
            </w:r>
          </w:p>
        </w:tc>
        <w:tc>
          <w:tcPr>
            <w:tcW w:type="dxa" w:w="22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Entre 0,95 y 1,05</w:t>
            </w:r>
          </w:p>
        </w:tc>
        <w:tc>
          <w:tcPr>
            <w:tcW w:type="dxa" w:w="23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Revisar tope y objetivo</w:t>
            </w:r>
          </w:p>
        </w:tc>
        <w:tc>
          <w:tcPr>
            <w:tcW w:type="dxa" w:w="261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Cumple con incertidumbre (0,957; IC 0,929–0,984, bajo 1)</w:t>
            </w:r>
          </w:p>
        </w:tc>
      </w:tr>
      <w:tr>
        <w:trPr>
          <w:cantSplit/>
        </w:trPr>
        <w:tc>
          <w:tcPr>
            <w:tcW w:type="dxa" w:w="22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Gráficos de embudo</w:t>
            </w:r>
          </w:p>
        </w:tc>
        <w:tc>
          <w:tcPr>
            <w:tcW w:type="dxa" w:w="22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Límites 95 % y 99,8 %</w:t>
            </w:r>
          </w:p>
        </w:tc>
        <w:tc>
          <w:tcPr>
            <w:tcW w:type="dxa" w:w="231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Revisar corrección si casi todos quedan marcados</w:t>
            </w:r>
          </w:p>
        </w:tc>
        <w:tc>
          <w:tcPr>
            <w:tcW w:type="dxa" w:w="261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15,9 % fuera del 95 % en ambas tareas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8. Las 17 decisiones de diseño y cómo quedaron</w:t>
      </w:r>
    </w:p>
    <w:p>
      <w:pPr>
        <w:spacing w:after="120" w:line="276"/>
      </w:pPr>
      <w:r>
        <w:t xml:space="preserve">La Fase 1 dejó 17 decisiones abiertas; la Fase 2 midió la evidencia de cada una. Esta tabla dice cómo quedó </w:t>
      </w:r>
      <w:r>
        <w:rPr>
          <w:b/>
          <w:bCs/>
        </w:rPr>
        <w:t xml:space="preserve">lo que realmente se ejecutó</w:t>
      </w:r>
      <w:r>
        <w:t xml:space="preserve"> y, si cambió, cuándo. El profesor guía otorgó libertad al estudiante para adoptarlas.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0"/>
        <w:gridCol w:w="2238"/>
        <w:gridCol w:w="4477"/>
        <w:gridCol w:w="2035"/>
      </w:tblGrid>
      <w:tr>
        <w:trPr>
          <w:tblHeader/>
        </w:trPr>
        <w:tc>
          <w:tcPr>
            <w:tcW w:type="dxa" w:w="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N.º</w:t>
            </w:r>
          </w:p>
        </w:tc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44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Cómo quedó (lo ejecutado)</w:t>
            </w:r>
          </w:p>
        </w:tc>
        <w:tc>
          <w:tcPr>
            <w:tcW w:type="dxa" w:w="20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¿Cambió?</w:t>
            </w:r>
          </w:p>
        </w:tc>
      </w:tr>
      <w:tr>
        <w:trPr>
          <w:cantSplit/>
        </w:trPr>
        <w:tc>
          <w:tcPr>
            <w:tcW w:type="dxa" w:w="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Historial del paciente</w:t>
            </w:r>
          </w:p>
        </w:tc>
        <w:tc>
          <w:tcPr>
            <w:tcW w:type="dxa" w:w="44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 se usa: es factible, pero no aporta señal (AUC +0,000 y +0,003)</w:t>
            </w:r>
          </w:p>
        </w:tc>
        <w:tc>
          <w:tcPr>
            <w:tcW w:type="dxa" w:w="20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Variables condicionales</w:t>
            </w:r>
          </w:p>
        </w:tc>
        <w:tc>
          <w:tcPr>
            <w:tcW w:type="dxa" w:w="44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Fuera especialidad, servicio y derivado; dentro nivel de cuidado, tipo de ingreso y procedencia</w:t>
            </w:r>
          </w:p>
        </w:tc>
        <w:tc>
          <w:tcPr>
            <w:tcW w:type="dxa" w:w="20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Variables de equidad</w:t>
            </w:r>
          </w:p>
        </w:tc>
        <w:tc>
          <w:tcPr>
            <w:tcW w:type="dxa" w:w="44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Provincia, comuna y Servicio de Salud fuera (identifican al hospital)</w:t>
            </w:r>
          </w:p>
        </w:tc>
        <w:tc>
          <w:tcPr>
            <w:tcW w:type="dxa" w:w="20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Etnia</w:t>
            </w:r>
          </w:p>
        </w:tc>
        <w:tc>
          <w:tcPr>
            <w:tcW w:type="dxa" w:w="44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Fuera del modelo; solo descripción</w:t>
            </w:r>
          </w:p>
        </w:tc>
        <w:tc>
          <w:tcPr>
            <w:tcW w:type="dxa" w:w="20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Población</w:t>
            </w:r>
          </w:p>
        </w:tc>
        <w:tc>
          <w:tcPr>
            <w:tcW w:type="dxa" w:w="44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Solo adultos (18+); 3 hospitales pediátricos quedan fuera</w:t>
            </w:r>
          </w:p>
        </w:tc>
        <w:tc>
          <w:tcPr>
            <w:tcW w:type="dxa" w:w="20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Volumen mínimo</w:t>
            </w:r>
          </w:p>
        </w:tc>
        <w:tc>
          <w:tcPr>
            <w:tcW w:type="dxa" w:w="44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500 egresos y 10 eventos esperados</w:t>
            </w:r>
          </w:p>
        </w:tc>
        <w:tc>
          <w:tcPr>
            <w:tcW w:type="dxa" w:w="20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Estadías largas</w:t>
            </w:r>
          </w:p>
        </w:tc>
        <w:tc>
          <w:tcPr>
            <w:tcW w:type="dxa" w:w="44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Tope en 53 días (p99 de 2019–2022), en observados y esperados</w:t>
            </w:r>
          </w:p>
        </w:tc>
        <w:tc>
          <w:tcPr>
            <w:tcW w:type="dxa" w:w="20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Sensibilidad sin 5 categorías de Elixhauser</w:t>
            </w:r>
          </w:p>
        </w:tc>
        <w:tc>
          <w:tcPr>
            <w:tcW w:type="dxa" w:w="44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Retirada en el proyecto; la auditoría la corrió como exploratoria (ver Fase 4)</w:t>
            </w:r>
          </w:p>
        </w:tc>
        <w:tc>
          <w:tcPr>
            <w:tcW w:type="dxa" w:w="20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Sí: de planificada a retirada</w:t>
            </w:r>
          </w:p>
        </w:tc>
      </w:tr>
      <w:tr>
        <w:trPr>
          <w:cantSplit/>
        </w:trPr>
        <w:tc>
          <w:tcPr>
            <w:tcW w:type="dxa" w:w="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Meta O/E de estadía</w:t>
            </w:r>
          </w:p>
        </w:tc>
        <w:tc>
          <w:tcPr>
            <w:tcW w:type="dxa" w:w="44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Banda 0,95–1,05; objetivo Tweedie para la estadía</w:t>
            </w:r>
          </w:p>
        </w:tc>
        <w:tc>
          <w:tcPr>
            <w:tcW w:type="dxa" w:w="20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Nombre de los hospitales</w:t>
            </w:r>
          </w:p>
        </w:tc>
        <w:tc>
          <w:tcPr>
            <w:tcW w:type="dxa" w:w="44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Solo códigos en el prototipo</w:t>
            </w:r>
          </w:p>
        </w:tc>
        <w:tc>
          <w:tcPr>
            <w:tcW w:type="dxa" w:w="20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Valores con forma de RUT</w:t>
            </w:r>
          </w:p>
        </w:tc>
        <w:tc>
          <w:tcPr>
            <w:tcW w:type="dxa" w:w="44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22 valores en dos columnas de 2019: se cuentan y esas columnas no pasan a Plata; sin carta a FONASA</w:t>
            </w:r>
          </w:p>
        </w:tc>
        <w:tc>
          <w:tcPr>
            <w:tcW w:type="dxa" w:w="20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Sí: se descartó la carta</w:t>
            </w:r>
          </w:p>
        </w:tc>
      </w:tr>
      <w:tr>
        <w:trPr>
          <w:cantSplit/>
        </w:trPr>
        <w:tc>
          <w:tcPr>
            <w:tcW w:type="dxa" w:w="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Revisión clínica</w:t>
            </w:r>
          </w:p>
        </w:tc>
        <w:tc>
          <w:tcPr>
            <w:tcW w:type="dxa" w:w="44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Pendiente</w:t>
            </w:r>
            <w:r>
              <w:rPr>
                <w:sz w:val="19"/>
                <w:szCs w:val="19"/>
              </w:rPr>
              <w:t xml:space="preserve">: no hay contraparte clínica</w:t>
            </w:r>
          </w:p>
        </w:tc>
        <w:tc>
          <w:tcPr>
            <w:tcW w:type="dxa" w:w="20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Rastreo de traslados salientes</w:t>
            </w:r>
          </w:p>
        </w:tc>
        <w:tc>
          <w:tcPr>
            <w:tcW w:type="dxa" w:w="44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 se rastrean: quedan censurados</w:t>
            </w:r>
          </w:p>
        </w:tc>
        <w:tc>
          <w:tcPr>
            <w:tcW w:type="dxa" w:w="20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Sí: de «rastrear en 2021–2024» a retirado</w:t>
            </w:r>
          </w:p>
        </w:tc>
      </w:tr>
      <w:tr>
        <w:trPr>
          <w:cantSplit/>
        </w:trPr>
        <w:tc>
          <w:tcPr>
            <w:tcW w:type="dxa" w:w="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Severidad y riesgo del GRD</w:t>
            </w:r>
          </w:p>
        </w:tc>
        <w:tc>
          <w:tcPr>
            <w:tcW w:type="dxa" w:w="44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Fuera del modelo, sin excepciones</w:t>
            </w:r>
          </w:p>
        </w:tc>
        <w:tc>
          <w:tcPr>
            <w:tcW w:type="dxa" w:w="20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Estadía 0 y ambulatorios</w:t>
            </w:r>
          </w:p>
        </w:tc>
        <w:tc>
          <w:tcPr>
            <w:tcW w:type="dxa" w:w="44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Ambulatorios fuera; estadía 0 dentro en mortalidad y fuera en estadía</w:t>
            </w:r>
          </w:p>
        </w:tc>
        <w:tc>
          <w:tcPr>
            <w:tcW w:type="dxa" w:w="20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Traslados entrantes</w:t>
            </w:r>
          </w:p>
        </w:tc>
        <w:tc>
          <w:tcPr>
            <w:tcW w:type="dxa" w:w="44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Incluidos</w:t>
            </w:r>
            <w:r>
              <w:rPr>
                <w:sz w:val="19"/>
                <w:szCs w:val="19"/>
              </w:rPr>
              <w:t xml:space="preserve"> en modelos y O/E, ajustados por TIPO_PROCEDENCIA</w:t>
            </w:r>
          </w:p>
        </w:tc>
        <w:tc>
          <w:tcPr>
            <w:tcW w:type="dxa" w:w="20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Sí: la v3 los excluía</w:t>
            </w:r>
            <w:r>
              <w:rPr>
                <w:sz w:val="19"/>
                <w:szCs w:val="19"/>
              </w:rPr>
              <w:t xml:space="preserve"> (ver 8.1)</w:t>
            </w:r>
          </w:p>
        </w:tc>
      </w:tr>
      <w:tr>
        <w:trPr>
          <w:cantSplit/>
        </w:trPr>
        <w:tc>
          <w:tcPr>
            <w:tcW w:type="dxa" w:w="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Ventana de entrenamiento</w:t>
            </w:r>
          </w:p>
        </w:tc>
        <w:tc>
          <w:tcPr>
            <w:tcW w:type="dxa" w:w="44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2019–2022 completo y recalibración con 2023; la sensibilidad sin 2020–2021 no se hizo en el proyecto (la auditoría la corrió como exploratoria)</w:t>
            </w:r>
          </w:p>
        </w:tc>
        <w:tc>
          <w:tcPr>
            <w:tcW w:type="dxa" w:w="20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Parcial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8.1 Lo que conviene saber sobre los cambios</w:t>
      </w:r>
    </w:p>
    <w:p>
      <w:pPr>
        <w:spacing w:after="120" w:line="276"/>
      </w:pPr>
      <w:r>
        <w:t xml:space="preserve">Hay tres cambios con consecuencias. Se muestran tal como ocurrieron, con la hora en UTC: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71"/>
        <w:gridCol w:w="5419"/>
        <w:gridCol w:w="1970"/>
      </w:tblGrid>
      <w:tr>
        <w:trPr>
          <w:tblHeader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 (UTC)</w:t>
            </w:r>
          </w:p>
        </w:tc>
        <w:tc>
          <w:tcPr>
            <w:tcW w:type="dxa" w:w="54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Hecho</w:t>
            </w:r>
          </w:p>
        </w:tc>
        <w:tc>
          <w:tcPr>
            <w:tcW w:type="dxa" w:w="19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¿Antes o después de abrir 2024?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18-10-2026</w:t>
            </w:r>
          </w:p>
        </w:tc>
        <w:tc>
          <w:tcPr>
            <w:tcW w:type="dxa" w:w="54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Fase 3 ejecutada; informe de la Fase 3 y planes de las Fases 3 y 4</w:t>
            </w:r>
          </w:p>
        </w:tc>
        <w:tc>
          <w:tcPr>
            <w:tcW w:type="dxa" w:w="19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Antes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19-10-2026 03:01</w:t>
            </w:r>
          </w:p>
        </w:tc>
        <w:tc>
          <w:tcPr>
            <w:tcW w:type="dxa" w:w="54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Informe de la Fase 4 (modelos congelados)</w:t>
            </w:r>
          </w:p>
        </w:tc>
        <w:tc>
          <w:tcPr>
            <w:tcW w:type="dxa" w:w="19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Antes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19-10-2026 12:16</w:t>
            </w:r>
          </w:p>
        </w:tc>
        <w:tc>
          <w:tcPr>
            <w:tcW w:type="dxa" w:w="54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Pre-registro del protocolo de la Fase 5 (huella SHA-256 5624bdae…)</w:t>
            </w:r>
          </w:p>
        </w:tc>
        <w:tc>
          <w:tcPr>
            <w:tcW w:type="dxa" w:w="19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Antes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19-10-2026 12:24</w:t>
            </w:r>
          </w:p>
        </w:tc>
        <w:tc>
          <w:tcPr>
            <w:tcW w:type="dxa" w:w="54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Plan e informe de preparación de la Fase 5</w:t>
            </w:r>
          </w:p>
        </w:tc>
        <w:tc>
          <w:tcPr>
            <w:tcW w:type="dxa" w:w="19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Antes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19-10-2026 13:04</w:t>
            </w:r>
          </w:p>
        </w:tc>
        <w:tc>
          <w:tcPr>
            <w:tcW w:type="dxa" w:w="54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Apertura única del desenlace de 2024</w:t>
            </w:r>
          </w:p>
        </w:tc>
        <w:tc>
          <w:tcPr>
            <w:tcW w:type="dxa" w:w="19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19-10-2026 13:38</w:t>
            </w:r>
          </w:p>
        </w:tc>
        <w:tc>
          <w:tcPr>
            <w:tcW w:type="dxa" w:w="54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Informe de evaluación de la Fase 5</w:t>
            </w:r>
          </w:p>
        </w:tc>
        <w:tc>
          <w:tcPr>
            <w:tcW w:type="dxa" w:w="19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Después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19-10-2026 22:53</w:t>
            </w:r>
          </w:p>
        </w:tc>
        <w:tc>
          <w:tcPr>
            <w:tcW w:type="dxa" w:w="54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Versiones «v4 consenso» de los informes de las Fases 1 a 4</w:t>
            </w:r>
          </w:p>
        </w:tc>
        <w:tc>
          <w:tcPr>
            <w:tcW w:type="dxa" w:w="19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Después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20/21-10-2026</w:t>
            </w:r>
          </w:p>
        </w:tc>
        <w:tc>
          <w:tcPr>
            <w:tcW w:type="dxa" w:w="54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Auditoría externa y reproducción independiente desde cero</w:t>
            </w:r>
          </w:p>
        </w:tc>
        <w:tc>
          <w:tcPr>
            <w:tcW w:type="dxa" w:w="19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Después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Traslados entrantes (decisión 16).</w:t>
      </w:r>
      <w:r>
        <w:t xml:space="preserve"> La versión 3 de este informe decía que se marcaban pero </w:t>
      </w:r>
      <w:r>
        <w:rPr>
          <w:b/>
          <w:bCs/>
        </w:rPr>
        <w:t xml:space="preserve">no entraban</w:t>
      </w:r>
      <w:r>
        <w:t xml:space="preserve"> a los modelos ni al O/E. Las Fases 3 y 4 (18 y 19 de octubre, antes de abrir 2024) los incluyeron sin que una puerta lo detectara. La Fase 5 lo declaró como desviación y la versión 4 de la Fase 1, escrita </w:t>
      </w:r>
      <w:r>
        <w:rPr>
          <w:b/>
          <w:bCs/>
        </w:rPr>
        <w:t xml:space="preserve">después</w:t>
      </w:r>
      <w:r>
        <w:t xml:space="preserve"> de abrir 2024, lo adoptó como decisión porque excluirlos obligaba a repetir el examen.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Rastreo de traslados (decisión 13).</w:t>
      </w:r>
      <w:r>
        <w:t xml:space="preserve"> La v3 proponía rastrear los traslados salientes dentro de 2021–2024. No se implementó; la v4 lo retiró por el cambio de identificador. El sesgo de alta anticipada queda como limitación.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Sensibilidades (decisiones 8 y 17).</w:t>
      </w:r>
      <w:r>
        <w:t xml:space="preserve"> El informe de seminario y la v3 las preveían. No se hicieron dentro del proyecto. La auditoría independiente las ejecutó después, como análisis </w:t>
      </w:r>
      <w:r>
        <w:rPr>
          <w:b/>
          <w:bCs/>
        </w:rPr>
        <w:t xml:space="preserve">exploratorio</w:t>
      </w:r>
      <w:r>
        <w:t xml:space="preserve"> (ver informes de las Fases 4 y 5).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FDF0E4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C55A11"/>
              </w:rPr>
              <w:t xml:space="preserve">Por qué importa el orden</w:t>
            </w:r>
          </w:p>
          <w:p>
            <w:pPr>
              <w:spacing w:after="60" w:line="264"/>
            </w:pPr>
            <w:r>
              <w:t xml:space="preserve">La garantía más fuerte de que 2024 se evaluó a ciegas es el </w:t>
            </w:r>
            <w:r>
              <w:rPr>
                <w:b/>
                <w:bCs/>
              </w:rPr>
              <w:t xml:space="preserve">protocolo pre-registrado</w:t>
            </w:r>
            <w:r>
              <w:t xml:space="preserve"> de la Fase 5 (huella SHA-256 registrada 48 minutos antes de abrir). Los cambios hechos a los documentos después de esa hora no alteran los modelos ni el protocolo, pero deben leerse como </w:t>
            </w:r>
            <w:r>
              <w:rPr>
                <w:b/>
                <w:bCs/>
              </w:rPr>
              <w:t xml:space="preserve">enmiendas posteriores</w:t>
            </w:r>
            <w:r>
              <w:t xml:space="preserve">, no como decisiones previas. El archivo de la v3 tiene fecha de guardado posterior a la apertura (re-guardado), así que su contenido refleja el diseño previo pero su fecha no lo prueba.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9. Ética, privacidad y marco legal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La fecha de nacimiento se usa solo para calcular la edad y no llega a la capa Oro. Los archivos crudos quedan fuera de GitHub.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Ninguna salida publicada tiene RUT, fechas completas ni celdas de 1 a 9 casos. La base de datos y la web guardan solo resultados agregados.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Los hospitales se muestran solo por código y sin ranking. </w:t>
      </w:r>
      <w:r>
        <w:rPr>
          <w:b/>
          <w:bCs/>
        </w:rPr>
        <w:t xml:space="preserve">Advertencia:</w:t>
      </w:r>
      <w:r>
        <w:t xml:space="preserve"> los códigos DEIS son públicos y </w:t>
      </w:r>
      <w:r>
        <w:rPr>
          <w:rFonts w:ascii="Consolas" w:cs="Consolas" w:eastAsia="Consolas" w:hAnsi="Consolas"/>
          <w:sz w:val="19"/>
          <w:szCs w:val="19"/>
        </w:rPr>
        <w:t xml:space="preserve">Hospitales.csv</w:t>
      </w:r>
      <w:r>
        <w:t xml:space="preserve"> los traduce a nombres; el código no anonimiza, solo evita destacar nombres.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Acceso a los datos: Ley 20.285. Queda por confirmar con la universidad la normativa de datos personales aplicable (Leyes 19.628 y 21.719) y si se requiere un comité de ética.</w:t>
      </w:r>
    </w:p>
    <w:p>
      <w:pPr>
        <w:pStyle w:val="Heading1"/>
      </w:pPr>
      <w:r>
        <w:t xml:space="preserve">10. Riesgos y limitaciones de diseño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328"/>
        <w:gridCol w:w="2912"/>
      </w:tblGrid>
      <w:tr>
        <w:trPr>
          <w:tblHeader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Riesgo o limitación</w:t>
            </w:r>
          </w:p>
        </w:tc>
        <w:tc>
          <w:tcPr>
            <w:tcW w:type="dxa" w:w="3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se hizo</w:t>
            </w:r>
          </w:p>
        </w:tc>
        <w:tc>
          <w:tcPr>
            <w:tcW w:type="dxa" w:w="29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Los datos no marcan si un diagnóstico estaba presente al ingreso</w:t>
            </w:r>
          </w:p>
        </w:tc>
        <w:tc>
          <w:tcPr>
            <w:tcW w:type="dxa" w:w="3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Elixhauser solo con secundarios; índice de exhaustividad junto al O/E</w:t>
            </w:r>
          </w:p>
        </w:tc>
        <w:tc>
          <w:tcPr>
            <w:tcW w:type="dxa" w:w="29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Limitación vigente; algunas comorbilidades se comportan como complicaciones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La codificación crece cada año (+41,8 % de diagnósticos por egreso entre 2019 y 2024)</w:t>
            </w:r>
          </w:p>
        </w:tc>
        <w:tc>
          <w:tcPr>
            <w:tcW w:type="dxa" w:w="3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Recalibrar con 2023 y mostrar el índice de exhaustividad</w:t>
            </w:r>
          </w:p>
        </w:tc>
        <w:tc>
          <w:tcPr>
            <w:tcW w:type="dxa" w:w="29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Vigente: en 2024 el índice global es 1,038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Pandemia 2020–2021 (mortalidad 1,37 veces la de 2019)</w:t>
            </w:r>
          </w:p>
        </w:tc>
        <w:tc>
          <w:tcPr>
            <w:tcW w:type="dxa" w:w="3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Recalibrar con 2023</w:t>
            </w:r>
          </w:p>
        </w:tc>
        <w:tc>
          <w:tcPr>
            <w:tcW w:type="dxa" w:w="29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El O/E global sigue cambiando entre años (ver Fase 5)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Hospitales con pocas muertes</w:t>
            </w:r>
          </w:p>
        </w:tc>
        <w:tc>
          <w:tcPr>
            <w:tcW w:type="dxa" w:w="3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Volumen mínimo y supresión de celdas pequeñas</w:t>
            </w:r>
          </w:p>
        </w:tc>
        <w:tc>
          <w:tcPr>
            <w:tcW w:type="dxa" w:w="29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69 de 72 hospitales evaluados en 2024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Institutos monográficos comparados con hospitales generales</w:t>
            </w:r>
          </w:p>
        </w:tc>
        <w:tc>
          <w:tcPr>
            <w:tcW w:type="dxa" w:w="3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 previsto en el diseño</w:t>
            </w:r>
          </w:p>
        </w:tc>
        <w:tc>
          <w:tcPr>
            <w:tcW w:type="dxa" w:w="29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Hallazgo de la auditoría (H-01)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Sin contraparte clínica</w:t>
            </w:r>
          </w:p>
        </w:tc>
        <w:tc>
          <w:tcPr>
            <w:tcW w:type="dxa" w:w="3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Decisiones respaldadas solo con datos</w:t>
            </w:r>
          </w:p>
        </w:tc>
        <w:tc>
          <w:tcPr>
            <w:tcW w:type="dxa" w:w="29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11. Dónde están los archivos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Este informe: </w:t>
      </w:r>
      <w:r>
        <w:rPr>
          <w:rFonts w:ascii="Consolas" w:cs="Consolas" w:eastAsia="Consolas" w:hAnsi="Consolas"/>
          <w:sz w:val="19"/>
          <w:szCs w:val="19"/>
        </w:rPr>
        <w:t xml:space="preserve">docs/fase1_comprension_dominio/Informe_Fase1_v5.docx</w:t>
      </w:r>
      <w:r>
        <w:t xml:space="preserve">. Versiones anteriores (v3 y v4): </w:t>
      </w:r>
      <w:r>
        <w:rPr>
          <w:rFonts w:ascii="Consolas" w:cs="Consolas" w:eastAsia="Consolas" w:hAnsi="Consolas"/>
          <w:sz w:val="19"/>
          <w:szCs w:val="19"/>
        </w:rPr>
        <w:t xml:space="preserve">docs/historial/fase1/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Tablas de la Fase 1 que lee el código de la Fase 2 (no mover): </w:t>
      </w:r>
      <w:r>
        <w:rPr>
          <w:rFonts w:ascii="Consolas" w:cs="Consolas" w:eastAsia="Consolas" w:hAnsi="Consolas"/>
          <w:sz w:val="19"/>
          <w:szCs w:val="19"/>
        </w:rPr>
        <w:t xml:space="preserve">decisiones_pendientes.csv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reglas_variables.csv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tipoalta_roles.csv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matriz_trazabilidad.csv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config/fase1_spec.json</w:t>
      </w:r>
      <w:r>
        <w:t xml:space="preserve"> y los cuatro CSV «Fase_1__…».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Guía general del proyecto: </w:t>
      </w:r>
      <w:r>
        <w:rPr>
          <w:rFonts w:ascii="Consolas" w:cs="Consolas" w:eastAsia="Consolas" w:hAnsi="Consolas"/>
          <w:sz w:val="19"/>
          <w:szCs w:val="19"/>
        </w:rPr>
        <w:t xml:space="preserve">docs/00_guia_del_proyecto/Guia_del_proyecto.docx</w:t>
      </w:r>
      <w:r>
        <w:t xml:space="preserve">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Fase 1 · Comprensión del dominio · v5  · 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Fase 1 · Comprensión del dominio · v5</dc:title>
  <dc:creator>Felipe Ignacio Baeza Muñoz</dc:creator>
  <dc:description>Informe v5 del proyecto de tesis (reproducción independiente verificada)</dc:description>
  <cp:lastModifiedBy>Un-named</cp:lastModifiedBy>
  <cp:revision>1</cp:revision>
  <dcterms:created xsi:type="dcterms:W3CDTF">2026-10-21T03:06:52.333Z</dcterms:created>
  <dcterms:modified xsi:type="dcterms:W3CDTF">2026-10-21T03:06:52.333Z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