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UNIVERSIDAD DE SANTIAGO DE CHILE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FACULTAD DE INGENIERÍA</w:t>
      </w:r>
    </w:p>
    <w:p>
      <w:pPr>
        <w:spacing w:after="1200"/>
        <w:jc w:val="center"/>
      </w:pPr>
      <w:r>
        <w:rPr>
          <w:b/>
          <w:bCs/>
          <w:color w:val="000000"/>
          <w:sz w:val="24"/>
          <w:szCs w:val="24"/>
        </w:rPr>
        <w:t xml:space="preserve">DEPARTAMENTO DE INGENIERÍA INFORMÁTICA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ETAPA 0 DEL PLAN DE CORRECCIÓN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GOBERNANZA</w:t>
      </w:r>
    </w:p>
    <w:p>
      <w:pPr>
        <w:spacing w:after="1000"/>
        <w:jc w:val="center"/>
      </w:pPr>
      <w:r>
        <w:rPr>
          <w:color w:val="404040"/>
          <w:sz w:val="24"/>
          <w:szCs w:val="24"/>
        </w:rPr>
        <w:t xml:space="preserve">Constancia del profesor guía, enmienda 01, versiones de la Fase 1 e incidentes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Proyecto de Tesis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Sistema de evaluación del desempeño hospitalario</w:t>
      </w:r>
    </w:p>
    <w:p>
      <w:pPr>
        <w:spacing w:after="900"/>
        <w:jc w:val="center"/>
      </w:pPr>
      <w:r>
        <w:rPr>
          <w:color w:val="000000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Felipe Ignacio Baeza Muñoz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Profesor guía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Manuel Villalobos Cid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Octubre 2026 · Para revisión y firma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Qué se le pide al profesor guía</w:t>
      </w:r>
    </w:p>
    <w:p>
      <w:pPr>
        <w:spacing w:after="120" w:line="276"/>
      </w:pPr>
      <w:r>
        <w:t xml:space="preserve">Este documento reúne lo que la etapa 0 del plan de corrección deja listo para su revisión. Nada de esto reentrena un modelo ni cambia un resultado ya calculado. Se le pide: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Leer los tres anexos:</w:t>
      </w:r>
      <w:r>
        <w:t xml:space="preserve"> la enmienda 01 (A), las versiones y desviaciones de la Fase 1 (B) y el registro de incidentes (C).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Firmar la constancia</w:t>
      </w:r>
      <w:r>
        <w:t xml:space="preserve"> de la sección 3. Tiene tres partes que se marcan por separado: la ratificación de la apertura de 2024 (A), los incidentes declarados después (B) y la enmienda 01 (C).</w:t>
      </w:r>
    </w:p>
    <w:p>
      <w:pPr>
        <w:spacing w:after="120" w:line="276"/>
      </w:pPr>
      <w:r>
        <w:t xml:space="preserve">La constancia firmada se escanea y se guarda en el repositorio. Con ella, el estudiante registra la enmienda con su huella digital y recién entonces puede correr los análisis que la enmienda lista.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Lo que cambia en la forma de describir 2024</w:t>
            </w:r>
          </w:p>
          <w:p>
            <w:pPr>
              <w:spacing w:after="60" w:line="264"/>
            </w:pPr>
            <w:r>
              <w:t xml:space="preserve">Al ordenar el repositorio apareció un hecho que ningún informe había declarado: el </w:t>
            </w:r>
            <w:r>
              <w:rPr>
                <w:b/>
                <w:bCs/>
              </w:rPr>
              <w:t xml:space="preserve">27-09-2026, un prototipo anterior del proyecto se evaluó con el desenlace de 2024</w:t>
            </w:r>
            <w:r>
              <w:t xml:space="preserve"> y publicó sus resultados en GitHub, incluidas cifras por hospital (incidente I-01).</w:t>
            </w:r>
          </w:p>
          <w:p>
            <w:pPr>
              <w:spacing w:after="60" w:line="264"/>
            </w:pPr>
            <w:r>
              <w:t xml:space="preserve">El pipeline definitivo sí respetó el sello: se construyó después, con un cortafuegos, y leyó 2024 una sola vez, el 19-10 a las 13:04 UTC, después del pre-registro del protocolo. Pero </w:t>
            </w:r>
            <w:r>
              <w:rPr>
                <w:b/>
                <w:bCs/>
              </w:rPr>
              <w:t xml:space="preserve">2024 no fue un año ciego para el autor</w:t>
            </w:r>
            <w:r>
              <w:t xml:space="preserve">. Por eso la enmienda 01 usa como validación principal un diseño que prueba en 2023 sin tocar 2024, y se recomienda pedir los egresos de 2025.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Resumen de la etapa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38"/>
        <w:gridCol w:w="4680"/>
        <w:gridCol w:w="2442"/>
      </w:tblGrid>
      <w:tr>
        <w:trPr>
          <w:tblHeader/>
        </w:trPr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 del plan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quedó hecho</w:t>
            </w:r>
          </w:p>
        </w:tc>
        <w:tc>
          <w:tcPr>
            <w:tcW w:type="dxa" w:w="2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falta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0.1 Congelar el estado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Etiqueta git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v1-congelado</w:t>
            </w:r>
            <w:r>
              <w:rPr>
                <w:sz w:val="19"/>
                <w:szCs w:val="19"/>
              </w:rPr>
              <w:t xml:space="preserve"> y manifiesto SHA-256 de 746 archivos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docs/historial/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0.2 Versiones de la Fase 1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Tabla de versiones y 11 desviaciones con fecha, tipo y efecto (Anexo B)</w:t>
            </w:r>
          </w:p>
        </w:tc>
        <w:tc>
          <w:tcPr>
            <w:tcW w:type="dxa" w:w="2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Que el profesor la conozca (Parte B)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0.3 Incidentes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Registro completo, I-01 a I-11, con evidencia, impacto y medida (Anexo C)</w:t>
            </w:r>
          </w:p>
        </w:tc>
        <w:tc>
          <w:tcPr>
            <w:tcW w:type="dxa" w:w="2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Que el profesor lo conozca (Parte B); decidir I-09 e I-11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0.4 Constancia del profesor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Plantilla en la sección 3. La Parte A es una ratificación posterior, porque la aprobación del profesor llegó después de conocer los resultados (I-10)</w:t>
            </w:r>
          </w:p>
        </w:tc>
        <w:tc>
          <w:tcPr>
            <w:tcW w:type="dxa" w:w="2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Firma del profesor</w:t>
            </w:r>
          </w:p>
        </w:tc>
      </w:tr>
      <w:tr>
        <w:trPr>
          <w:cantSplit/>
        </w:trPr>
        <w:tc>
          <w:tcPr>
            <w:tcW w:type="dxa" w:w="2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0.5 Enmienda 01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protocolo_fase5_v2.toml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ENMIENDA_01.md</w:t>
            </w:r>
            <w:r>
              <w:rPr>
                <w:sz w:val="19"/>
                <w:szCs w:val="19"/>
              </w:rPr>
              <w:t xml:space="preserve">, con 15 análisis, métricas y regla de lectura (Anexo A);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registrar_enmienda.py</w:t>
            </w:r>
            <w:r>
              <w:rPr>
                <w:sz w:val="19"/>
                <w:szCs w:val="19"/>
              </w:rPr>
              <w:t xml:space="preserve"> registra sus huellas</w:t>
            </w:r>
          </w:p>
        </w:tc>
        <w:tc>
          <w:tcPr>
            <w:tcW w:type="dxa" w:w="244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Aprobación (Parte C)</w:t>
            </w:r>
            <w:r>
              <w:rPr>
                <w:sz w:val="19"/>
                <w:szCs w:val="19"/>
              </w:rPr>
              <w:t xml:space="preserve"> y registro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Constancia del profesor guía</w:t>
      </w:r>
    </w:p>
    <w:p>
      <w:pPr>
        <w:spacing w:after="120" w:line="276"/>
      </w:pPr>
      <w:r>
        <w:rPr>
          <w:b/>
          <w:bCs/>
        </w:rPr>
        <w:t xml:space="preserve">Proyecto:</w:t>
      </w:r>
      <w:r>
        <w:t xml:space="preserve"> Sistema de evaluación del desempeño hospitalario ajustado por riesgo mediante aprendizaje automático. </w:t>
      </w:r>
      <w:r>
        <w:rPr>
          <w:b/>
          <w:bCs/>
        </w:rPr>
        <w:t xml:space="preserve">Estudiante:</w:t>
      </w:r>
      <w:r>
        <w:t xml:space="preserve"> Felipe Ignacio Baeza Muñoz. </w:t>
      </w:r>
      <w:r>
        <w:rPr>
          <w:b/>
          <w:bCs/>
        </w:rPr>
        <w:t xml:space="preserve">Profesor guía:</w:t>
      </w:r>
      <w:r>
        <w:t xml:space="preserve"> Manuel Villalobos Cid. Departamento de Ingeniería Informática, Universidad de Santiago de Chile.</w:t>
      </w:r>
    </w:p>
    <w:p>
      <w:pPr>
        <w:spacing w:after="120" w:line="276"/>
      </w:pPr>
      <w:r>
        <w:t xml:space="preserve">Marque una opción en cada parte. Las horas están en UTC.</w:t>
      </w:r>
    </w:p>
    <w:p>
      <w:pPr>
        <w:pStyle w:val="Heading2"/>
      </w:pPr>
      <w:r>
        <w:t xml:space="preserve">Parte A. Apertura del desenlace de 2024: ratificación posterior</w:t>
      </w:r>
    </w:p>
    <w:p>
      <w:pPr>
        <w:spacing w:after="120" w:line="276"/>
      </w:pPr>
      <w:r>
        <w:t xml:space="preserve">La apertura se hizo el 19-10-2026 a las 13:04 UTC con la aprobación informada por el estudiante (</w:t>
      </w:r>
      <w:r>
        <w:rPr>
          <w:rFonts w:ascii="Consolas" w:cs="Consolas" w:eastAsia="Consolas" w:hAnsi="Consolas"/>
          <w:sz w:val="19"/>
          <w:szCs w:val="19"/>
        </w:rPr>
        <w:t xml:space="preserve">autorizacion_apertura_2024.txt</w:t>
      </w:r>
      <w:r>
        <w:t xml:space="preserve">). Mi autorización escrita es posterior y la doy </w:t>
      </w:r>
      <w:r>
        <w:rPr>
          <w:b/>
          <w:bCs/>
        </w:rPr>
        <w:t xml:space="preserve">conociendo ya los resultados de 2024</w:t>
      </w:r>
      <w:r>
        <w:t xml:space="preserve"> (incidente I-10).</w:t>
      </w:r>
    </w:p>
    <w:p>
      <w:pPr>
        <w:spacing w:after="120" w:before="120"/>
      </w:pPr>
      <w:r>
        <w:rPr>
          <w:sz w:val="21"/>
          <w:szCs w:val="21"/>
        </w:rPr>
        <w:t xml:space="preserve">Fecha en que di mi aprobación por primera vez (de palabra o por escrito): _______________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Ratifico la apertura única del desenlace de 2024 bajo el protocolo pre-registrado v1.0 (huella 5624bdae5dad1205081c7765d16046890f5c460667031b336dc21c1e02d42256). También ratifico las decisiones D1 a D9 del plan de la Fase 5 (</w:t>
      </w:r>
      <w:r>
        <w:rPr>
          <w:rFonts w:ascii="Consolas" w:cs="Consolas" w:eastAsia="Consolas" w:hAnsi="Consolas"/>
          <w:sz w:val="19"/>
          <w:szCs w:val="19"/>
        </w:rPr>
        <w:t xml:space="preserve">DECISIONES_FASE5.md</w:t>
      </w:r>
      <w:r>
        <w:t xml:space="preserve">); la sensibilidad 2020–2021 (D4) quedó fuera de esa fase.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Conozco la lectura directa del esquema del archivo sellado (incidente I-05).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rPr>
          <w:b/>
          <w:bCs/>
        </w:rPr>
        <w:t xml:space="preserve">No</w:t>
      </w:r>
      <w:r>
        <w:t xml:space="preserve"> ratifico la apertura.</w:t>
      </w:r>
    </w:p>
    <w:p>
      <w:pPr>
        <w:spacing w:after="120" w:before="120"/>
      </w:pPr>
      <w:r>
        <w:rPr>
          <w:sz w:val="21"/>
          <w:szCs w:val="21"/>
        </w:rPr>
        <w:t xml:space="preserve">Observaciones: ______________________________________________________________</w:t>
      </w:r>
    </w:p>
    <w:p>
      <w:pPr>
        <w:pStyle w:val="Heading2"/>
      </w:pPr>
      <w:r>
        <w:t xml:space="preserve">Parte B. Incidentes y desviaciones declarados después de la apertura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Conozco el registro de incidentes I-01 a I-11 (Anexo C). Entre ellos está la evaluación de un prototipo anterior en 2024, el 27-09-2026 (I-01).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Conozco la tabla de versiones y desviaciones de la Fase 1 (Anexo B). En ella, la versión v4 se presenta como enmienda posterior a la apertura.</w:t>
      </w:r>
    </w:p>
    <w:p>
      <w:pPr>
        <w:spacing w:after="120" w:before="120"/>
      </w:pPr>
      <w:r>
        <w:rPr>
          <w:sz w:val="21"/>
          <w:szCs w:val="21"/>
        </w:rPr>
        <w:t xml:space="preserve">Observaciones: ______________________________________________________________</w:t>
      </w:r>
    </w:p>
    <w:p>
      <w:pPr>
        <w:pStyle w:val="Heading2"/>
      </w:pPr>
      <w:r>
        <w:t xml:space="preserve">Parte C. Enmienda 01 al protocolo de la Fase 5</w:t>
      </w:r>
    </w:p>
    <w:p>
      <w:pPr>
        <w:spacing w:after="120" w:line="276"/>
      </w:pPr>
      <w:r>
        <w:t xml:space="preserve">Huellas del texto aprobado. Las imprime </w:t>
      </w:r>
      <w:r>
        <w:rPr>
          <w:rFonts w:ascii="Consolas" w:cs="Consolas" w:eastAsia="Consolas" w:hAnsi="Consolas"/>
          <w:sz w:val="19"/>
          <w:szCs w:val="19"/>
        </w:rPr>
        <w:t xml:space="preserve">python registrar_enmienda.py huellas</w:t>
      </w:r>
      <w:r>
        <w:t xml:space="preserve">, desde </w:t>
      </w:r>
      <w:r>
        <w:rPr>
          <w:rFonts w:ascii="Consolas" w:cs="Consolas" w:eastAsia="Consolas" w:hAnsi="Consolas"/>
          <w:sz w:val="19"/>
          <w:szCs w:val="19"/>
        </w:rPr>
        <w:t xml:space="preserve">fase5_evaluacion/</w:t>
      </w:r>
      <w:r>
        <w:t xml:space="preserve">:</w:t>
      </w:r>
    </w:p>
    <w:p>
      <w:pPr>
        <w:spacing w:after="120" w:before="120"/>
      </w:pPr>
      <w:r>
        <w:rPr>
          <w:sz w:val="21"/>
          <w:szCs w:val="21"/>
        </w:rPr>
        <w:t xml:space="preserve">protocolo_fase5_v2.toml: ____________________________________________________</w:t>
      </w:r>
    </w:p>
    <w:p>
      <w:pPr>
        <w:spacing w:after="120" w:before="120"/>
      </w:pPr>
      <w:r>
        <w:rPr>
          <w:sz w:val="21"/>
          <w:szCs w:val="21"/>
        </w:rPr>
        <w:t xml:space="preserve">ENMIENDA_01.md: ____________________________________________________________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Apruebo la enmienda 01 tal como está, incluida la regla de que sus análisis se informan aunque no mejoren el modelo.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La apruebo con cambios, que anoto aquí. El estudiante los incorpora y esta parte se vuelve a firmar con las huellas nuevas: ____________________________________</w:t>
      </w:r>
    </w:p>
    <w:p>
      <w:pPr>
        <w:spacing w:after="90" w:line="264"/>
        <w:ind w:left="360" w:hanging="360"/>
      </w:pPr>
      <w:r>
        <w:rPr>
          <w:rFonts w:ascii="Segoe UI Symbol" w:cs="Segoe UI Symbol" w:eastAsia="Segoe UI Symbol" w:hAnsi="Segoe UI Symbol"/>
          <w:sz w:val="22"/>
          <w:szCs w:val="22"/>
        </w:rPr>
        <w:t xml:space="preserve">☐  </w:t>
      </w:r>
      <w:r>
        <w:t xml:space="preserve">No la apruebo.</w:t>
      </w:r>
    </w:p>
    <w:p>
      <w:pPr>
        <w:spacing w:after="120" w:before="120"/>
      </w:pPr>
      <w:r>
        <w:rPr>
          <w:sz w:val="21"/>
          <w:szCs w:val="21"/>
        </w:rPr>
        <w:t xml:space="preserve">Firma del profesor guía: ____________________________      Fecha: _______________</w:t>
      </w:r>
    </w:p>
    <w:p>
      <w:pPr>
        <w:spacing w:after="120" w:before="120"/>
      </w:pPr>
      <w:r>
        <w:rPr>
          <w:sz w:val="21"/>
          <w:szCs w:val="21"/>
        </w:rPr>
        <w:t xml:space="preserve">Firma del estudiante: _______________________________      Fecha: _______________</w:t>
      </w:r>
    </w:p>
    <w:p>
      <w:r>
        <w:br w:type="page"/>
      </w:r>
    </w:p>
    <w:p>
      <w:pPr>
        <w:pStyle w:val="Heading1"/>
      </w:pPr>
      <w:r>
        <w:t xml:space="preserve">Anexo A. Enmienda 01 al protocolo de la Fase 5</w:t>
      </w:r>
    </w:p>
    <w:p>
      <w:pPr>
        <w:spacing w:after="120" w:line="276"/>
      </w:pPr>
      <w:r>
        <w:t xml:space="preserve">Archivos: </w:t>
      </w:r>
      <w:r>
        <w:rPr>
          <w:rFonts w:ascii="Consolas" w:cs="Consolas" w:eastAsia="Consolas" w:hAnsi="Consolas"/>
          <w:sz w:val="19"/>
          <w:szCs w:val="19"/>
        </w:rPr>
        <w:t xml:space="preserve">fase5_evaluacion/config/protocolo_fase5_v2.toml</w:t>
      </w:r>
      <w:r>
        <w:t xml:space="preserve"> (la versión que leen los programas) y </w:t>
      </w:r>
      <w:r>
        <w:rPr>
          <w:rFonts w:ascii="Consolas" w:cs="Consolas" w:eastAsia="Consolas" w:hAnsi="Consolas"/>
          <w:sz w:val="19"/>
          <w:szCs w:val="19"/>
        </w:rPr>
        <w:t xml:space="preserve">fase5_evaluacion/documentos/ENMIENDA_01.md</w:t>
      </w:r>
      <w:r>
        <w:t xml:space="preserve"> (el texto explicado). Valen solo cuando existe </w:t>
      </w:r>
      <w:r>
        <w:rPr>
          <w:rFonts w:ascii="Consolas" w:cs="Consolas" w:eastAsia="Consolas" w:hAnsi="Consolas"/>
          <w:sz w:val="19"/>
          <w:szCs w:val="19"/>
        </w:rPr>
        <w:t xml:space="preserve">documentos/registro_enmienda_01.json</w:t>
      </w:r>
      <w:r>
        <w:t xml:space="preserve">, con sus huellas y las firmas.</w:t>
      </w:r>
    </w:p>
    <w:p>
      <w:pPr>
        <w:pStyle w:val="Heading2"/>
      </w:pPr>
      <w:r>
        <w:t xml:space="preserve">A.1 Qué no cambia</w:t>
      </w:r>
    </w:p>
    <w:p>
      <w:pPr>
        <w:spacing w:after="120" w:line="276"/>
      </w:pPr>
      <w:r>
        <w:t xml:space="preserve">Los modelos congelados de la Fase 4, el protocolo v1.0 y las tablas de la evaluación 2024 son el </w:t>
      </w:r>
      <w:r>
        <w:rPr>
          <w:b/>
          <w:bCs/>
        </w:rPr>
        <w:t xml:space="preserve">resultado primario</w:t>
      </w:r>
      <w:r>
        <w:t xml:space="preserve"> de la tesis. No se modifican, no se re-etiquetan y no se reemplazan, aunque un análisis de la enmienda «salga mejor».</w:t>
      </w:r>
    </w:p>
    <w:p>
      <w:pPr>
        <w:pStyle w:val="Heading2"/>
      </w:pPr>
      <w:r>
        <w:t xml:space="preserve">A.2 Diseños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72"/>
        <w:gridCol w:w="1367"/>
        <w:gridCol w:w="1157"/>
        <w:gridCol w:w="1157"/>
        <w:gridCol w:w="4207"/>
      </w:tblGrid>
      <w:tr>
        <w:trPr>
          <w:tblHeader/>
        </w:trPr>
        <w:tc>
          <w:tcPr>
            <w:tcW w:type="dxa" w:w="14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Diseño</w:t>
            </w:r>
          </w:p>
        </w:tc>
        <w:tc>
          <w:tcPr>
            <w:tcW w:type="dxa" w:w="13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Entrenar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Calibrar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Probar</w:t>
            </w:r>
          </w:p>
        </w:tc>
        <w:tc>
          <w:tcPr>
            <w:tcW w:type="dxa" w:w="42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14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Anidado</w:t>
            </w:r>
          </w:p>
        </w:tc>
        <w:tc>
          <w:tcPr>
            <w:tcW w:type="dxa" w:w="13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2019–2021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2022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42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Resultado de la enmienda: no usa 2024</w:t>
            </w:r>
          </w:p>
        </w:tc>
      </w:tr>
      <w:tr>
        <w:trPr>
          <w:cantSplit/>
        </w:trPr>
        <w:tc>
          <w:tcPr>
            <w:tcW w:type="dxa" w:w="14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Original</w:t>
            </w:r>
          </w:p>
        </w:tc>
        <w:tc>
          <w:tcPr>
            <w:tcW w:type="dxa" w:w="136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2019–2022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2023</w:t>
            </w:r>
          </w:p>
        </w:tc>
        <w:tc>
          <w:tcPr>
            <w:tcW w:type="dxa" w:w="115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2024</w:t>
            </w:r>
          </w:p>
        </w:tc>
        <w:tc>
          <w:tcPr>
            <w:tcW w:type="dxa" w:w="420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Secundario, rotulado «ya abierto»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Cada variante usa la receta congelada: el LightGBM de cada tarea con sus hiperparámetros y su número de árboles, y la recalibración de Platt (mortalidad) o de factor único (estadía). Se compara con la variante base del mismo diseño.</w:t>
      </w:r>
    </w:p>
    <w:p>
      <w:pPr>
        <w:pStyle w:val="Heading2"/>
      </w:pPr>
      <w:r>
        <w:t xml:space="preserve">A.3 Lista cerrada de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2"/>
        <w:gridCol w:w="4875"/>
        <w:gridCol w:w="1560"/>
        <w:gridCol w:w="975"/>
        <w:gridCol w:w="1268"/>
      </w:tblGrid>
      <w:tr>
        <w:trPr>
          <w:tblHeader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Análisis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¿Reentrena?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¿Regla?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¿Ya conocido?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las 5 categorías de Elixhauser sospechosas de la Fase 1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2020 y 2021 en el entrenamiento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las 4 variables condicionales (tipo de ingreso, procedencia en dos niveles, nivel de cuidado al ingreso)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2.4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ninguna comorbilidad secundaria (O/E «resistente a la codificación»)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2.5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Línea base en vez de LightGBM, a nivel de hospital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en el anidado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2.6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traslados entrantes en la evaluación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3.1a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Sin los 3 institutos monográficos en el embudo general (se informan aparte)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3.1b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Grupos de pares: un embudo por tercil de egresos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Marca de los hospitales con menos de 2 años en GRD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Re-basado anual del esperado (suma de observados igual a suma de esperados)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3.4a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Embudo sin winsorizar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3.4b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Embudo con truncamiento al 10 % por cola (estilo SHMI)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3.4c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Validación del embudo con la heterogeneidad real (400 réplicas)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3.5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Estabilidad del O/E por hospital, 2023 frente a 2024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8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3.6</w:t>
            </w:r>
          </w:p>
        </w:tc>
        <w:tc>
          <w:tcPr>
            <w:tcW w:type="dxa" w:w="48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Calibración por estrato: tamaño, tipo de hospital y años en GRD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975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2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 parte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A.4 Regla de lectura</w:t>
      </w:r>
    </w:p>
    <w:p>
      <w:pPr>
        <w:spacing w:after="120" w:line="276"/>
      </w:pPr>
      <w:r>
        <w:t xml:space="preserve">La conclusión de la Fase 5 se mantiene frente a un análisis si al menos el </w:t>
      </w:r>
      <w:r>
        <w:rPr>
          <w:b/>
          <w:bCs/>
        </w:rPr>
        <w:t xml:space="preserve">80 %</w:t>
      </w:r>
      <w:r>
        <w:t xml:space="preserve"> de los hospitales conserva su zona (dentro de lo esperado, alerta alta o baja, señal alta o baja) y si la correlación de rangos del O/E por hospital con la base es de al menos </w:t>
      </w:r>
      <w:r>
        <w:rPr>
          <w:b/>
          <w:bCs/>
        </w:rPr>
        <w:t xml:space="preserve">0,90</w:t>
      </w:r>
      <w:r>
        <w:t xml:space="preserve">. Si no se cumple, se informa que el indicador no es robusto a esa decisión. Una variante mejor solo puede adoptarse como versión 2 para el despliegue y debe validarse en 2025. Nunca se elige entre variantes mirando 2024.</w:t>
      </w:r>
    </w:p>
    <w:p>
      <w:pPr>
        <w:spacing w:after="120" w:line="276"/>
      </w:pPr>
      <w:r>
        <w:t xml:space="preserve">Estos análisis miden si el indicador es robusto y justo; no buscan subir el AUC. Por eso </w:t>
      </w:r>
      <w:r>
        <w:rPr>
          <w:b/>
          <w:bCs/>
        </w:rPr>
        <w:t xml:space="preserve">ningún análisis se modifica, se repite con otra configuración ni se descarta porque no mejore el modelo</w:t>
      </w:r>
      <w:r>
        <w:t xml:space="preserve">. Si quitar variables con posible fuga baja el AUC, eso es un resultado, no un error.</w:t>
      </w:r>
    </w:p>
    <w:p>
      <w:pPr>
        <w:pStyle w:val="Heading2"/>
      </w:pPr>
      <w:r>
        <w:t xml:space="preserve">A.5 Lo que ya se conoce</w:t>
      </w:r>
    </w:p>
    <w:p>
      <w:pPr>
        <w:spacing w:after="120" w:line="276"/>
      </w:pPr>
      <w:r>
        <w:t xml:space="preserve">La auditoría corrió por adelantado casi todos estos análisis (incidente I-08). Solo dos no cumplieron la regla, y los dos en mortalidad: sin las variables condicionales (ρ 0,80 en 2024 y 0,89 en el diseño anidado) y sin ninguna comorbilidad (ρ 0,88 en 2024). Por eso la enmienda no es ciega. Lo que garantiza es que se informan todos los análisis de la lista, cumplan o no, y que nada fuera de la lista se presenta como resultado.</w:t>
      </w:r>
    </w:p>
    <w:p>
      <w:pPr>
        <w:pStyle w:val="Heading2"/>
      </w:pPr>
      <w:r>
        <w:t xml:space="preserve">A.6 Fuera de esta enmienda</w:t>
      </w:r>
    </w:p>
    <w:p>
      <w:pPr>
        <w:spacing w:after="120" w:line="276"/>
      </w:pPr>
      <w:r>
        <w:t xml:space="preserve">Las correcciones de cohortes van en una enmienda 02, que se registra antes de correrlas: alta voluntaria y fuga en la cohorte de estadía (H-08), exclusión obstétrica EX03 (H-07, necesita la contraparte clínica), catálogo de tipo de establecimiento DEIS (H-01, H-18) y tasas de contexto por hospital (H-15).</w:t>
      </w:r>
    </w:p>
    <w:p>
      <w:pPr>
        <w:pStyle w:val="Heading2"/>
      </w:pPr>
      <w:r>
        <w:t xml:space="preserve">A.7 Cómo se registra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El autor y el profesor revisan el texto; con el texto final, </w:t>
      </w:r>
      <w:r>
        <w:rPr>
          <w:rFonts w:ascii="Consolas" w:cs="Consolas" w:eastAsia="Consolas" w:hAnsi="Consolas"/>
          <w:sz w:val="19"/>
          <w:szCs w:val="19"/>
        </w:rPr>
        <w:t xml:space="preserve">registrar_enmienda.py huellas</w:t>
      </w:r>
      <w:r>
        <w:t xml:space="preserve"> imprime las huellas para la Parte C.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 la constancia firmada y escaneada, </w:t>
      </w:r>
      <w:r>
        <w:rPr>
          <w:rFonts w:ascii="Consolas" w:cs="Consolas" w:eastAsia="Consolas" w:hAnsi="Consolas"/>
          <w:sz w:val="19"/>
          <w:szCs w:val="19"/>
        </w:rPr>
        <w:t xml:space="preserve">registrar_enmienda.py firmar</w:t>
      </w:r>
      <w:r>
        <w:t xml:space="preserve"> crea el registro. Este guarda las huellas de la enmienda, de la constancia y de cada archivo del código de evaluación (hallazgo H-13). Después se sube a git con la etiqueta </w:t>
      </w:r>
      <w:r>
        <w:rPr>
          <w:rFonts w:ascii="Consolas" w:cs="Consolas" w:eastAsia="Consolas" w:hAnsi="Consolas"/>
          <w:sz w:val="19"/>
          <w:szCs w:val="19"/>
        </w:rPr>
        <w:t xml:space="preserve">enmienda-01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Antes de la primera corrida, </w:t>
      </w:r>
      <w:r>
        <w:rPr>
          <w:rFonts w:ascii="Consolas" w:cs="Consolas" w:eastAsia="Consolas" w:hAnsi="Consolas"/>
          <w:sz w:val="19"/>
          <w:szCs w:val="19"/>
        </w:rPr>
        <w:t xml:space="preserve">registrar_enmienda.py antes-de-correr</w:t>
      </w:r>
      <w:r>
        <w:t xml:space="preserve"> registra la huella de los scripts de análisis. Si la enmienda cambió desde la firma, se detiene.</w:t>
      </w:r>
    </w:p>
    <w:p>
      <w:pPr>
        <w:pStyle w:val="Heading1"/>
      </w:pPr>
      <w:r>
        <w:t xml:space="preserve">Anexo B. Versiones de la Fase 1 y desviaciones</w:t>
      </w:r>
    </w:p>
    <w:p>
      <w:pPr>
        <w:spacing w:after="120" w:line="276"/>
      </w:pPr>
      <w:r>
        <w:t xml:space="preserve">Archivo completo: </w:t>
      </w:r>
      <w:r>
        <w:rPr>
          <w:rFonts w:ascii="Consolas" w:cs="Consolas" w:eastAsia="Consolas" w:hAnsi="Consolas"/>
          <w:sz w:val="19"/>
          <w:szCs w:val="19"/>
        </w:rPr>
        <w:t xml:space="preserve">docs/fase1_comprension_dominio/VERSIONES_Y_DESVIACIONES.md</w:t>
      </w:r>
      <w:r>
        <w:t xml:space="preserve">.</w:t>
      </w:r>
    </w:p>
    <w:p>
      <w:pPr>
        <w:pStyle w:val="Heading2"/>
      </w:pPr>
      <w:r>
        <w:t xml:space="preserve">B.1 Qué versión es 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2730"/>
        <w:gridCol w:w="351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7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verificable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seminario</w:t>
            </w:r>
          </w:p>
        </w:tc>
        <w:tc>
          <w:tcPr>
            <w:tcW w:type="dxa" w:w="27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03-08-2026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 de objetivos y criterios</w:t>
            </w:r>
            <w:r>
              <w:rPr>
                <w:sz w:val="19"/>
                <w:szCs w:val="19"/>
              </w:rPr>
              <w:t xml:space="preserve"> de aceptación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1 del 27-09-2026 (4 archivos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docs/historial/fase1/2026-09-27_github/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7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PDF del 26-09 a las 23:31; publicado en GitHub el 27-09 a las 20:33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 verificable de la Fase 1.</w:t>
            </w:r>
            <w:r>
              <w:rPr>
                <w:sz w:val="19"/>
                <w:szCs w:val="19"/>
              </w:rPr>
              <w:t xml:space="preserve"> Es 25 minutos anterior a la evaluación del prototipo en 2024 (I-01)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1 v3</w:t>
            </w:r>
          </w:p>
        </w:tc>
        <w:tc>
          <w:tcPr>
            <w:tcW w:type="dxa" w:w="27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Guardada por última vez el 19-10 a las 21:36, después de la apertura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Versión de trabajo previa a la consolidación: su contenido refleja el diseño previo, pero su fecha no lo prueba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Protocolo de la Fase 5 v1.0</w:t>
            </w:r>
          </w:p>
        </w:tc>
        <w:tc>
          <w:tcPr>
            <w:tcW w:type="dxa" w:w="27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 a las 12:16:38 (huella 5624bdae…)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 de la evaluación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1 v4</w:t>
            </w:r>
          </w:p>
        </w:tc>
        <w:tc>
          <w:tcPr>
            <w:tcW w:type="dxa" w:w="273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Archivo del 19-10 a las 22:53; cita resultados de 2024</w:t>
            </w:r>
          </w:p>
        </w:tc>
        <w:tc>
          <w:tcPr>
            <w:tcW w:type="dxa" w:w="351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Enmienda posterior a la apertura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B.2 Desviaciones que cambiaron el 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98"/>
        <w:gridCol w:w="2059"/>
        <w:gridCol w:w="1778"/>
        <w:gridCol w:w="2059"/>
        <w:gridCol w:w="1966"/>
      </w:tblGrid>
      <w:tr>
        <w:trPr>
          <w:tblHeader/>
        </w:trPr>
        <w:tc>
          <w:tcPr>
            <w:tcW w:type="dxa" w:w="14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 (pre-registro → v3)</w:t>
            </w:r>
          </w:p>
        </w:tc>
        <w:tc>
          <w:tcPr>
            <w:tcW w:type="dxa" w:w="17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Después (v4 y lo ejecutado)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 y tipo</w:t>
            </w:r>
          </w:p>
        </w:tc>
        <w:tc>
          <w:tcPr>
            <w:tcW w:type="dxa" w:w="1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Efecto y qué hace la enmienda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Traslados entrantes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Seminario: excluidos. v3: «no entran a los modelos ni al O/E»</w:t>
            </w:r>
          </w:p>
        </w:tc>
        <w:tc>
          <w:tcPr>
            <w:tcW w:type="dxa" w:w="17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Incluidos, ajustados por TIPO_PROCEDENCIA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Fases 3 y 4, antes de abrir, sin que una puerta lo detectara. La v4 lo formalizó después, citando el examen de 2024. Desviación de ejecución</w:t>
            </w:r>
          </w:p>
        </w:tc>
        <w:tc>
          <w:tcPr>
            <w:tcW w:type="dxa" w:w="1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Ninguno en las cifras. En la exploración, entre el 94 y el 100 % de los hospitales conserva su zona. Análisis 2.6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Sensibilidad sin 2020–2021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Seminario y Fase 1 del 27-09: «se realizará». v3: «el plan no incluye análisis de sensibilidad»</w:t>
            </w:r>
          </w:p>
        </w:tc>
        <w:tc>
          <w:tcPr>
            <w:tcW w:type="dxa" w:w="17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se hizo (Fase 5, D4). La v4 la llama «planificada»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 retiró en la v3, antes de abrir. Análisis prometido que no se hizo</w:t>
            </w:r>
          </w:p>
        </w:tc>
        <w:tc>
          <w:tcPr>
            <w:tcW w:type="dxa" w:w="1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COVID-19 en 2024: O/E 0,58. Análisis 2.2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Sensibilidad sin las 5 categorías sospechosas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Lista de pendientes (06-10): proponerla. v3: «Rechazo»</w:t>
            </w:r>
          </w:p>
        </w:tc>
        <w:tc>
          <w:tcPr>
            <w:tcW w:type="dxa" w:w="17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Retirada; se declara como limitación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 la v3, sin fecha verificable. Salvaguarda retirada</w:t>
            </w:r>
          </w:p>
        </w:tc>
        <w:tc>
          <w:tcPr>
            <w:tcW w:type="dxa" w:w="1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 AUC −0,028; entre el 91 y el 100 % de los hospitales en la misma zona. Análisis 2.1</w:t>
            </w:r>
          </w:p>
        </w:tc>
      </w:tr>
      <w:tr>
        <w:trPr>
          <w:cantSplit/>
        </w:trPr>
        <w:tc>
          <w:tcPr>
            <w:tcW w:type="dxa" w:w="149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Rastreo de traslados salientes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v3: viable; rastrear dentro de 2021–2024</w:t>
            </w:r>
          </w:p>
        </w:tc>
        <w:tc>
          <w:tcPr>
            <w:tcW w:type="dxa" w:w="177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Retirado: censurados y tasa de traslado como contexto</w:t>
            </w:r>
          </w:p>
        </w:tc>
        <w:tc>
          <w:tcPr>
            <w:tcW w:type="dxa" w:w="205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Fase 3 no lo implementó (antes de abrir). Desviación justificada por el cambio de identificador</w:t>
            </w:r>
          </w:p>
        </w:tc>
        <w:tc>
          <w:tcPr>
            <w:tcW w:type="dxa" w:w="19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Alta anticipada sin corregir (H-06); limitación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B.3 Aclaraciones y gobernanza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Variables condicionales:</w:t>
      </w:r>
      <w:r>
        <w:t xml:space="preserve"> la v4 alinea el texto con lo ejecutado. Excluye servicio, especialidad y derivado; incluye el nivel de cuidado al ingreso y la procedencia en dos niveles. Es la única sensibilidad del modelo que falla la regla (análisis 2.3; decisión clínica pendiente).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Tope de estadía (53 días) y volumen mínimo (500 egresos, 10 esperados):</w:t>
      </w:r>
      <w:r>
        <w:t xml:space="preserve"> ya estaban en la Fase 3 y en el protocolo v1.0, antes de abrir. La v4 solo los documenta.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Validación clínica:</w:t>
      </w:r>
      <w:r>
        <w:t xml:space="preserve"> no hay contraparte clínica. La v4 la pedía «antes de la Fase 3».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Aprobación del profesor:</w:t>
      </w:r>
      <w:r>
        <w:t xml:space="preserve"> la v4 dice que el profesor «otorgó plena libertad» y que se descartó adjuntar su constancia. En cambio, </w:t>
      </w:r>
      <w:r>
        <w:rPr>
          <w:rFonts w:ascii="Consolas" w:cs="Consolas" w:eastAsia="Consolas" w:hAnsi="Consolas"/>
          <w:sz w:val="19"/>
          <w:szCs w:val="19"/>
        </w:rPr>
        <w:t xml:space="preserve">DECISIONES_FASE5.md</w:t>
      </w:r>
      <w:r>
        <w:t xml:space="preserve"> la deja pendiente. Esta constancia resuelve esa diferencia.</w:t>
      </w:r>
    </w:p>
    <w:p>
      <w:r>
        <w:br w:type="page"/>
      </w:r>
    </w:p>
    <w:p>
      <w:pPr>
        <w:pStyle w:val="Heading1"/>
      </w:pPr>
      <w:r>
        <w:t xml:space="preserve">Anexo C. Registro de incidentes</w:t>
      </w:r>
    </w:p>
    <w:p>
      <w:pPr>
        <w:spacing w:after="120" w:line="276"/>
      </w:pPr>
      <w:r>
        <w:t xml:space="preserve">Archivo completo, con la evidencia de cada uno: </w:t>
      </w:r>
      <w:r>
        <w:rPr>
          <w:rFonts w:ascii="Consolas" w:cs="Consolas" w:eastAsia="Consolas" w:hAnsi="Consolas"/>
          <w:sz w:val="19"/>
          <w:szCs w:val="19"/>
        </w:rPr>
        <w:t xml:space="preserve">fase5_evaluacion/documentos/INCIDENTES.md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9"/>
        <w:gridCol w:w="1112"/>
        <w:gridCol w:w="3892"/>
        <w:gridCol w:w="1668"/>
        <w:gridCol w:w="2039"/>
      </w:tblGrid>
      <w:tr>
        <w:trPr>
          <w:tblHeader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 o después de abrir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I-01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27-09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 prototipo anterior se evaluó con el desenlace de 2024 (AUC, O/E y HSMR por hospital) y se publicó en GitHub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 del sello; usa el desenlace de 2024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cambia cifras; </w:t>
            </w:r>
            <w:r>
              <w:rPr>
                <w:sz w:val="19"/>
                <w:szCs w:val="19"/>
              </w:rPr>
              <w:t xml:space="preserve">2024 no fue ciego para el autor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I-02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 del 16-10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Una versión del informe de la Fase 2 mostró la mortalidad cruda de 2024 (2,46 %); la versión del 18-10 la retiró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Ninguno: no se ajustó nada con ella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I-03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Octubre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Fase 2 usó 2024 para describir predictores (Elixhauser, deriva de codificación); el cortafuegos bloqueó el desenlace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Ninguno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I-04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ajuste de Optuna se cortó dos veces y las reanudaciones no se registraron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Mismo modelo elegido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I-05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Lectura directa del archivo sellado, solo para los nombres de las columnas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Ninguno; ya declarado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I-06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19-10, 15:06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Cambios en 7 archivos del código de evaluación y en una prueba, después de la apertura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Solo en el reporte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I-07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Relectura de 2024 en una reproducción independiente aislada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Resultados idénticos byte a byte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I-08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Sensibilidades exploratorias corridas antes de pre-registrar la enmienda 01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La enmienda no es ciega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I-09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Valores reales publicados en GitHub: la prueba de privacidad (ya corregida) y tablas del prototipo con 2 celdas menores que 10 en el historial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Decisión pendiente: reescribir o no el historial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I-10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 del 19-10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profesor guía dio su autorización después de conocer los resultados de 2024; la apertura se hizo con la aprobación informada por el estudiante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cambia cifras; la constancia es una ratificación posterior</w:t>
            </w:r>
          </w:p>
        </w:tc>
      </w:tr>
      <w:tr>
        <w:trPr>
          <w:cantSplit/>
        </w:trPr>
        <w:tc>
          <w:tcPr>
            <w:tcW w:type="dxa" w:w="64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I-11</w:t>
            </w:r>
          </w:p>
        </w:tc>
        <w:tc>
          <w:tcPr>
            <w:tcW w:type="dxa" w:w="11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22-10</w:t>
            </w:r>
          </w:p>
        </w:tc>
        <w:tc>
          <w:tcPr>
            <w:tcW w:type="dxa" w:w="38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Conteos nacionales de 1 a 9 reconstruibles por complemento en las tablas por subgrupo de pacientes (F5 2023 y 2024, F6); no son por hospital</w:t>
            </w:r>
          </w:p>
        </w:tc>
        <w:tc>
          <w:tcPr>
            <w:tcW w:type="dxa" w:w="16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  <w:tc>
          <w:tcPr>
            <w:tcW w:type="dxa" w:w="203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Decisión pendiente: supresión secundaria o declararlo</w:t>
            </w:r>
          </w:p>
        </w:tc>
      </w:tr>
    </w:tbl>
    <w:p>
      <w:pPr>
        <w:spacing w:after="8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Etapa 0 · Gobernanza · para firma  ·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 0 · Gobernanza · para firma</dc:title>
  <dc:creator>Felipe Ignacio Baeza Muñoz</dc:creator>
  <dc:description>Informe v5 del proyecto de tesis (reproducción independiente verificada)</dc:description>
  <cp:lastModifiedBy>Un-named</cp:lastModifiedBy>
  <cp:revision>1</cp:revision>
  <dcterms:created xsi:type="dcterms:W3CDTF">2026-10-22T04:31:34.454Z</dcterms:created>
  <dcterms:modified xsi:type="dcterms:W3CDTF">2026-10-22T04:31:34.456Z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