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f3f7e05ca842afd6e52971df79e996c234b1a5c"/>
    <w:p>
      <w:pPr>
        <w:pStyle w:val="Heading1"/>
      </w:pPr>
      <w:r>
        <w:t xml:space="preserve">Plan de corrección y reproducción independiente (resumen)</w:t>
      </w:r>
    </w:p>
    <w:p>
      <w:pPr>
        <w:pStyle w:val="FirstParagraph"/>
      </w:pPr>
      <w:r>
        <w:t xml:space="preserve">Documento completo: https://claude.ai/artifact/Q1GfYBUwxUcMtFZpxoz1re · Fecha: 2026-10-20/21</w:t>
      </w:r>
    </w:p>
    <w:bookmarkStart w:id="20" w:name="reproducción-desde-cero-fases-35"/>
    <w:p>
      <w:pPr>
        <w:pStyle w:val="Heading2"/>
      </w:pPr>
      <w:r>
        <w:t xml:space="preserve">Reproducción desde cero (Fases 3–5)</w:t>
      </w:r>
    </w:p>
    <w:p>
      <w:pPr>
        <w:numPr>
          <w:ilvl w:val="0"/>
          <w:numId w:val="1001"/>
        </w:numPr>
        <w:pStyle w:val="Compact"/>
      </w:pPr>
      <w:r>
        <w:t xml:space="preserve">Archivos GRD 2019–2024: 6 de 6 con la misma huella SHA-256 que</w:t>
      </w:r>
      <w:r>
        <w:t xml:space="preserve"> </w:t>
      </w:r>
      <w:r>
        <w:rPr>
          <w:rStyle w:val="VerbatimChar"/>
        </w:rPr>
        <w:t xml:space="preserve">bronce_resumen.csv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Fase 3: 8/8 puertas PASS; cascada 79/79; las 4 matrices de Oro tienen la misma huella que el contrato de la Fase 4.</w:t>
      </w:r>
    </w:p>
    <w:p>
      <w:pPr>
        <w:numPr>
          <w:ilvl w:val="0"/>
          <w:numId w:val="1001"/>
        </w:numPr>
        <w:pStyle w:val="Compact"/>
      </w:pPr>
      <w:r>
        <w:t xml:space="preserve">Fase 4: las 140 pruebas de Optuna, las líneas base, la comparación, la selección (gana LightGBM en las dos tareas) y la calibración son idénticas. Los 9 archivos congelados y el manifiesto completo son idénticos byte a byte. Las 7 tablas exploratorias (</w:t>
      </w:r>
      <w:r>
        <w:rPr>
          <w:rStyle w:val="VerbatimChar"/>
        </w:rPr>
        <w:t xml:space="preserve">auditoria_extracto_*</w:t>
      </w:r>
      <w:r>
        <w:t xml:space="preserve"> </w:t>
      </w:r>
      <w:r>
        <w:t xml:space="preserve">y ampliación) no son reproducibles: salen de un extracto que no está en el proyecto.</w:t>
      </w:r>
    </w:p>
    <w:p>
      <w:pPr>
        <w:numPr>
          <w:ilvl w:val="0"/>
          <w:numId w:val="1001"/>
        </w:numPr>
        <w:pStyle w:val="Compact"/>
      </w:pPr>
      <w:r>
        <w:t xml:space="preserve">Fase 5: planes B (7b45c1de…), validación del embudo, ensayo 2023 y las 12 tablas de la evaluación 2024 (bootstrap 1000) son idénticos byte a byte; G1–G8 PASS.</w:t>
      </w:r>
    </w:p>
    <w:p>
      <w:pPr>
        <w:numPr>
          <w:ilvl w:val="0"/>
          <w:numId w:val="1001"/>
        </w:numPr>
        <w:pStyle w:val="Compact"/>
      </w:pPr>
      <w:r>
        <w:t xml:space="preserve">La relectura de 2024 se hizo en una copia aislada; el registro de accesos de la autora no se tocó. Hay que declararla en INCIDENTES.md.</w:t>
      </w:r>
    </w:p>
    <w:bookmarkEnd w:id="20"/>
    <w:bookmarkStart w:id="21" w:name="hallazgos-nuevos-o-corregidos"/>
    <w:p>
      <w:pPr>
        <w:pStyle w:val="Heading2"/>
      </w:pPr>
      <w:r>
        <w:t xml:space="preserve">Hallazgos nuevos o corregidos</w:t>
      </w:r>
    </w:p>
    <w:p>
      <w:pPr>
        <w:numPr>
          <w:ilvl w:val="0"/>
          <w:numId w:val="1002"/>
        </w:numPr>
        <w:pStyle w:val="Compact"/>
      </w:pPr>
      <w:r>
        <w:t xml:space="preserve">H-19 (nuevo): Optuna no se reproduce desde cero si la corrida se reanudó. La prueba que se corta queda abierta con sus parámetros y el muestreador nuevo la toma en cuenta. Hubo dos cortes en la corrida original (XGBoost: mortalidad en la prueba 28, estadía en la 18). Emulándolos, coinciden las 140 pruebas.</w:t>
      </w:r>
    </w:p>
    <w:p>
      <w:pPr>
        <w:numPr>
          <w:ilvl w:val="0"/>
          <w:numId w:val="1002"/>
        </w:numPr>
        <w:pStyle w:val="Compact"/>
      </w:pPr>
      <w:r>
        <w:t xml:space="preserve">Hay salidas generadas con versiones distintas del código: la tabla de pruebas de estadía con LightGBM conserva los valores de las podadas, y P8 contó 15 pruebas en vez de 18.</w:t>
      </w:r>
    </w:p>
    <w:p>
      <w:pPr>
        <w:numPr>
          <w:ilvl w:val="0"/>
          <w:numId w:val="1002"/>
        </w:numPr>
        <w:pStyle w:val="Compact"/>
      </w:pPr>
      <w:r>
        <w:t xml:space="preserve">Corrección a la auditoría: el modelo de estadía usa pérdida Tweedie (potencia 1,80), no Poisson.</w:t>
      </w:r>
    </w:p>
    <w:bookmarkEnd w:id="21"/>
    <w:bookmarkStart w:id="22" w:name="X749308fbf48fe11c49229b15b5944f898f61924"/>
    <w:p>
      <w:pPr>
        <w:pStyle w:val="Heading2"/>
      </w:pPr>
      <w:r>
        <w:t xml:space="preserve">Sensibilidades (regla: al menos 80 % de hospitales en la misma zona y ρ ≥ 0,90)</w:t>
      </w:r>
    </w:p>
    <w:p>
      <w:pPr>
        <w:numPr>
          <w:ilvl w:val="0"/>
          <w:numId w:val="1003"/>
        </w:numPr>
        <w:pStyle w:val="Compact"/>
      </w:pPr>
      <w:r>
        <w:t xml:space="preserve">Fallan la regla, solo en mortalidad: sin variables condicionales (ρ 0,80 en 2024 y 0,89 en el diseño anidado) y sin ninguna comorbilidad (ρ 0,88 en 2024).</w:t>
      </w:r>
    </w:p>
    <w:p>
      <w:pPr>
        <w:numPr>
          <w:ilvl w:val="0"/>
          <w:numId w:val="1003"/>
        </w:numPr>
        <w:pStyle w:val="Compact"/>
      </w:pPr>
      <w:r>
        <w:t xml:space="preserve">Sin las comorbilidades sospechosas: cumple (91–100 % de hospitales en la misma zona); el PR AUC baja 0,028.</w:t>
      </w:r>
    </w:p>
    <w:p>
      <w:pPr>
        <w:numPr>
          <w:ilvl w:val="0"/>
          <w:numId w:val="1003"/>
        </w:numPr>
        <w:pStyle w:val="Compact"/>
      </w:pPr>
      <w:r>
        <w:t xml:space="preserve">Logística frente a LightGBM: 94–100 % de hospitales en la misma zona, ρ 0,98.</w:t>
      </w:r>
    </w:p>
    <w:p>
      <w:pPr>
        <w:numPr>
          <w:ilvl w:val="0"/>
          <w:numId w:val="1003"/>
        </w:numPr>
        <w:pStyle w:val="Compact"/>
      </w:pPr>
      <w:r>
        <w:t xml:space="preserve">Winsorización: con la heterogeneidad real, el método deja fuera del 95 % el 11,6 % (mortalidad) y el 13,2 % (estadía); sin winsorizar, 4,7 % y 4,9 %. En mortalidad 2024, sin winsorizar las alertas bajan de 15,9 % a 8,7 %.</w:t>
      </w:r>
    </w:p>
    <w:p>
      <w:pPr>
        <w:numPr>
          <w:ilvl w:val="0"/>
          <w:numId w:val="1003"/>
        </w:numPr>
        <w:pStyle w:val="Compact"/>
      </w:pPr>
      <w:r>
        <w:t xml:space="preserve">Institutos monográficos: los 3 quedan fuera en mortalidad 2024 y son 2 de las 3 señales; sacarlos no mueve al resto.</w:t>
      </w:r>
    </w:p>
    <w:p>
      <w:pPr>
        <w:numPr>
          <w:ilvl w:val="0"/>
          <w:numId w:val="1003"/>
        </w:numPr>
        <w:pStyle w:val="Compact"/>
      </w:pPr>
      <w:r>
        <w:t xml:space="preserve">Alertas bajas de estadía: trasladan más (mediana 7,4 % frente a 3,7 %, p = 0,007); 4 de los 7 hospitales nuevos están en alerta baja (OR 10,5, p = 0,010); ρ del O/E con el volumen esperado = 0,42. Con grupos de pares por volumen, las alertas bajan de 15,9 % a 5,8 %.</w:t>
      </w:r>
    </w:p>
    <w:p>
      <w:pPr>
        <w:numPr>
          <w:ilvl w:val="0"/>
          <w:numId w:val="1003"/>
        </w:numPr>
        <w:pStyle w:val="Compact"/>
      </w:pPr>
      <w:r>
        <w:t xml:space="preserve">Deriva del O/E global en el diseño anidado (2023): 0,905 en mortalidad y 0,946 en estadía. Se recomienda re-basar cada año para el despliegue.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2026-10-21T03:07:40Z</dcterms:created>
  <dcterms:modified xsi:type="dcterms:W3CDTF">2026-10-21T03:07:40Z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