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UNIVERSIDAD DE SANTIAGO DE CHILE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FACULTAD DE INGENIERÍA</w:t>
      </w:r>
    </w:p>
    <w:p>
      <w:pPr>
        <w:spacing w:after="1200"/>
        <w:jc w:val="center"/>
      </w:pPr>
      <w:r>
        <w:rPr>
          <w:b/>
          <w:bCs/>
          <w:color w:val="000000"/>
          <w:sz w:val="24"/>
          <w:szCs w:val="24"/>
        </w:rPr>
        <w:t xml:space="preserve">DEPARTAMENTO DE INGENIERÍA INFORMÁTICA</w:t>
      </w: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INFORME TÉCNICO — FASE 3</w:t>
      </w:r>
    </w:p>
    <w:p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 xml:space="preserve">PREPARACIÓN DE LOS DATOS</w:t>
      </w:r>
    </w:p>
    <w:p>
      <w:pPr>
        <w:spacing w:after="1000"/>
        <w:jc w:val="center"/>
      </w:pPr>
      <w:r>
        <w:rPr>
          <w:color w:val="404040"/>
          <w:sz w:val="24"/>
          <w:szCs w:val="24"/>
        </w:rPr>
        <w:t xml:space="preserve">Capas Bronce, Plata y Oro, cohortes y sellado de 2024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Proyecto de Tesis</w:t>
      </w:r>
    </w:p>
    <w:p>
      <w:pPr>
        <w:spacing w:after="60"/>
        <w:jc w:val="center"/>
      </w:pPr>
      <w:r>
        <w:rPr>
          <w:color w:val="000000"/>
          <w:sz w:val="24"/>
          <w:szCs w:val="24"/>
        </w:rPr>
        <w:t xml:space="preserve">Sistema de evaluación del desempeño hospitalario</w:t>
      </w:r>
    </w:p>
    <w:p>
      <w:pPr>
        <w:spacing w:after="900"/>
        <w:jc w:val="center"/>
      </w:pPr>
      <w:r>
        <w:rPr>
          <w:color w:val="000000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Felipe Ignacio Baeza Muñoz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Profesor guía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Manuel Villalobos Cid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Carrera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Octubre 2026 · Versión 5 (verificada por reproducción independiente)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2E5AAC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</w:rPr>
              <w:t xml:space="preserve">Cómo leer este informe</w:t>
            </w:r>
          </w:p>
          <w:p>
            <w:pPr>
              <w:spacing w:after="60" w:line="264"/>
            </w:pPr>
            <w:r>
              <w:t xml:space="preserve">Este informe explica la Fase 3 para alguien que llega recién al proyecto. Solo describe lo que </w:t>
            </w:r>
            <w:r>
              <w:rPr>
                <w:b/>
                <w:bCs/>
              </w:rPr>
              <w:t xml:space="preserve">de verdad se ejecutó</w:t>
            </w:r>
            <w:r>
              <w:t xml:space="preserve">: cada cifra sale de una tabla del repositorio y fue comprobada en una </w:t>
            </w:r>
            <w:r>
              <w:rPr>
                <w:b/>
                <w:bCs/>
              </w:rPr>
              <w:t xml:space="preserve">reproducción independiente desde cero</w:t>
            </w:r>
            <w:r>
              <w:t xml:space="preserve"> (octubre de 2026), que corrió el código sin cambios sobre los archivos originales de FONASA.</w:t>
            </w:r>
          </w:p>
          <w:p>
            <w:pPr>
              <w:spacing w:after="60" w:line="264"/>
            </w:pPr>
            <w:r>
              <w:t xml:space="preserve">Las decisiones que cambiaron en el camino se muestran con su fecha y con si fueron </w:t>
            </w:r>
            <w:r>
              <w:rPr>
                <w:b/>
                <w:bCs/>
              </w:rPr>
              <w:t xml:space="preserve">antes o después de abrir el año 2024</w:t>
            </w:r>
            <w:r>
              <w:t xml:space="preserve"> (el examen final de los modelos). Las versiones anteriores del informe se conservan sin cambios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docs/historial/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Las figuras de este informe se regeneraron en la reproducción independiente, a partir de las tablas reproducidas.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Lo esencial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5.808.535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egresos pasaron por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las tres capas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2.640.061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egresos en la cohorte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de mortalidad (D)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2.396.356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egresos en la cohorte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de estadía (E)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8 de 8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puertas de calidad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aprobadas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La Fase 3 transforma los archivos de FONASA en las dos tablas con que se entrenan los modelos. Lo hace en tres capas (Bronce, Plata y Oro), arma las cohortes A a E y </w:t>
      </w:r>
      <w:r>
        <w:rPr>
          <w:b/>
          <w:bCs/>
        </w:rPr>
        <w:t xml:space="preserve">sella el desenlace de 2024</w:t>
      </w:r>
      <w:r>
        <w:t xml:space="preserve"> para que nadie lo vea antes de la evaluación final.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Ningún egreso se pierde sin motivo: en cada paso, las filas de entrada son iguales a las de salida más las excluidas, con su razón.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 cascada de cohortes reproduce exactamente las </w:t>
      </w:r>
      <w:r>
        <w:rPr>
          <w:b/>
          <w:bCs/>
        </w:rPr>
        <w:t xml:space="preserve">79 cifras</w:t>
      </w:r>
      <w:r>
        <w:t xml:space="preserve"> medidas por la Fase 2.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 construyeron dos matrices: mortalidad (cohorte D) y estadía (cohorte E), con 2019–2022 para entrenar y 2023 para calibrar.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El desenlace de 2024 quedó sellado: 0 lecturas durante esta fase.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Dos corridas completas dan archivos idénticos y las 53 pruebas automáticas pasan. La reproducción independiente obtuvo las cuatro matrices de Oro </w:t>
      </w:r>
      <w:r>
        <w:rPr>
          <w:b/>
          <w:bCs/>
        </w:rPr>
        <w:t xml:space="preserve">byte a byte iguales</w:t>
      </w:r>
      <w:r>
        <w:t xml:space="preserve">.</w:t>
      </w:r>
    </w:p>
    <w:p>
      <w:pPr>
        <w:pStyle w:val="Heading2"/>
      </w:pPr>
      <w:r>
        <w:t xml:space="preserve">Dónde está esta fase dentro del proyecto</w:t>
      </w:r>
    </w:p>
    <w:p>
      <w:pPr>
        <w:spacing w:after="120" w:line="276"/>
      </w:pPr>
      <w:r>
        <w:t xml:space="preserve">El proyecto sigue CRISP-DM (</w:t>
      </w:r>
      <w:r>
        <w:rPr>
          <w:i/>
          <w:iCs/>
        </w:rPr>
        <w:t xml:space="preserve">Cross-Industry Standard Process for Data Mining</w:t>
      </w:r>
      <w:r>
        <w:t xml:space="preserve">), un método en seis fases. Cada fase tiene su carpeta de código y su informe: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1"/>
        <w:gridCol w:w="3153"/>
        <w:gridCol w:w="2463"/>
        <w:gridCol w:w="1773"/>
      </w:tblGrid>
      <w:tr>
        <w:trPr>
          <w:tblHeader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 de código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 Comprensión del dominio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¿Qué problema se resuelve y con qué reglas?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 (solo documentos)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 Comprensión de los datos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¿Los datos permiten hacerlo así?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fase2_eda/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 Preparación de los datos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¿Cómo se limpian y quién entra a cada modelo?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fase3_preparacion/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4. Modelado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¿Qué modelo predice mejor y cómo se calibra?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fase4_modelado/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Cerrada; modelos congelados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5. Evaluación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¿Funcionan los modelos en 2024 y qué dice el indicador?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fase5_evaluacion/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Cerrada; 2024 abierto una vez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6. Despliegue</w:t>
            </w:r>
          </w:p>
        </w:tc>
        <w:tc>
          <w:tcPr>
            <w:tcW w:type="dxa" w:w="31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¿Cómo se entrega el indicador?</w:t>
            </w:r>
          </w:p>
        </w:tc>
        <w:tc>
          <w:tcPr>
            <w:tcW w:type="dxa" w:w="24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fase6_despliegue/</w:t>
            </w:r>
          </w:p>
        </w:tc>
        <w:tc>
          <w:tcPr>
            <w:tcW w:type="dxa" w:w="177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 desarrollo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Reglas que la fase hace cumplir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2"/>
        <w:gridCol w:w="6448"/>
      </w:tblGrid>
      <w:tr>
        <w:trPr>
          <w:tblHeader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cumple en el código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2024 no se toca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Su desenlace va a una carpeta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sellado/</w:t>
            </w:r>
            <w:r>
              <w:rPr>
                <w:sz w:val="19"/>
                <w:szCs w:val="19"/>
              </w:rPr>
              <w:t xml:space="preserve">, sin calcular ningún agregado; abrirlo exige una autorización explícita y cada intento queda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registro_accesos.csv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Lo que se aprende, se aprende con 2019–2022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Las categorías aceptadas y el tope de estadía (53 días) no usan 2023 ni 2024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Nada desaparece sin explicación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Cada exclusión tiene motivo y conteo; las capas cuadran entre sí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inventan datos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 valor imposible se deja vacío y se cuenta; nunca se rellena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Privacidad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Ninguna salida con RUT, fechas completas ni celdas de 1 a 9 casos; la fecha de nacimiento no llega a Oro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variables prohibidas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Severidad, peso y riesgo de mortalidad del GRD no pasan a Plata ni a Oro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Cómo está organizada la carpeta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1244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404040"/>
          <w:sz w:val="17"/>
          <w:szCs w:val="17"/>
        </w:rPr>
        <w:t xml:space="preserve">Figura 1. Flujo de la Fase 3: los archivos de FONASA pasan por tres capas y se separan en entrenamiento, calibración y el año 2024 sellado.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2"/>
        <w:gridCol w:w="6968"/>
      </w:tblGrid>
      <w:tr>
        <w:trPr>
          <w:tblHeader/>
        </w:trPr>
        <w:tc>
          <w:tcPr>
            <w:tcW w:type="dxa" w:w="23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 o archivo</w:t>
            </w:r>
          </w:p>
        </w:tc>
        <w:tc>
          <w:tcPr>
            <w:tcW w:type="dxa" w:w="6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prep/</w:t>
            </w:r>
          </w:p>
        </w:tc>
        <w:tc>
          <w:tcPr>
            <w:tcW w:type="dxa" w:w="6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código, un módulo por tarea: bronce, plata, cohortes, oro, sellado, catálogo, privacidad, verificación y orquestador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</w:t>
            </w:r>
          </w:p>
        </w:tc>
        <w:tc>
          <w:tcPr>
            <w:tcW w:type="dxa" w:w="6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Parámetros congelados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umbrales_fase3.toml</w:t>
            </w:r>
            <w:r>
              <w:rPr>
                <w:sz w:val="19"/>
                <w:szCs w:val="19"/>
              </w:rPr>
              <w:t xml:space="preserve">) y tablas de referencia: Elixhauser, roles del tipo de alta y cifras de la Fase 2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tests/</w:t>
            </w:r>
          </w:p>
        </w:tc>
        <w:tc>
          <w:tcPr>
            <w:tcW w:type="dxa" w:w="6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53 pruebas automáticas con datos sintéticos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salidas/tablas/</w:t>
            </w:r>
          </w:p>
        </w:tc>
        <w:tc>
          <w:tcPr>
            <w:tcW w:type="dxa" w:w="6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Resultados en CSV, incluida la tabla de las 8 puertas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tabla_verificacion.csv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salidas/figuras/</w:t>
            </w:r>
          </w:p>
        </w:tc>
        <w:tc>
          <w:tcPr>
            <w:tcW w:type="dxa" w:w="6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Gráficos de este informe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run_fase3.py</w:t>
            </w:r>
          </w:p>
        </w:tc>
        <w:tc>
          <w:tcPr>
            <w:tcW w:type="dxa" w:w="6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Ejecuta todo en orden con un solo comando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Las capas (unos 800 MB) se escriben </w:t>
      </w:r>
      <w:r>
        <w:rPr>
          <w:b/>
          <w:bCs/>
        </w:rPr>
        <w:t xml:space="preserve">fuera</w:t>
      </w:r>
      <w:r>
        <w:t xml:space="preserve"> del repositorio, en la carpeta indicada con </w:t>
      </w:r>
      <w:r>
        <w:rPr>
          <w:rFonts w:ascii="Consolas" w:cs="Consolas" w:eastAsia="Consolas" w:hAnsi="Consolas"/>
          <w:sz w:val="19"/>
          <w:szCs w:val="19"/>
        </w:rPr>
        <w:t xml:space="preserve">--capas</w:t>
      </w:r>
      <w:r>
        <w:t xml:space="preserve">, y se regeneran en unos 7 minutos.</w:t>
      </w:r>
    </w:p>
    <w:p>
      <w:pPr>
        <w:pStyle w:val="Heading1"/>
      </w:pPr>
      <w:r>
        <w:t xml:space="preserve">4. Paso a paso</w:t>
      </w:r>
    </w:p>
    <w:p>
      <w:pPr>
        <w:pStyle w:val="Heading2"/>
      </w:pPr>
      <w:r>
        <w:t xml:space="preserve">4.1 Bronce: copiar sin cambiar nada</w:t>
      </w:r>
    </w:p>
    <w:p>
      <w:pPr>
        <w:spacing w:after="120" w:line="276"/>
      </w:pPr>
      <w:r>
        <w:t xml:space="preserve">Cada archivo se guarda como Parquet con todos los valores como texto, más tres columnas: año, número de línea del archivo original e identificador único del egreso. Así siempre se puede volver al 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1950"/>
        <w:gridCol w:w="1950"/>
        <w:gridCol w:w="1950"/>
        <w:gridCol w:w="2340"/>
      </w:tblGrid>
      <w:tr>
        <w:trPr>
          <w:tblHeader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Año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Líneas de datos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Filas leídas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Líneas defectuosas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Filas repetidas exactas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2019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1.151.475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1.151.475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159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781.912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781.912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2.818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2021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816.909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816.909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279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932.840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932.839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1.039.587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1.039.587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169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1.085.813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1.085.813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330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5.808.536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5.808.535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3.818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Las 3.818 filas repetidas exactas no se eliminan: pueden ser dos egresos reales parecidos y borrarlas sería una decisión sin respaldo. Los valores con forma de RUT se cuentan, pero su contenido nunca se guarda y esas dos columnas (USOSPABELLON y FECHAPROCEDIMIENTO1 de 2019) no pasan a Plata.</w:t>
      </w:r>
    </w:p>
    <w:p>
      <w:pPr>
        <w:pStyle w:val="Heading2"/>
      </w:pPr>
      <w:r>
        <w:t xml:space="preserve">4.2 Plata: limpiar y ordenar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Une los dos formatos de fecha, calcula la edad en años cumplidos (anula edades negativas o sobre 110) y la estadía (anula estadías negativas).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Limpia los códigos de diagnóstico y clasifica el tipo de alta en cuatro roles: evento (falleció), no evento (alta), censurado (traslado u otro) y sin dato.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Reemplaza columnas muy detalladas (procedimientos, traslados internos) por conteos y reduce las columnas a 62.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Valores anulados: identificadores atípicos (15.747 en 2019, 7.497 en 2020, 0 en 2021, 2.949 en 2022, 1.635 en 2023 y 1.037 en 2024) y menos de 20 por año en las demás reglas. Ninguno se imputó.</w:t>
      </w:r>
    </w:p>
    <w:p>
      <w:pPr>
        <w:pStyle w:val="Heading2"/>
      </w:pPr>
      <w:r>
        <w:t xml:space="preserve">4.3 Cohortes: quién entra a cada modelo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486400" cy="30575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404040"/>
          <w:sz w:val="17"/>
          <w:szCs w:val="17"/>
        </w:rPr>
        <w:t xml:space="preserve">Figura 2. Cascada de cohortes 2019–2023: barras naranjas, egresos excluidos; azules, cohortes que quedan. 2024 llega solo a la cohorte C porque su desenlace está sellado.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0"/>
        <w:gridCol w:w="4368"/>
        <w:gridCol w:w="3952"/>
      </w:tblGrid>
      <w:tr>
        <w:trPr>
          <w:tblHeader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excluye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EX01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GRD no agrupable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GRD no se compara con casos similares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EX02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Recién nacidos (MDC 15)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Su riesgo se mide de otra forma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EX03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Obstétricos sin comorbilidad de Elixhauser (MDC 14)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Partos sin complicación casi no tienen mortalidad (ver la limitación H-07)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EX04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Menores de 18 o edad desconocida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Decisión 5: solo adultos → cohorte B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EX05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Actividad distinta de hospitalización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Solo hospitalización → cohorte C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EX06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Censurados o sin dato de desenlace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sabe si fallecieron → cohorte D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EX07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Fallecidos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Regla R8 (solo para estadía)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EX08</w:t>
            </w:r>
          </w:p>
        </w:tc>
        <w:tc>
          <w:tcPr>
            <w:tcW w:type="dxa" w:w="43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Sobrevivientes con estadía de 0 días o desconocida</w:t>
            </w:r>
          </w:p>
        </w:tc>
        <w:tc>
          <w:tcPr>
            <w:tcW w:type="dxa" w:w="395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hay estadía que modelar → cohorte 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2"/>
        <w:gridCol w:w="1182"/>
        <w:gridCol w:w="1084"/>
        <w:gridCol w:w="1084"/>
        <w:gridCol w:w="1084"/>
        <w:gridCol w:w="1182"/>
        <w:gridCol w:w="1182"/>
      </w:tblGrid>
      <w:tr>
        <w:trPr>
          <w:tblHeader/>
        </w:trPr>
        <w:tc>
          <w:tcPr>
            <w:tcW w:type="dxa" w:w="25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Cohorte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2019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Egresos leídos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1.151.475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781.912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816.909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932.839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1.039.587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1.085.813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C: adultos hospitalizados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616.159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514.825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539.276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568.017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623.137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665.450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D: mortalidad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585.631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474.341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488.799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522.553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568.737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sellado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E: estadía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538.814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426.076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437.842</w:t>
            </w:r>
          </w:p>
        </w:tc>
        <w:tc>
          <w:tcPr>
            <w:tcW w:type="dxa" w:w="1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473.791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519.833</w:t>
            </w:r>
          </w:p>
        </w:tc>
        <w:tc>
          <w:tcPr>
            <w:tcW w:type="dxa" w:w="11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sellado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Oro: las variables finales</w:t>
      </w:r>
    </w:p>
    <w:p>
      <w:pPr>
        <w:spacing w:after="120" w:line="276"/>
      </w:pPr>
      <w:r>
        <w:t xml:space="preserve">Para las cohortes D y E se arma una fila por egreso con </w:t>
      </w:r>
      <w:r>
        <w:rPr>
          <w:b/>
          <w:bCs/>
        </w:rPr>
        <w:t xml:space="preserve">40 predictores</w:t>
      </w:r>
      <w:r>
        <w:t xml:space="preserve">: edad, sexo, fin de semana, tipo de ingreso, tipo de procedencia, agrupación de procedencia, nivel de cuidado al ingreso, diagnóstico principal (3 caracteres), grupo clínico y las 31 categorías de Elixhauser. Tres decisiones de diseño: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Predictores y desenlace en archivos distintos</w:t>
      </w:r>
      <w:r>
        <w:t xml:space="preserve">, para que el desenlace no se cuele entre las variables.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Categorías raras agrupadas:</w:t>
      </w:r>
      <w:r>
        <w:t xml:space="preserve"> un diagnóstico con menos de 100 egresos en 2019–2022 pasa a «RARO»; quedan 824 diagnósticos más RARO. La lista se calcula solo con el entrenamiento.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Agregados de comorbilidad aparte:</w:t>
      </w:r>
      <w:r>
        <w:t xml:space="preserve"> el número de enfermedades y el puntaje de van Walraven son combinaciones de los 31 indicadores y quedan en una tabla de línea base.</w:t>
      </w:r>
    </w:p>
    <w:p>
      <w:pPr>
        <w:spacing w:after="120" w:line="276"/>
      </w:pPr>
      <w:r>
        <w:t xml:space="preserve">La estadía se recorta en el </w:t>
      </w:r>
      <w:r>
        <w:rPr>
          <w:b/>
          <w:bCs/>
        </w:rPr>
        <w:t xml:space="preserve">percentil 99 del entrenamiento: 53 días</w:t>
      </w:r>
      <w:r>
        <w:t xml:space="preserve">. Afecta a 17.995 de 1.876.523 egresos (0,96 %); nadie sale de la cohorte.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572000" cy="1952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404040"/>
          <w:sz w:val="17"/>
          <w:szCs w:val="17"/>
        </w:rPr>
        <w:t xml:space="preserve">Figura 3. Mortalidad hospitalaria por año en la cohorte D (5,34 % en 2019–2022, 4,26 % en 2023). 2024 no se calcula: está sellado.</w:t>
      </w:r>
    </w:p>
    <w:p>
      <w:pPr>
        <w:pStyle w:val="Heading2"/>
      </w:pPr>
      <w:r>
        <w:t xml:space="preserve">4.5 Sellado de 2024</w:t>
      </w:r>
    </w:p>
    <w:p>
      <w:pPr>
        <w:spacing w:after="120" w:line="276"/>
      </w:pPr>
      <w:r>
        <w:t xml:space="preserve">Al procesar 2024, el desenlace (tipo de alta y fecha de alta) se guarda en </w:t>
      </w:r>
      <w:r>
        <w:rPr>
          <w:rFonts w:ascii="Consolas" w:cs="Consolas" w:eastAsia="Consolas" w:hAnsi="Consolas"/>
          <w:sz w:val="19"/>
          <w:szCs w:val="19"/>
        </w:rPr>
        <w:t xml:space="preserve">sellado/</w:t>
      </w:r>
      <w:r>
        <w:t xml:space="preserve"> sin calcular ningún agregado. Durante esta fase hubo </w:t>
      </w:r>
      <w:r>
        <w:rPr>
          <w:b/>
          <w:bCs/>
        </w:rPr>
        <w:t xml:space="preserve">0 lecturas concedidas</w:t>
      </w:r>
      <w:r>
        <w:t xml:space="preserve"> y 3 escrituras selladas, una por corrida, registradas el 18-10-2026. La única lectura posterior es la apertura de la Fase 5 (19-10-2026, 13:04 UTC).</w:t>
      </w:r>
    </w:p>
    <w:p>
      <w:pPr>
        <w:pStyle w:val="Heading2"/>
      </w:pPr>
      <w:r>
        <w:t xml:space="preserve">4.6 Catálogo de hospitales</w:t>
      </w:r>
    </w:p>
    <w:p>
      <w:pPr>
        <w:spacing w:after="120" w:line="276"/>
      </w:pPr>
      <w:r>
        <w:t xml:space="preserve">Tabla por hospital y año con egresos, cohortes y fallecidos (celdas de 1 a 9 como «&lt;10»). Hay 65 hospitales en 2019–2022, 68 en 2023 y 72 en 2024; uno de 2024 no figura en el catálogo oficial. Se entrega </w:t>
      </w:r>
      <w:r>
        <w:rPr>
          <w:rFonts w:ascii="Consolas" w:cs="Consolas" w:eastAsia="Consolas" w:hAnsi="Consolas"/>
          <w:sz w:val="19"/>
          <w:szCs w:val="19"/>
        </w:rPr>
        <w:t xml:space="preserve">catalogo_hospitales.sql</w:t>
      </w:r>
      <w:r>
        <w:t xml:space="preserve"> para PostgreSQL, sin ejecutar.</w:t>
      </w:r>
    </w:p>
    <w:p>
      <w:pPr>
        <w:pStyle w:val="Heading1"/>
      </w:pPr>
      <w:r>
        <w:t xml:space="preserve">5. Las 8 puertas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0"/>
        <w:gridCol w:w="5720"/>
        <w:gridCol w:w="1560"/>
      </w:tblGrid>
      <w:tr>
        <w:trPr>
          <w:tblHeader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Puerta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comprueba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P1 Bronce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Todas las filas y las 129 columnas en los 6 archivos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P2 Plata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5.808.535 filas en Plata = Bronce; tabla de valores anulados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P3 Cascada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79 cifras iguales a la Fase 2; la cascada cuadra en los 6 años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P4 Oro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Cero variables prohibidas y todas las columnas en el diccionario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P5 Sellado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Cero lecturas del desenlace de 2024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P6 Privacidad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RUT, fechas completas ni celdas de 1 a 9 casos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P7 Sin fuga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Mismas categorías con y sin 2023–2024; tope de 53 días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P8 Reproducibilidad</w:t>
            </w:r>
          </w:p>
        </w:tc>
        <w:tc>
          <w:tcPr>
            <w:tcW w:type="dxa" w:w="5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53 pruebas; 41 de 41 archivos idénticos en dos corridas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Decisiones y cambios que se declaran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Traslados entrantes incluidos.</w:t>
      </w:r>
      <w:r>
        <w:t xml:space="preserve"> Las cohortes D y E incluyen a los pacientes que llegan desde otro hospital, ajustados por la procedencia. La Fase 1 v3 los excluía; el cambio se ejecutó aquí (18-10-2026, antes de abrir 2024) sin quedar escrito, y se formalizó después (ver Fase 1, sección 8.1).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Traslados salientes sin rastreo.</w:t>
      </w:r>
      <w:r>
        <w:t xml:space="preserve"> Quedan censurados; no se reconstruye su desenlace en otro hospital.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Lectura enmascarada de 2024 no ejecutada.</w:t>
      </w:r>
      <w:r>
        <w:t xml:space="preserve"> Existe una función probada que solo diría qué egresos de 2024 entrarían a la cohorte D; se decidió no usarla.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PostgreSQL no se creó;</w:t>
      </w:r>
      <w:r>
        <w:t xml:space="preserve"> se entrega el script del catálogo.</w:t>
      </w:r>
    </w:p>
    <w:p>
      <w:pPr>
        <w:pStyle w:val="Heading1"/>
      </w:pPr>
      <w:r>
        <w:t xml:space="preserve">7. Verificación independiente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60"/>
        <w:gridCol w:w="5200"/>
      </w:tblGrid>
      <w:tr>
        <w:trPr>
          <w:tblHeader/>
        </w:trPr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comprobó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Corrida completa desde los archivos originales, con el código sin cambios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 de 8 puertas PASS en 7 minutos, pico de 3,15 GB de memoria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Pruebas y determinismo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53 pruebas pasan; 41 de 41 archivos idénticos entre dos corridas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Matrices de Oro (mortalidad, estadía y sus desenlaces)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Byte a byte iguales</w:t>
            </w:r>
            <w:r>
              <w:rPr>
                <w:sz w:val="19"/>
                <w:szCs w:val="19"/>
              </w:rPr>
              <w:t xml:space="preserve"> a las que usó la Fase 4 (misma huella SHA-256)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Tablas de salida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17 de 23 idénticas; las otras 6 difieren solo en la forma (orden de empates, tiempos, pico de memoria y registro de accesos)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Limitaciones y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4"/>
        <w:gridCol w:w="3536"/>
        <w:gridCol w:w="3120"/>
      </w:tblGrid>
      <w:tr>
        <w:trPr>
          <w:tblHeader/>
        </w:trPr>
        <w:tc>
          <w:tcPr>
            <w:tcW w:type="dxa" w:w="27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Limitación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propone (plan de corrección)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EX03 no equivale a «parto sin complicación» (H-07)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«MDC 14 sin Elixhauser» excluye cesáreas, preeclampsia y hemorragias y deja partos normales con obesidad; afecta a 372.932 egresos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Redefinir con los GRD de parto sin complicación o excluir todo el MDC 14 (etapa 1.2)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 configuración de estadía no se aplica (H-08)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tipoalta_roles.csv</w:t>
            </w:r>
            <w:r>
              <w:rPr>
                <w:sz w:val="19"/>
                <w:szCs w:val="19"/>
              </w:rPr>
              <w:t xml:space="preserve"> pide sacar alta voluntaria y fuga de la cohorte E principal, pero el código no lee esa columna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Aplicarla y agregar el paso a la cascada (etapa 1.1)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sello de 2024 es de procedimiento, no técnico (H-16)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Una lectura directa del archivo no deja rastro (ocurrió en la preparación de la Fase 5)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Cifrar el año de prueba nuevo (etapa 4.5)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Identificador de paciente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Cambia de sistema entre 2020 y 2021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variables de historial; limitación declarada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Revisión clínica</w:t>
            </w:r>
          </w:p>
        </w:tc>
        <w:tc>
          <w:tcPr>
            <w:tcW w:type="dxa" w:w="3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Procedencia, nivel de cuidado y EX03 sin validar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Buscar una contraparte clínica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Cómo reproducirlo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z w:val="19"/>
          <w:szCs w:val="19"/>
        </w:rPr>
        <w:t xml:space="preserve">python run_fase3.py --data-root &lt;carpeta con GRD_PUBLICO_&lt;año&gt;.txt&gt; --capas &lt;carpeta de trabajo&gt;</w:t>
      </w:r>
      <w:r>
        <w:t xml:space="preserve"> y luego </w:t>
      </w:r>
      <w:r>
        <w:rPr>
          <w:rFonts w:ascii="Consolas" w:cs="Consolas" w:eastAsia="Consolas" w:hAnsi="Consolas"/>
          <w:sz w:val="19"/>
          <w:szCs w:val="19"/>
        </w:rPr>
        <w:t xml:space="preserve">python generar_figuras.py --capas &lt;carpeta de trabajo&gt;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Guía de la carpeta: </w:t>
      </w:r>
      <w:r>
        <w:rPr>
          <w:rFonts w:ascii="Consolas" w:cs="Consolas" w:eastAsia="Consolas" w:hAnsi="Consolas"/>
          <w:sz w:val="19"/>
          <w:szCs w:val="19"/>
        </w:rPr>
        <w:t xml:space="preserve">fase3_preparacion/GUIA_FASE3.md</w:t>
      </w:r>
      <w:r>
        <w:t xml:space="preserve">. Versiones anteriores de este informe: </w:t>
      </w:r>
      <w:r>
        <w:rPr>
          <w:rFonts w:ascii="Consolas" w:cs="Consolas" w:eastAsia="Consolas" w:hAnsi="Consolas"/>
          <w:sz w:val="19"/>
          <w:szCs w:val="19"/>
        </w:rPr>
        <w:t xml:space="preserve">docs/historial/fase3/</w:t>
      </w:r>
      <w:r>
        <w:t xml:space="preserve">. El plan original de la fase se conserva en </w:t>
      </w:r>
      <w:r>
        <w:rPr>
          <w:rFonts w:ascii="Consolas" w:cs="Consolas" w:eastAsia="Consolas" w:hAnsi="Consolas"/>
          <w:sz w:val="19"/>
          <w:szCs w:val="19"/>
        </w:rPr>
        <w:t xml:space="preserve">docs/fase3_preparacion_datos/</w:t>
      </w:r>
      <w: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Fase 3 · Preparación de los datos · v5  ·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5aada8de87be6b0b5931a7f29ae286c6942ce39.png"/><Relationship Id="rId9" Type="http://schemas.openxmlformats.org/officeDocument/2006/relationships/image" Target="media/ff07a1141b14704c06b1036a184ee3f047017001.png"/><Relationship Id="rId10" Type="http://schemas.openxmlformats.org/officeDocument/2006/relationships/image" Target="media/89ca9e7a82bf771ee0e7fc8d1d7665c0f2baedc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 · Preparación de los datos · v5</dc:title>
  <dc:creator>Felipe Ignacio Baeza Muñoz</dc:creator>
  <dc:description>Informe v5 del proyecto de tesis (reproducción independiente verificada)</dc:description>
  <cp:lastModifiedBy>Un-named</cp:lastModifiedBy>
  <cp:revision>1</cp:revision>
  <dcterms:created xsi:type="dcterms:W3CDTF">2026-10-21T03:06:52.880Z</dcterms:created>
  <dcterms:modified xsi:type="dcterms:W3CDTF">2026-10-21T03:06:52.880Z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