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24"/>
          <w:szCs w:val="24"/>
        </w:rPr>
        <w:t xml:space="preserve">UNIVERSIDAD DE SANTIAGO DE CHILE</w:t>
      </w:r>
    </w:p>
    <w:p>
      <w:pPr>
        <w:spacing w:after="60"/>
        <w:jc w:val="center"/>
      </w:pPr>
      <w:r>
        <w:rPr>
          <w:b/>
          <w:bCs/>
          <w:color w:val="000000"/>
          <w:sz w:val="24"/>
          <w:szCs w:val="24"/>
        </w:rPr>
        <w:t xml:space="preserve">FACULTAD DE INGENIERÍA</w:t>
      </w:r>
    </w:p>
    <w:p>
      <w:pPr>
        <w:spacing w:after="1200"/>
        <w:jc w:val="center"/>
      </w:pPr>
      <w:r>
        <w:rPr>
          <w:b/>
          <w:bCs/>
          <w:color w:val="000000"/>
          <w:sz w:val="24"/>
          <w:szCs w:val="24"/>
        </w:rPr>
        <w:t xml:space="preserve">DEPARTAMENTO DE INGENIERÍA INFORMÁTICA</w:t>
      </w:r>
    </w:p>
    <w:p>
      <w:pPr>
        <w:spacing w:after="60"/>
        <w:jc w:val="center"/>
      </w:pPr>
      <w:r>
        <w:rPr>
          <w:b/>
          <w:bCs/>
          <w:color w:val="1F3864"/>
          <w:sz w:val="30"/>
          <w:szCs w:val="30"/>
        </w:rPr>
        <w:t xml:space="preserve">INFORME TÉCNICO — FASE 4</w:t>
      </w:r>
    </w:p>
    <w:p>
      <w:pPr>
        <w:spacing w:after="160"/>
        <w:jc w:val="center"/>
      </w:pPr>
      <w:r>
        <w:rPr>
          <w:b/>
          <w:bCs/>
          <w:color w:val="1F3864"/>
          <w:sz w:val="40"/>
          <w:szCs w:val="40"/>
        </w:rPr>
        <w:t xml:space="preserve">MODELADO</w:t>
      </w:r>
    </w:p>
    <w:p>
      <w:pPr>
        <w:spacing w:after="1000"/>
        <w:jc w:val="center"/>
      </w:pPr>
      <w:r>
        <w:rPr>
          <w:color w:val="404040"/>
          <w:sz w:val="24"/>
          <w:szCs w:val="24"/>
        </w:rPr>
        <w:t xml:space="preserve">Comparación, selección, calibración y congelamiento de los modelos</w:t>
      </w:r>
    </w:p>
    <w:p>
      <w:pPr>
        <w:spacing w:after="60"/>
        <w:jc w:val="center"/>
      </w:pPr>
      <w:r>
        <w:rPr>
          <w:b/>
          <w:bCs/>
          <w:color w:val="000000"/>
          <w:sz w:val="24"/>
          <w:szCs w:val="24"/>
        </w:rPr>
        <w:t xml:space="preserve">Proyecto de Tesis</w:t>
      </w:r>
    </w:p>
    <w:p>
      <w:pPr>
        <w:spacing w:after="60"/>
        <w:jc w:val="center"/>
      </w:pPr>
      <w:r>
        <w:rPr>
          <w:color w:val="000000"/>
          <w:sz w:val="24"/>
          <w:szCs w:val="24"/>
        </w:rPr>
        <w:t xml:space="preserve">Sistema de evaluación del desempeño hospitalario</w:t>
      </w:r>
    </w:p>
    <w:p>
      <w:pPr>
        <w:spacing w:after="900"/>
        <w:jc w:val="center"/>
      </w:pPr>
      <w:r>
        <w:rPr>
          <w:color w:val="000000"/>
          <w:sz w:val="24"/>
          <w:szCs w:val="24"/>
        </w:rPr>
        <w:t xml:space="preserve">ajustado por riesgo mediante aprendizaje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Estudiante</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Felipe Ignacio Baeza Muñoz</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Profesor guía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Manuel Villalobos Cid</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Carrera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Ingeniería de Ejecución en Computación e Informática</w:t>
            </w:r>
          </w:p>
        </w:tc>
      </w:tr>
      <w:t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Fecha</w:t>
            </w:r>
          </w:p>
        </w:tc>
        <w:tc>
          <w:tcPr>
            <w:tcW w:type="dxa" w:w="676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2"/>
            </w:pPr>
            <w:r>
              <w:rPr>
                <w:sz w:val="21"/>
                <w:szCs w:val="21"/>
              </w:rPr>
              <w:t xml:space="preserve">Octubre 2026 · Versión 5 (verificada por reproducción independiente)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2E5AAC" w:sz="24"/>
              <w:bottom w:val="none" w:color="FFFFFF" w:sz="0"/>
              <w:right w:val="none" w:color="FFFFFF" w:sz="0"/>
            </w:tcBorders>
            <w:shd w:fill="EAF1FB" w:color="auto" w:val="clear"/>
            <w:tcMar>
              <w:top w:type="dxa" w:w="120"/>
              <w:left w:type="dxa" w:w="200"/>
              <w:bottom w:type="dxa" w:w="100"/>
              <w:right w:type="dxa" w:w="160"/>
            </w:tcMar>
          </w:tcPr>
          <w:p>
            <w:pPr>
              <w:spacing w:after="80"/>
            </w:pPr>
            <w:r>
              <w:rPr>
                <w:b/>
                <w:bCs/>
                <w:color w:val="2E5AAC"/>
              </w:rPr>
              <w:t xml:space="preserve">Cómo leer este informe</w:t>
            </w:r>
          </w:p>
          <w:p>
            <w:pPr>
              <w:spacing w:after="60" w:line="264"/>
            </w:pPr>
            <w:r>
              <w:t xml:space="preserve">Este informe explica la Fase 4 para alguien que llega recién al proyecto. Solo describe lo que </w:t>
            </w:r>
            <w:r>
              <w:rPr>
                <w:b/>
                <w:bCs/>
              </w:rPr>
              <w:t xml:space="preserve">de verdad se ejecutó</w:t>
            </w:r>
            <w:r>
              <w:t xml:space="preserve">: cada cifra sale de una tabla del repositorio y fue comprobada en una </w:t>
            </w:r>
            <w:r>
              <w:rPr>
                <w:b/>
                <w:bCs/>
              </w:rPr>
              <w:t xml:space="preserve">reproducción independiente desde cero</w:t>
            </w:r>
            <w:r>
              <w:t xml:space="preserve"> (octubre de 2026), que corrió el código sin cambios sobre los archivos originales de FONASA.</w:t>
            </w:r>
          </w:p>
          <w:p>
            <w:pPr>
              <w:spacing w:after="60" w:line="264"/>
            </w:pPr>
            <w:r>
              <w:t xml:space="preserve">Las decisiones que cambiaron en el camino se muestran con su fecha y con si fueron </w:t>
            </w:r>
            <w:r>
              <w:rPr>
                <w:b/>
                <w:bCs/>
              </w:rPr>
              <w:t xml:space="preserve">antes o después de abrir el año 2024</w:t>
            </w:r>
            <w:r>
              <w:t xml:space="preserve"> (el examen final de los modelos). Las versiones anteriores del informe se conservan sin cambios en </w:t>
            </w:r>
            <w:r>
              <w:rPr>
                <w:rFonts w:ascii="Consolas" w:cs="Consolas" w:eastAsia="Consolas" w:hAnsi="Consolas"/>
                <w:sz w:val="19"/>
                <w:szCs w:val="19"/>
              </w:rPr>
              <w:t xml:space="preserve">docs/historial/</w:t>
            </w:r>
            <w:r>
              <w:t xml:space="preserve">.</w:t>
            </w:r>
          </w:p>
          <w:p>
            <w:pPr>
              <w:spacing w:after="60" w:line="264"/>
            </w:pPr>
            <w:r>
              <w:rPr>
                <w:b/>
                <w:bCs/>
              </w:rPr>
              <w:t xml:space="preserve">Corrección importante respecto de la versión 4:</w:t>
            </w:r>
            <w:r>
              <w:t xml:space="preserve"> el modelo de estadía congelado usa la pérdida </w:t>
            </w:r>
            <w:r>
              <w:rPr>
                <w:b/>
                <w:bCs/>
              </w:rPr>
              <w:t xml:space="preserve">Tweedie (potencia 1,80)</w:t>
            </w:r>
            <w:r>
              <w:t xml:space="preserve">, no Poisson como decía ese informe. Lo confirman su ficha y el archivo del modelo.</w:t>
            </w:r>
          </w:p>
        </w:tc>
      </w:tr>
    </w:tbl>
    <w:p>
      <w:pPr>
        <w:spacing w:after="100"/>
      </w:pPr>
    </w:p>
    <w:p>
      <w:pPr>
        <w:pStyle w:val="Heading1"/>
      </w:pPr>
      <w:r>
        <w:t xml:space="preserve">1. Lo esencial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LightGBM</w:t>
            </w:r>
          </w:p>
          <w:p>
            <w:pPr>
              <w:spacing w:after="0"/>
              <w:jc w:val="center"/>
            </w:pPr>
            <w:r>
              <w:rPr>
                <w:color w:val="404040"/>
                <w:sz w:val="17"/>
                <w:szCs w:val="17"/>
              </w:rPr>
              <w:t xml:space="preserve">gana en las dos tareas</w:t>
            </w:r>
          </w:p>
          <w:p>
            <w:pPr>
              <w:spacing w:after="0"/>
              <w:jc w:val="center"/>
            </w:pPr>
            <w:r>
              <w:rPr>
                <w:color w:val="404040"/>
                <w:sz w:val="17"/>
                <w:szCs w:val="17"/>
              </w:rPr>
              <w:t xml:space="preserve">(mortalidad y estadía)</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0,933</w:t>
            </w:r>
          </w:p>
          <w:p>
            <w:pPr>
              <w:spacing w:after="0"/>
              <w:jc w:val="center"/>
            </w:pPr>
            <w:r>
              <w:rPr>
                <w:color w:val="404040"/>
                <w:sz w:val="17"/>
                <w:szCs w:val="17"/>
              </w:rPr>
              <w:t xml:space="preserve">AUC de mortalidad</w:t>
            </w:r>
          </w:p>
          <w:p>
            <w:pPr>
              <w:spacing w:after="0"/>
              <w:jc w:val="center"/>
            </w:pPr>
            <w:r>
              <w:rPr>
                <w:color w:val="404040"/>
                <w:sz w:val="17"/>
                <w:szCs w:val="17"/>
              </w:rPr>
              <w:t xml:space="preserve">en 2023</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1,000 / 1,001</w:t>
            </w:r>
          </w:p>
          <w:p>
            <w:pPr>
              <w:spacing w:after="0"/>
              <w:jc w:val="center"/>
            </w:pPr>
            <w:r>
              <w:rPr>
                <w:color w:val="404040"/>
                <w:sz w:val="17"/>
                <w:szCs w:val="17"/>
              </w:rPr>
              <w:t xml:space="preserve">O/E tras calibrar</w:t>
            </w:r>
          </w:p>
          <w:p>
            <w:pPr>
              <w:spacing w:after="0"/>
              <w:jc w:val="center"/>
            </w:pPr>
            <w:r>
              <w:rPr>
                <w:color w:val="404040"/>
                <w:sz w:val="17"/>
                <w:szCs w:val="17"/>
              </w:rPr>
              <w:t xml:space="preserve">(mortalidad / estadía)</w:t>
            </w:r>
          </w:p>
        </w:tc>
        <w:tc>
          <w:tcPr>
            <w:tcW w:type="dxa" w:w="2340"/>
            <w:tcBorders>
              <w:top w:val="single" w:color="FFFFFF" w:sz="4"/>
              <w:left w:val="single" w:color="FFFFFF" w:sz="4"/>
              <w:bottom w:val="single" w:color="FFFFFF" w:sz="4"/>
              <w:right w:val="single" w:color="FFFFFF" w:sz="4"/>
            </w:tcBorders>
            <w:shd w:fill="EAF1FB" w:color="auto" w:val="clear"/>
            <w:tcMar>
              <w:top w:type="dxa" w:w="140"/>
              <w:left w:type="dxa" w:w="120"/>
              <w:bottom w:type="dxa" w:w="140"/>
              <w:right w:type="dxa" w:w="120"/>
            </w:tcMar>
          </w:tcPr>
          <w:p>
            <w:pPr>
              <w:spacing w:after="40"/>
              <w:jc w:val="center"/>
            </w:pPr>
            <w:r>
              <w:rPr>
                <w:b/>
                <w:bCs/>
                <w:color w:val="1F3864"/>
                <w:sz w:val="34"/>
                <w:szCs w:val="34"/>
              </w:rPr>
              <w:t xml:space="preserve">9 de 9</w:t>
            </w:r>
          </w:p>
          <w:p>
            <w:pPr>
              <w:spacing w:after="0"/>
              <w:jc w:val="center"/>
            </w:pPr>
            <w:r>
              <w:rPr>
                <w:color w:val="404040"/>
                <w:sz w:val="17"/>
                <w:szCs w:val="17"/>
              </w:rPr>
              <w:t xml:space="preserve">archivos congelados idénticos</w:t>
            </w:r>
          </w:p>
          <w:p>
            <w:pPr>
              <w:spacing w:after="0"/>
              <w:jc w:val="center"/>
            </w:pPr>
            <w:r>
              <w:rPr>
                <w:color w:val="404040"/>
                <w:sz w:val="17"/>
                <w:szCs w:val="17"/>
              </w:rPr>
              <w:t xml:space="preserve">en la reproducción</w:t>
            </w:r>
          </w:p>
        </w:tc>
      </w:tr>
    </w:tbl>
    <w:p>
      <w:pPr>
        <w:spacing w:after="120"/>
      </w:pPr>
    </w:p>
    <w:p>
      <w:pPr>
        <w:spacing w:after="120" w:line="276"/>
      </w:pPr>
      <w:r>
        <w:t xml:space="preserve">La Fase 4 toma las dos matrices de la Fase 3 y construye los modelos que predicen, para cada egreso, </w:t>
      </w:r>
      <w:r>
        <w:rPr>
          <w:b/>
          <w:bCs/>
        </w:rPr>
        <w:t xml:space="preserve">la probabilidad de fallecer en el hospital</w:t>
      </w:r>
      <w:r>
        <w:t xml:space="preserve"> y </w:t>
      </w:r>
      <w:r>
        <w:rPr>
          <w:b/>
          <w:bCs/>
        </w:rPr>
        <w:t xml:space="preserve">los días de estadía esperados</w:t>
      </w:r>
      <w:r>
        <w:t xml:space="preserve">. Compara varios modelos con las mismas reglas, elige uno con una regla escrita antes de ver resultados, ajusta su nivel con 2023 y lo </w:t>
      </w:r>
      <w:r>
        <w:rPr>
          <w:b/>
          <w:bCs/>
        </w:rPr>
        <w:t xml:space="preserve">congela</w:t>
      </w:r>
      <w:r>
        <w:t xml:space="preserve"> con huellas SHA-256.</w:t>
      </w:r>
    </w:p>
    <w:p>
      <w:pPr>
        <w:pStyle w:val="ListParagraph"/>
        <w:numPr>
          <w:ilvl w:val="0"/>
          <w:numId w:val="2"/>
        </w:numPr>
        <w:spacing w:after="80" w:line="264"/>
      </w:pPr>
      <w:r>
        <w:rPr>
          <w:b/>
          <w:bCs/>
        </w:rPr>
        <w:t xml:space="preserve">Mortalidad:</w:t>
      </w:r>
      <w:r>
        <w:t xml:space="preserve"> en 2023 (año que el modelo no usó para aprender) el AUC fue 0,933 y la PR AUC 0,384; la regresión logística llegó a 0,347 y la referencia de van Walraven a 0,189.</w:t>
      </w:r>
    </w:p>
    <w:p>
      <w:pPr>
        <w:pStyle w:val="ListParagraph"/>
        <w:numPr>
          <w:ilvl w:val="0"/>
          <w:numId w:val="2"/>
        </w:numPr>
        <w:spacing w:after="80" w:line="264"/>
      </w:pPr>
      <w:r>
        <w:rPr>
          <w:b/>
          <w:bCs/>
        </w:rPr>
        <w:t xml:space="preserve">Estadía:</w:t>
      </w:r>
      <w:r>
        <w:t xml:space="preserve"> la devianza de Poisson bajó de 4,48 (regresión de Poisson) a 4,15 con LightGBM; van Walraven llegó a 6,54.</w:t>
      </w:r>
    </w:p>
    <w:p>
      <w:pPr>
        <w:pStyle w:val="ListParagraph"/>
        <w:numPr>
          <w:ilvl w:val="0"/>
          <w:numId w:val="2"/>
        </w:numPr>
        <w:spacing w:after="80" w:line="264"/>
      </w:pPr>
      <w:r>
        <w:rPr>
          <w:b/>
          <w:bCs/>
        </w:rPr>
        <w:t xml:space="preserve">Sin calibrar, los modelos sobreestiman 2023:</w:t>
      </w:r>
      <w:r>
        <w:t xml:space="preserve"> esperaban 13 % más muertes y 6 % más días de los observados. La calibración con 2023 deja el O/E en 1,000 y 1,001.</w:t>
      </w:r>
    </w:p>
    <w:p>
      <w:pPr>
        <w:pStyle w:val="ListParagraph"/>
        <w:numPr>
          <w:ilvl w:val="0"/>
          <w:numId w:val="2"/>
        </w:numPr>
        <w:spacing w:after="80" w:line="264"/>
      </w:pPr>
      <w:r>
        <w:rPr>
          <w:b/>
          <w:bCs/>
        </w:rPr>
        <w:t xml:space="preserve">2024 no se abrió en esta fase.</w:t>
      </w:r>
    </w:p>
    <w:p>
      <w:pPr>
        <w:pStyle w:val="Heading2"/>
      </w:pPr>
      <w:r>
        <w:t xml:space="preserve">Dónde está esta fase dentro del proyecto</w:t>
      </w:r>
    </w:p>
    <w:p>
      <w:pPr>
        <w:spacing w:after="120" w:line="276"/>
      </w:pPr>
      <w:r>
        <w:t xml:space="preserve">El proyecto sigue CRISP-DM (</w:t>
      </w:r>
      <w:r>
        <w:rPr>
          <w:i/>
          <w:iCs/>
        </w:rPr>
        <w:t xml:space="preserve">Cross-Industry Standard Process for Data Mining</w:t>
      </w:r>
      <w:r>
        <w:t xml:space="preserve">), un método en seis fases. Cada fase tiene su carpeta de código y su 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1"/>
        <w:gridCol w:w="3153"/>
        <w:gridCol w:w="2463"/>
        <w:gridCol w:w="1773"/>
      </w:tblGrid>
      <w:tr>
        <w:trPr>
          <w:tblHeader/>
        </w:trPr>
        <w:tc>
          <w:tcPr>
            <w:tcW w:type="dxa" w:w="197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Fase</w:t>
            </w:r>
          </w:p>
        </w:tc>
        <w:tc>
          <w:tcPr>
            <w:tcW w:type="dxa" w:w="315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Pregunta que responde</w:t>
            </w:r>
          </w:p>
        </w:tc>
        <w:tc>
          <w:tcPr>
            <w:tcW w:type="dxa" w:w="246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Carpeta de código</w:t>
            </w:r>
          </w:p>
        </w:tc>
        <w:tc>
          <w:tcPr>
            <w:tcW w:type="dxa" w:w="177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Estado</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 Comprensión del dominio</w:t>
            </w:r>
          </w:p>
        </w:tc>
        <w:tc>
          <w:tcPr>
            <w:tcW w:type="dxa" w:w="3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¿Qué problema se resuelve y con qué reglas?</w:t>
            </w:r>
          </w:p>
        </w:tc>
        <w:tc>
          <w:tcPr>
            <w:tcW w:type="dxa" w:w="2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 (solo documentos)</w:t>
            </w:r>
          </w:p>
        </w:tc>
        <w:tc>
          <w:tcPr>
            <w:tcW w:type="dxa" w:w="1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Cerrada</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 Comprensión de los datos</w:t>
            </w:r>
          </w:p>
        </w:tc>
        <w:tc>
          <w:tcPr>
            <w:tcW w:type="dxa" w:w="3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¿Los datos permiten hacerlo así?</w:t>
            </w:r>
          </w:p>
        </w:tc>
        <w:tc>
          <w:tcPr>
            <w:tcW w:type="dxa" w:w="2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fase2_eda/</w:t>
            </w:r>
          </w:p>
        </w:tc>
        <w:tc>
          <w:tcPr>
            <w:tcW w:type="dxa" w:w="1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Cerrada</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3. Preparación de los datos</w:t>
            </w:r>
          </w:p>
        </w:tc>
        <w:tc>
          <w:tcPr>
            <w:tcW w:type="dxa" w:w="3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¿Cómo se limpian y quién entra a cada modelo?</w:t>
            </w:r>
          </w:p>
        </w:tc>
        <w:tc>
          <w:tcPr>
            <w:tcW w:type="dxa" w:w="2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fase3_preparacion/</w:t>
            </w:r>
          </w:p>
        </w:tc>
        <w:tc>
          <w:tcPr>
            <w:tcW w:type="dxa" w:w="1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Cerrada</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4. Modelado</w:t>
            </w:r>
          </w:p>
        </w:tc>
        <w:tc>
          <w:tcPr>
            <w:tcW w:type="dxa" w:w="3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¿Qué modelo predice mejor y cómo se calibra?</w:t>
            </w:r>
          </w:p>
        </w:tc>
        <w:tc>
          <w:tcPr>
            <w:tcW w:type="dxa" w:w="2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fase4_modelado/</w:t>
            </w:r>
          </w:p>
        </w:tc>
        <w:tc>
          <w:tcPr>
            <w:tcW w:type="dxa" w:w="1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Cerrada; modelos congelados</w:t>
            </w:r>
          </w:p>
        </w:tc>
      </w:tr>
      <w:tr>
        <w:trPr>
          <w:cantSplit/>
        </w:trPr>
        <w:tc>
          <w:tcPr>
            <w:tcW w:type="dxa" w:w="197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5. Evaluación</w:t>
            </w:r>
          </w:p>
        </w:tc>
        <w:tc>
          <w:tcPr>
            <w:tcW w:type="dxa" w:w="315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¿Funcionan los modelos en 2024 y qué dice el indicador?</w:t>
            </w:r>
          </w:p>
        </w:tc>
        <w:tc>
          <w:tcPr>
            <w:tcW w:type="dxa" w:w="246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fase5_evaluacion/</w:t>
            </w:r>
          </w:p>
        </w:tc>
        <w:tc>
          <w:tcPr>
            <w:tcW w:type="dxa" w:w="177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Cerrada; 2024 abierto una vez</w:t>
            </w:r>
          </w:p>
        </w:tc>
      </w:tr>
      <w:tr>
        <w:trPr>
          <w:cantSplit/>
        </w:trPr>
        <w:tc>
          <w:tcPr>
            <w:tcW w:type="dxa" w:w="197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 Despliegue</w:t>
            </w:r>
          </w:p>
        </w:tc>
        <w:tc>
          <w:tcPr>
            <w:tcW w:type="dxa" w:w="315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¿Cómo se entrega el indicador?</w:t>
            </w:r>
          </w:p>
        </w:tc>
        <w:tc>
          <w:tcPr>
            <w:tcW w:type="dxa" w:w="246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rFonts w:ascii="Consolas" w:cs="Consolas" w:eastAsia="Consolas" w:hAnsi="Consolas"/>
                <w:sz w:val="19"/>
                <w:szCs w:val="19"/>
              </w:rPr>
              <w:t xml:space="preserve">fase6_despliegue/</w:t>
            </w:r>
          </w:p>
        </w:tc>
        <w:tc>
          <w:tcPr>
            <w:tcW w:type="dxa" w:w="177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En desarrollo</w:t>
            </w:r>
          </w:p>
        </w:tc>
      </w:tr>
    </w:tbl>
    <w:p>
      <w:pPr>
        <w:spacing w:after="80"/>
      </w:pPr>
    </w:p>
    <w:p>
      <w:pPr>
        <w:pStyle w:val="Heading1"/>
      </w:pPr>
      <w:r>
        <w:t xml:space="preserve">2. Conceptos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0"/>
        <w:gridCol w:w="7280"/>
      </w:tblGrid>
      <w:tr>
        <w:trPr>
          <w:tblHeader/>
        </w:trPr>
        <w:tc>
          <w:tcPr>
            <w:tcW w:type="dxa" w:w="20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Concepto</w:t>
            </w:r>
          </w:p>
        </w:tc>
        <w:tc>
          <w:tcPr>
            <w:tcW w:type="dxa" w:w="72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significa aquí</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Pliegue</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Una prueba que avanza en el tiempo: entrenar con 2019–2020 y validar en 2021, o entrenar con 2019–2021 y validar en 2022</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Hiperparámetros</w:t>
            </w:r>
          </w:p>
        </w:tc>
        <w:tc>
          <w:tcPr>
            <w:tcW w:type="dxa" w:w="72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Perillas del modelo (velocidad de aprendizaje, tamaño de los árboles); se buscan con Optuna: 40 pruebas en mortalidad y 30 en estadía por algoritmo</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LightGBM y XGBoost</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Algoritmos que combinan cientos de árboles de decisión pequeños</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PR AUC</w:t>
            </w:r>
          </w:p>
        </w:tc>
        <w:tc>
          <w:tcPr>
            <w:tcW w:type="dxa" w:w="72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Qué tan bien el modelo pone adelante a quienes fallecen cuando la muerte es poco frecuente (4,3 %); al azar vale la prevalencia</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Devianza de Poisson</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Error para conteos como los días de estadía; menor es mejor</w:t>
            </w:r>
          </w:p>
        </w:tc>
      </w:tr>
      <w:tr>
        <w:trPr>
          <w:cantSplit/>
        </w:trPr>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Calibración</w:t>
            </w:r>
          </w:p>
        </w:tc>
        <w:tc>
          <w:tcPr>
            <w:tcW w:type="dxa" w:w="72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Que las probabilidades sean honestas: de 100 pacientes con 10 % de riesgo, deberían morir cerca de 10</w:t>
            </w:r>
          </w:p>
        </w:tc>
      </w:tr>
      <w:tr>
        <w:trPr>
          <w:cantSplit/>
        </w:trPr>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Tweedie</w:t>
            </w:r>
          </w:p>
        </w:tc>
        <w:tc>
          <w:tcPr>
            <w:tcW w:type="dxa" w:w="72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Pérdida para conteos muy dispersos; generaliza a Poisson (potencia 1) y gamma (potencia 2)</w:t>
            </w:r>
          </w:p>
        </w:tc>
      </w:tr>
    </w:tbl>
    <w:p>
      <w:pPr>
        <w:spacing w:after="80"/>
      </w:pPr>
    </w:p>
    <w:p>
      <w:pPr>
        <w:pStyle w:val="Heading1"/>
      </w:pPr>
      <w:r>
        <w:t xml:space="preserve">3. Qué datos entran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310"/>
        <w:gridCol w:w="1778"/>
        <w:gridCol w:w="1498"/>
        <w:gridCol w:w="2715"/>
      </w:tblGrid>
      <w:tr>
        <w:trPr>
          <w:tblHeader/>
        </w:trPr>
        <w:tc>
          <w:tcPr>
            <w:tcW w:type="dxa" w:w="205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Matriz</w:t>
            </w:r>
          </w:p>
        </w:tc>
        <w:tc>
          <w:tcPr>
            <w:tcW w:type="dxa" w:w="131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Filas</w:t>
            </w:r>
          </w:p>
        </w:tc>
        <w:tc>
          <w:tcPr>
            <w:tcW w:type="dxa" w:w="177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Entrenamiento 2019–2022</w:t>
            </w:r>
          </w:p>
        </w:tc>
        <w:tc>
          <w:tcPr>
            <w:tcW w:type="dxa" w:w="149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Calibración 2023</w:t>
            </w:r>
          </w:p>
        </w:tc>
        <w:tc>
          <w:tcPr>
            <w:tcW w:type="dxa" w:w="2715"/>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Desenlace</w:t>
            </w:r>
          </w:p>
        </w:tc>
      </w:tr>
      <w:tr>
        <w:trPr>
          <w:cantSplit/>
        </w:trPr>
        <w:tc>
          <w:tcPr>
            <w:tcW w:type="dxa" w:w="205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Mortalidad (cohorte D)</w:t>
            </w:r>
          </w:p>
        </w:tc>
        <w:tc>
          <w:tcPr>
            <w:tcW w:type="dxa" w:w="131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2.640.061</w:t>
            </w:r>
          </w:p>
        </w:tc>
        <w:tc>
          <w:tcPr>
            <w:tcW w:type="dxa" w:w="177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2.071.324</w:t>
            </w:r>
          </w:p>
        </w:tc>
        <w:tc>
          <w:tcPr>
            <w:tcW w:type="dxa" w:w="149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568.737</w:t>
            </w:r>
          </w:p>
        </w:tc>
        <w:tc>
          <w:tcPr>
            <w:tcW w:type="dxa" w:w="271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Fallecer en el hospital (4,3 % en 2023)</w:t>
            </w:r>
          </w:p>
        </w:tc>
      </w:tr>
      <w:tr>
        <w:trPr>
          <w:cantSplit/>
        </w:trPr>
        <w:tc>
          <w:tcPr>
            <w:tcW w:type="dxa" w:w="205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Estadía (cohorte E)</w:t>
            </w:r>
          </w:p>
        </w:tc>
        <w:tc>
          <w:tcPr>
            <w:tcW w:type="dxa" w:w="131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2.396.356</w:t>
            </w:r>
          </w:p>
        </w:tc>
        <w:tc>
          <w:tcPr>
            <w:tcW w:type="dxa" w:w="177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1.876.523</w:t>
            </w:r>
          </w:p>
        </w:tc>
        <w:tc>
          <w:tcPr>
            <w:tcW w:type="dxa" w:w="149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519.833</w:t>
            </w:r>
          </w:p>
        </w:tc>
        <w:tc>
          <w:tcPr>
            <w:tcW w:type="dxa" w:w="271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Días de estadía, con tope de 53</w:t>
            </w:r>
          </w:p>
        </w:tc>
      </w:tr>
    </w:tbl>
    <w:p>
      <w:pPr>
        <w:spacing w:after="80"/>
      </w:pPr>
    </w:p>
    <w:p>
      <w:pPr>
        <w:spacing w:after="120" w:line="276"/>
      </w:pPr>
      <w:r>
        <w:t xml:space="preserve">Cada matriz tiene </w:t>
      </w:r>
      <w:r>
        <w:rPr>
          <w:b/>
          <w:bCs/>
        </w:rPr>
        <w:t xml:space="preserve">40 predictores</w:t>
      </w:r>
      <w:r>
        <w:t xml:space="preserve">. Cuatro de ellos (tipo de ingreso, tipo de procedencia, agrupación de procedencia y nivel de cuidado al ingreso) son </w:t>
      </w:r>
      <w:r>
        <w:rPr>
          <w:b/>
          <w:bCs/>
        </w:rPr>
        <w:t xml:space="preserve">condicionales</w:t>
      </w:r>
      <w:r>
        <w:t xml:space="preserve">: podrían reflejar cómo trabaja cada hospital, así que se permitieron solo si pasaban la prueba de identificación del hospital (sección 6).</w:t>
      </w:r>
    </w:p>
    <w:p>
      <w:pPr>
        <w:pStyle w:val="Heading1"/>
      </w:pPr>
      <w:r>
        <w:t xml:space="preserve">4. Candidatos y búsqueda de hiperparámetros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6"/>
        <w:gridCol w:w="2288"/>
        <w:gridCol w:w="1040"/>
        <w:gridCol w:w="4576"/>
      </w:tblGrid>
      <w:tr>
        <w:trPr>
          <w:tblHeader/>
        </w:trPr>
        <w:tc>
          <w:tcPr>
            <w:tcW w:type="dxa" w:w="145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Tarea</w:t>
            </w:r>
          </w:p>
        </w:tc>
        <w:tc>
          <w:tcPr>
            <w:tcW w:type="dxa" w:w="228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Candidato</w:t>
            </w:r>
          </w:p>
        </w:tc>
        <w:tc>
          <w:tcPr>
            <w:tcW w:type="dxa" w:w="104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Árboles</w:t>
            </w:r>
          </w:p>
        </w:tc>
        <w:tc>
          <w:tcPr>
            <w:tcW w:type="dxa" w:w="457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Ajuste elegido</w:t>
            </w:r>
          </w:p>
        </w:tc>
      </w:tr>
      <w:tr>
        <w:trPr>
          <w:cantSplit/>
        </w:trPr>
        <w:tc>
          <w:tcPr>
            <w:tcW w:type="dxa" w:w="145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Mortalidad</w:t>
            </w:r>
          </w:p>
        </w:tc>
        <w:tc>
          <w:tcPr>
            <w:tcW w:type="dxa" w:w="228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Regresión logística</w:t>
            </w:r>
          </w:p>
        </w:tc>
        <w:tc>
          <w:tcPr>
            <w:tcW w:type="dxa" w:w="104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w:t>
            </w:r>
          </w:p>
        </w:tc>
        <w:tc>
          <w:tcPr>
            <w:tcW w:type="dxa" w:w="457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 = 3,0 (la cuadrícula se amplió una vez porque el mejor valor estaba en el borde)</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Mortalidad</w:t>
            </w:r>
          </w:p>
        </w:tc>
        <w:tc>
          <w:tcPr>
            <w:tcW w:type="dxa" w:w="228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LightGBM</w:t>
            </w:r>
          </w:p>
        </w:tc>
        <w:tc>
          <w:tcPr>
            <w:tcW w:type="dxa" w:w="104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1.229</w:t>
            </w:r>
          </w:p>
        </w:tc>
        <w:tc>
          <w:tcPr>
            <w:tcW w:type="dxa" w:w="457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Tasa de aprendizaje 0,022; 47 hojas; mínimo 386 casos por hoja</w:t>
            </w:r>
          </w:p>
        </w:tc>
      </w:tr>
      <w:tr>
        <w:trPr>
          <w:cantSplit/>
        </w:trPr>
        <w:tc>
          <w:tcPr>
            <w:tcW w:type="dxa" w:w="145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Mortalidad</w:t>
            </w:r>
          </w:p>
        </w:tc>
        <w:tc>
          <w:tcPr>
            <w:tcW w:type="dxa" w:w="228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XGBoost</w:t>
            </w:r>
          </w:p>
        </w:tc>
        <w:tc>
          <w:tcPr>
            <w:tcW w:type="dxa" w:w="104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824</w:t>
            </w:r>
          </w:p>
        </w:tc>
        <w:tc>
          <w:tcPr>
            <w:tcW w:type="dxa" w:w="457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Tasa 0,021; profundidad 9</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Estadía</w:t>
            </w:r>
          </w:p>
        </w:tc>
        <w:tc>
          <w:tcPr>
            <w:tcW w:type="dxa" w:w="228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Regresión de Poisson</w:t>
            </w:r>
          </w:p>
        </w:tc>
        <w:tc>
          <w:tcPr>
            <w:tcW w:type="dxa" w:w="104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w:t>
            </w:r>
          </w:p>
        </w:tc>
        <w:tc>
          <w:tcPr>
            <w:tcW w:type="dxa" w:w="457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Penalización 0,0001</w:t>
            </w:r>
          </w:p>
        </w:tc>
      </w:tr>
      <w:tr>
        <w:trPr>
          <w:cantSplit/>
        </w:trPr>
        <w:tc>
          <w:tcPr>
            <w:tcW w:type="dxa" w:w="145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Estadía</w:t>
            </w:r>
          </w:p>
        </w:tc>
        <w:tc>
          <w:tcPr>
            <w:tcW w:type="dxa" w:w="228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Regresión lineal (Ridge)</w:t>
            </w:r>
          </w:p>
        </w:tc>
        <w:tc>
          <w:tcPr>
            <w:tcW w:type="dxa" w:w="104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w:t>
            </w:r>
          </w:p>
        </w:tc>
        <w:tc>
          <w:tcPr>
            <w:tcW w:type="dxa" w:w="457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Penalización 10</w:t>
            </w:r>
          </w:p>
        </w:tc>
      </w:tr>
      <w:tr>
        <w:trPr>
          <w:cantSplit/>
        </w:trPr>
        <w:tc>
          <w:tcPr>
            <w:tcW w:type="dxa" w:w="145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Estadía</w:t>
            </w:r>
          </w:p>
        </w:tc>
        <w:tc>
          <w:tcPr>
            <w:tcW w:type="dxa" w:w="228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LightGBM</w:t>
            </w:r>
          </w:p>
        </w:tc>
        <w:tc>
          <w:tcPr>
            <w:tcW w:type="dxa" w:w="104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872</w:t>
            </w:r>
          </w:p>
        </w:tc>
        <w:tc>
          <w:tcPr>
            <w:tcW w:type="dxa" w:w="457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Pérdida Tweedie, potencia 1,80</w:t>
            </w:r>
            <w:r>
              <w:rPr>
                <w:sz w:val="19"/>
                <w:szCs w:val="19"/>
              </w:rPr>
              <w:t xml:space="preserve">; tasa 0,022; 230 hojas</w:t>
            </w:r>
          </w:p>
        </w:tc>
      </w:tr>
      <w:tr>
        <w:trPr>
          <w:cantSplit/>
        </w:trPr>
        <w:tc>
          <w:tcPr>
            <w:tcW w:type="dxa" w:w="145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Estadía</w:t>
            </w:r>
          </w:p>
        </w:tc>
        <w:tc>
          <w:tcPr>
            <w:tcW w:type="dxa" w:w="228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XGBoost</w:t>
            </w:r>
          </w:p>
        </w:tc>
        <w:tc>
          <w:tcPr>
            <w:tcW w:type="dxa" w:w="104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692</w:t>
            </w:r>
          </w:p>
        </w:tc>
        <w:tc>
          <w:tcPr>
            <w:tcW w:type="dxa" w:w="457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Pérdida Tweedie, potencia 1,49; profundidad 9</w:t>
            </w:r>
          </w:p>
        </w:tc>
      </w:tr>
    </w:tbl>
    <w:p>
      <w:pPr>
        <w:spacing w:after="80"/>
      </w:pPr>
    </w:p>
    <w:p>
      <w:pPr>
        <w:keepNext/>
        <w:spacing w:after="60" w:before="80"/>
        <w:jc w:val="center"/>
      </w:pPr>
      <w:r>
        <w:drawing>
          <wp:inline distT="0" distB="0" distL="0" distR="0">
            <wp:extent cx="54864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1847850"/>
                    </a:xfrm>
                    <a:prstGeom prst="rect">
                      <a:avLst/>
                    </a:prstGeom>
                  </pic:spPr>
                </pic:pic>
              </a:graphicData>
            </a:graphic>
          </wp:inline>
        </w:drawing>
      </w:r>
    </w:p>
    <w:p>
      <w:pPr>
        <w:spacing w:after="160"/>
      </w:pPr>
      <w:r>
        <w:rPr>
          <w:i/>
          <w:iCs/>
          <w:color w:val="404040"/>
          <w:sz w:val="17"/>
          <w:szCs w:val="17"/>
        </w:rPr>
        <w:t xml:space="preserve">Figura 1. Búsqueda de hiperparámetros: cada punto es una combinación probada; la línea, la mejor hasta ese momento.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7F7F7F" w:sz="24"/>
              <w:bottom w:val="none" w:color="FFFFFF" w:sz="0"/>
              <w:right w:val="none" w:color="FFFFFF" w:sz="0"/>
            </w:tcBorders>
            <w:shd w:fill="F2F2F2" w:color="auto" w:val="clear"/>
            <w:tcMar>
              <w:top w:type="dxa" w:w="120"/>
              <w:left w:type="dxa" w:w="200"/>
              <w:bottom w:type="dxa" w:w="100"/>
              <w:right w:type="dxa" w:w="160"/>
            </w:tcMar>
          </w:tcPr>
          <w:p>
            <w:pPr>
              <w:spacing w:after="80"/>
            </w:pPr>
            <w:r>
              <w:rPr>
                <w:b/>
                <w:bCs/>
                <w:color w:val="7F7F7F"/>
              </w:rPr>
              <w:t xml:space="preserve">Salvedades de la búsqueda</w:t>
            </w:r>
          </w:p>
          <w:p>
            <w:pPr>
              <w:spacing w:after="60" w:line="264"/>
              <w:ind w:left="240" w:hanging="200"/>
            </w:pPr>
            <w:r>
              <w:t xml:space="preserve">•  </w:t>
            </w:r>
            <w:r>
              <w:t xml:space="preserve">Para caber en el equipo disponible, la búsqueda se hizo sobre una </w:t>
            </w:r>
            <w:r>
              <w:rPr>
                <w:b/>
                <w:bCs/>
              </w:rPr>
              <w:t xml:space="preserve">submuestra del 30 %</w:t>
            </w:r>
            <w:r>
              <w:t xml:space="preserve"> del entrenamiento; el ganador se reentrenó con todas las filas.</w:t>
            </w:r>
          </w:p>
          <w:p>
            <w:pPr>
              <w:spacing w:after="60" w:line="264"/>
              <w:ind w:left="240" w:hanging="200"/>
            </w:pPr>
            <w:r>
              <w:t xml:space="preserve">•  </w:t>
            </w:r>
            <w:r>
              <w:t xml:space="preserve">La tasa de aprendizaje de LightGBM quedó cerca de su cota inferior (0,02) y no se exploró más abajo.</w:t>
            </w:r>
          </w:p>
          <w:p>
            <w:pPr>
              <w:spacing w:after="60" w:line="264"/>
              <w:ind w:left="240" w:hanging="200"/>
            </w:pPr>
            <w:r>
              <w:t xml:space="preserve">•  </w:t>
            </w:r>
            <w:r>
              <w:t xml:space="preserve">Los dos pliegues validan en 2021 y 2022, años afectados por la pandemia.</w:t>
            </w:r>
          </w:p>
          <w:p>
            <w:pPr>
              <w:spacing w:after="60" w:line="264"/>
              <w:ind w:left="240" w:hanging="200"/>
            </w:pPr>
            <w:r>
              <w:t xml:space="preserve">•  </w:t>
            </w:r>
            <w:r>
              <w:t xml:space="preserve">La detención temprana usa el mismo pliegue con que se puntúa, lo que favorece levemente a los árboles frente a la logística (H-14).</w:t>
            </w:r>
          </w:p>
        </w:tc>
      </w:tr>
    </w:tbl>
    <w:p>
      <w:pPr>
        <w:spacing w:after="100"/>
      </w:pPr>
    </w:p>
    <w:p>
      <w:pPr>
        <w:pStyle w:val="Heading1"/>
      </w:pPr>
      <w:r>
        <w:t xml:space="preserve">5. Comparación, selección y calibración</w:t>
      </w:r>
    </w:p>
    <w:p>
      <w:pPr>
        <w:keepNext/>
        <w:spacing w:after="60" w:before="80"/>
        <w:jc w:val="center"/>
      </w:pPr>
      <w:r>
        <w:drawing>
          <wp:inline distT="0" distB="0" distL="0" distR="0">
            <wp:extent cx="5305425" cy="19907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1990725"/>
                    </a:xfrm>
                    <a:prstGeom prst="rect">
                      <a:avLst/>
                    </a:prstGeom>
                  </pic:spPr>
                </pic:pic>
              </a:graphicData>
            </a:graphic>
          </wp:inline>
        </w:drawing>
      </w:r>
    </w:p>
    <w:p>
      <w:pPr>
        <w:spacing w:after="160"/>
      </w:pPr>
      <w:r>
        <w:rPr>
          <w:i/>
          <w:iCs/>
          <w:color w:val="404040"/>
          <w:sz w:val="17"/>
          <w:szCs w:val="17"/>
        </w:rPr>
        <w:t xml:space="preserve">Figura 2. Desempeño promedio en los dos pliegues: PR AUC en mortalidad (más es mejor) y devianza en estadía (menos es mejor).</w:t>
      </w:r>
    </w:p>
    <w:p>
      <w:pPr>
        <w:pStyle w:val="Heading2"/>
      </w:pPr>
      <w:r>
        <w:t xml:space="preserve">5.1 Mortalidad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5"/>
        <w:gridCol w:w="1424"/>
        <w:gridCol w:w="1323"/>
        <w:gridCol w:w="1119"/>
        <w:gridCol w:w="1221"/>
        <w:gridCol w:w="1628"/>
      </w:tblGrid>
      <w:tr>
        <w:trPr>
          <w:tblHeader/>
        </w:trPr>
        <w:tc>
          <w:tcPr>
            <w:tcW w:type="dxa" w:w="2645"/>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Modelo</w:t>
            </w:r>
          </w:p>
        </w:tc>
        <w:tc>
          <w:tcPr>
            <w:tcW w:type="dxa" w:w="142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PR AUC pliegues</w:t>
            </w:r>
          </w:p>
        </w:tc>
        <w:tc>
          <w:tcPr>
            <w:tcW w:type="dxa" w:w="132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PR AUC 2023</w:t>
            </w:r>
          </w:p>
        </w:tc>
        <w:tc>
          <w:tcPr>
            <w:tcW w:type="dxa" w:w="111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AUC 2023</w:t>
            </w:r>
          </w:p>
        </w:tc>
        <w:tc>
          <w:tcPr>
            <w:tcW w:type="dxa" w:w="122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Brier 2023</w:t>
            </w:r>
          </w:p>
        </w:tc>
        <w:tc>
          <w:tcPr>
            <w:tcW w:type="dxa" w:w="162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O/E 2023 sin calibrar</w:t>
            </w:r>
          </w:p>
        </w:tc>
      </w:tr>
      <w:tr>
        <w:trPr>
          <w:cantSplit/>
        </w:trPr>
        <w:tc>
          <w:tcPr>
            <w:tcW w:type="dxa" w:w="264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Constante</w:t>
            </w:r>
          </w:p>
        </w:tc>
        <w:tc>
          <w:tcPr>
            <w:tcW w:type="dxa" w:w="142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0,057</w:t>
            </w:r>
          </w:p>
        </w:tc>
        <w:tc>
          <w:tcPr>
            <w:tcW w:type="dxa" w:w="13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0,043</w:t>
            </w:r>
          </w:p>
        </w:tc>
        <w:tc>
          <w:tcPr>
            <w:tcW w:type="dxa" w:w="111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0,500</w:t>
            </w:r>
          </w:p>
        </w:tc>
        <w:tc>
          <w:tcPr>
            <w:tcW w:type="dxa" w:w="122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0,0409</w:t>
            </w:r>
          </w:p>
        </w:tc>
        <w:tc>
          <w:tcPr>
            <w:tcW w:type="dxa" w:w="162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0,80</w:t>
            </w:r>
          </w:p>
        </w:tc>
      </w:tr>
      <w:tr>
        <w:trPr>
          <w:cantSplit/>
        </w:trPr>
        <w:tc>
          <w:tcPr>
            <w:tcW w:type="dxa" w:w="264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Regresión logística</w:t>
            </w:r>
          </w:p>
        </w:tc>
        <w:tc>
          <w:tcPr>
            <w:tcW w:type="dxa" w:w="142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0,409</w:t>
            </w:r>
          </w:p>
        </w:tc>
        <w:tc>
          <w:tcPr>
            <w:tcW w:type="dxa" w:w="13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0,347</w:t>
            </w:r>
          </w:p>
        </w:tc>
        <w:tc>
          <w:tcPr>
            <w:tcW w:type="dxa" w:w="111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0,924</w:t>
            </w:r>
          </w:p>
        </w:tc>
        <w:tc>
          <w:tcPr>
            <w:tcW w:type="dxa" w:w="122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0,0330</w:t>
            </w:r>
          </w:p>
        </w:tc>
        <w:tc>
          <w:tcPr>
            <w:tcW w:type="dxa" w:w="16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0,86</w:t>
            </w:r>
          </w:p>
        </w:tc>
      </w:tr>
      <w:tr>
        <w:trPr>
          <w:cantSplit/>
        </w:trPr>
        <w:tc>
          <w:tcPr>
            <w:tcW w:type="dxa" w:w="264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LightGBM</w:t>
            </w:r>
          </w:p>
        </w:tc>
        <w:tc>
          <w:tcPr>
            <w:tcW w:type="dxa" w:w="142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0,442</w:t>
            </w:r>
          </w:p>
        </w:tc>
        <w:tc>
          <w:tcPr>
            <w:tcW w:type="dxa" w:w="13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0,384</w:t>
            </w:r>
          </w:p>
        </w:tc>
        <w:tc>
          <w:tcPr>
            <w:tcW w:type="dxa" w:w="111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0,933</w:t>
            </w:r>
          </w:p>
        </w:tc>
        <w:tc>
          <w:tcPr>
            <w:tcW w:type="dxa" w:w="122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0,0317</w:t>
            </w:r>
          </w:p>
        </w:tc>
        <w:tc>
          <w:tcPr>
            <w:tcW w:type="dxa" w:w="162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0,87</w:t>
            </w:r>
          </w:p>
        </w:tc>
      </w:tr>
      <w:tr>
        <w:trPr>
          <w:cantSplit/>
        </w:trPr>
        <w:tc>
          <w:tcPr>
            <w:tcW w:type="dxa" w:w="264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XGBoost</w:t>
            </w:r>
          </w:p>
        </w:tc>
        <w:tc>
          <w:tcPr>
            <w:tcW w:type="dxa" w:w="142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0,441</w:t>
            </w:r>
          </w:p>
        </w:tc>
        <w:tc>
          <w:tcPr>
            <w:tcW w:type="dxa" w:w="132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0,384</w:t>
            </w:r>
          </w:p>
        </w:tc>
        <w:tc>
          <w:tcPr>
            <w:tcW w:type="dxa" w:w="111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0,932</w:t>
            </w:r>
          </w:p>
        </w:tc>
        <w:tc>
          <w:tcPr>
            <w:tcW w:type="dxa" w:w="122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0,0317</w:t>
            </w:r>
          </w:p>
        </w:tc>
        <w:tc>
          <w:tcPr>
            <w:tcW w:type="dxa" w:w="16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0,87</w:t>
            </w:r>
          </w:p>
        </w:tc>
      </w:tr>
      <w:tr>
        <w:trPr>
          <w:cantSplit/>
        </w:trPr>
        <w:tc>
          <w:tcPr>
            <w:tcW w:type="dxa" w:w="264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van Walraven (referencia)</w:t>
            </w:r>
          </w:p>
        </w:tc>
        <w:tc>
          <w:tcPr>
            <w:tcW w:type="dxa" w:w="142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w:t>
            </w:r>
          </w:p>
        </w:tc>
        <w:tc>
          <w:tcPr>
            <w:tcW w:type="dxa" w:w="132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0,189</w:t>
            </w:r>
          </w:p>
        </w:tc>
        <w:tc>
          <w:tcPr>
            <w:tcW w:type="dxa" w:w="111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0,834</w:t>
            </w:r>
          </w:p>
        </w:tc>
        <w:tc>
          <w:tcPr>
            <w:tcW w:type="dxa" w:w="122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0,0379</w:t>
            </w:r>
          </w:p>
        </w:tc>
        <w:tc>
          <w:tcPr>
            <w:tcW w:type="dxa" w:w="162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0,76</w:t>
            </w:r>
          </w:p>
        </w:tc>
      </w:tr>
    </w:tbl>
    <w:p>
      <w:pPr>
        <w:spacing w:after="80"/>
      </w:pPr>
    </w:p>
    <w:p>
      <w:pPr>
        <w:pStyle w:val="Heading2"/>
      </w:pPr>
      <w:r>
        <w:t xml:space="preserve">5.2 Estadía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5"/>
        <w:gridCol w:w="1628"/>
        <w:gridCol w:w="1526"/>
        <w:gridCol w:w="1831"/>
        <w:gridCol w:w="1730"/>
      </w:tblGrid>
      <w:tr>
        <w:trPr>
          <w:tblHeader/>
        </w:trPr>
        <w:tc>
          <w:tcPr>
            <w:tcW w:type="dxa" w:w="2645"/>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Modelo</w:t>
            </w:r>
          </w:p>
        </w:tc>
        <w:tc>
          <w:tcPr>
            <w:tcW w:type="dxa" w:w="1628"/>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Devianza pliegues</w:t>
            </w:r>
          </w:p>
        </w:tc>
        <w:tc>
          <w:tcPr>
            <w:tcW w:type="dxa" w:w="152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Devianza 2023</w:t>
            </w:r>
          </w:p>
        </w:tc>
        <w:tc>
          <w:tcPr>
            <w:tcW w:type="dxa" w:w="183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Error medio 2023 (días)</w:t>
            </w:r>
          </w:p>
        </w:tc>
        <w:tc>
          <w:tcPr>
            <w:tcW w:type="dxa" w:w="173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O/E 2023 sin calibrar</w:t>
            </w:r>
          </w:p>
        </w:tc>
      </w:tr>
      <w:tr>
        <w:trPr>
          <w:cantSplit/>
        </w:trPr>
        <w:tc>
          <w:tcPr>
            <w:tcW w:type="dxa" w:w="264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Constante</w:t>
            </w:r>
          </w:p>
        </w:tc>
        <w:tc>
          <w:tcPr>
            <w:tcW w:type="dxa" w:w="162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7,610</w:t>
            </w:r>
          </w:p>
        </w:tc>
        <w:tc>
          <w:tcPr>
            <w:tcW w:type="dxa" w:w="152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7,168</w:t>
            </w:r>
          </w:p>
        </w:tc>
        <w:tc>
          <w:tcPr>
            <w:tcW w:type="dxa" w:w="183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5,67</w:t>
            </w:r>
          </w:p>
        </w:tc>
        <w:tc>
          <w:tcPr>
            <w:tcW w:type="dxa" w:w="173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0,95</w:t>
            </w:r>
          </w:p>
        </w:tc>
      </w:tr>
      <w:tr>
        <w:trPr>
          <w:cantSplit/>
        </w:trPr>
        <w:tc>
          <w:tcPr>
            <w:tcW w:type="dxa" w:w="264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Regresión de Poisson</w:t>
            </w:r>
          </w:p>
        </w:tc>
        <w:tc>
          <w:tcPr>
            <w:tcW w:type="dxa" w:w="16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4,705</w:t>
            </w:r>
          </w:p>
        </w:tc>
        <w:tc>
          <w:tcPr>
            <w:tcW w:type="dxa" w:w="152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4,481</w:t>
            </w:r>
          </w:p>
        </w:tc>
        <w:tc>
          <w:tcPr>
            <w:tcW w:type="dxa" w:w="183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4,47</w:t>
            </w:r>
          </w:p>
        </w:tc>
        <w:tc>
          <w:tcPr>
            <w:tcW w:type="dxa" w:w="173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0,92</w:t>
            </w:r>
          </w:p>
        </w:tc>
      </w:tr>
      <w:tr>
        <w:trPr>
          <w:cantSplit/>
        </w:trPr>
        <w:tc>
          <w:tcPr>
            <w:tcW w:type="dxa" w:w="264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Regresión lineal (Ridge)</w:t>
            </w:r>
          </w:p>
        </w:tc>
        <w:tc>
          <w:tcPr>
            <w:tcW w:type="dxa" w:w="162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4,762</w:t>
            </w:r>
          </w:p>
        </w:tc>
        <w:tc>
          <w:tcPr>
            <w:tcW w:type="dxa" w:w="152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4,537</w:t>
            </w:r>
          </w:p>
        </w:tc>
        <w:tc>
          <w:tcPr>
            <w:tcW w:type="dxa" w:w="183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4,50</w:t>
            </w:r>
          </w:p>
        </w:tc>
        <w:tc>
          <w:tcPr>
            <w:tcW w:type="dxa" w:w="173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0,92</w:t>
            </w:r>
          </w:p>
        </w:tc>
      </w:tr>
      <w:tr>
        <w:trPr>
          <w:cantSplit/>
        </w:trPr>
        <w:tc>
          <w:tcPr>
            <w:tcW w:type="dxa" w:w="264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LightGBM</w:t>
            </w:r>
          </w:p>
        </w:tc>
        <w:tc>
          <w:tcPr>
            <w:tcW w:type="dxa" w:w="16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4,389</w:t>
            </w:r>
          </w:p>
        </w:tc>
        <w:tc>
          <w:tcPr>
            <w:tcW w:type="dxa" w:w="152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4,148</w:t>
            </w:r>
          </w:p>
        </w:tc>
        <w:tc>
          <w:tcPr>
            <w:tcW w:type="dxa" w:w="183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4,25</w:t>
            </w:r>
          </w:p>
        </w:tc>
        <w:tc>
          <w:tcPr>
            <w:tcW w:type="dxa" w:w="173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0,94</w:t>
            </w:r>
          </w:p>
        </w:tc>
      </w:tr>
      <w:tr>
        <w:trPr>
          <w:cantSplit/>
        </w:trPr>
        <w:tc>
          <w:tcPr>
            <w:tcW w:type="dxa" w:w="264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XGBoost</w:t>
            </w:r>
          </w:p>
        </w:tc>
        <w:tc>
          <w:tcPr>
            <w:tcW w:type="dxa" w:w="1628"/>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4,399</w:t>
            </w:r>
          </w:p>
        </w:tc>
        <w:tc>
          <w:tcPr>
            <w:tcW w:type="dxa" w:w="152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4,152</w:t>
            </w:r>
          </w:p>
        </w:tc>
        <w:tc>
          <w:tcPr>
            <w:tcW w:type="dxa" w:w="183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4,25</w:t>
            </w:r>
          </w:p>
        </w:tc>
        <w:tc>
          <w:tcPr>
            <w:tcW w:type="dxa" w:w="173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0,94</w:t>
            </w:r>
          </w:p>
        </w:tc>
      </w:tr>
      <w:tr>
        <w:trPr>
          <w:cantSplit/>
        </w:trPr>
        <w:tc>
          <w:tcPr>
            <w:tcW w:type="dxa" w:w="264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van Walraven (referencia)</w:t>
            </w:r>
          </w:p>
        </w:tc>
        <w:tc>
          <w:tcPr>
            <w:tcW w:type="dxa" w:w="16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w:t>
            </w:r>
          </w:p>
        </w:tc>
        <w:tc>
          <w:tcPr>
            <w:tcW w:type="dxa" w:w="152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6,541</w:t>
            </w:r>
          </w:p>
        </w:tc>
        <w:tc>
          <w:tcPr>
            <w:tcW w:type="dxa" w:w="183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5,37</w:t>
            </w:r>
          </w:p>
        </w:tc>
        <w:tc>
          <w:tcPr>
            <w:tcW w:type="dxa" w:w="173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0,94</w:t>
            </w:r>
          </w:p>
        </w:tc>
      </w:tr>
    </w:tbl>
    <w:p>
      <w:pPr>
        <w:spacing w:after="80"/>
      </w:pPr>
    </w:p>
    <w:p>
      <w:pPr>
        <w:pStyle w:val="Heading2"/>
      </w:pPr>
      <w:r>
        <w:t xml:space="preserve">5.3 La regla de parsimonia</w:t>
      </w:r>
    </w:p>
    <w:p>
      <w:pPr>
        <w:spacing w:after="120" w:line="276"/>
      </w:pPr>
      <w:r>
        <w:t xml:space="preserve">Escrita antes de ver resultados: un modelo más complejo reemplaza al más simple solo si mejora lo suficiente (0,010 de PR AUC en mortalidad; 1 % de devianza en estadía) y no empeora la calibración.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9"/>
        <w:gridCol w:w="3191"/>
        <w:gridCol w:w="1489"/>
        <w:gridCol w:w="1276"/>
        <w:gridCol w:w="1915"/>
      </w:tblGrid>
      <w:tr>
        <w:trPr>
          <w:tblHeader/>
        </w:trPr>
        <w:tc>
          <w:tcPr>
            <w:tcW w:type="dxa" w:w="148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Tarea</w:t>
            </w:r>
          </w:p>
        </w:tc>
        <w:tc>
          <w:tcPr>
            <w:tcW w:type="dxa" w:w="3191"/>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Comparación</w:t>
            </w:r>
          </w:p>
        </w:tc>
        <w:tc>
          <w:tcPr>
            <w:tcW w:type="dxa" w:w="1489"/>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Mejora</w:t>
            </w:r>
          </w:p>
        </w:tc>
        <w:tc>
          <w:tcPr>
            <w:tcW w:type="dxa" w:w="127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Mínimo</w:t>
            </w:r>
          </w:p>
        </w:tc>
        <w:tc>
          <w:tcPr>
            <w:tcW w:type="dxa" w:w="1915"/>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Resultado</w:t>
            </w:r>
          </w:p>
        </w:tc>
      </w:tr>
      <w:tr>
        <w:trPr>
          <w:cantSplit/>
        </w:trPr>
        <w:tc>
          <w:tcPr>
            <w:tcW w:type="dxa" w:w="148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Mortalidad</w:t>
            </w:r>
          </w:p>
        </w:tc>
        <w:tc>
          <w:tcPr>
            <w:tcW w:type="dxa" w:w="319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LightGBM frente a logística</w:t>
            </w:r>
          </w:p>
        </w:tc>
        <w:tc>
          <w:tcPr>
            <w:tcW w:type="dxa" w:w="148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+0,0334</w:t>
            </w:r>
          </w:p>
        </w:tc>
        <w:tc>
          <w:tcPr>
            <w:tcW w:type="dxa" w:w="127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0,010</w:t>
            </w:r>
          </w:p>
        </w:tc>
        <w:tc>
          <w:tcPr>
            <w:tcW w:type="dxa" w:w="191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Reemplaza</w:t>
            </w:r>
          </w:p>
        </w:tc>
      </w:tr>
      <w:tr>
        <w:trPr>
          <w:cantSplit/>
        </w:trPr>
        <w:tc>
          <w:tcPr>
            <w:tcW w:type="dxa" w:w="148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Mortalidad</w:t>
            </w:r>
          </w:p>
        </w:tc>
        <w:tc>
          <w:tcPr>
            <w:tcW w:type="dxa" w:w="319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XGBoost frente a LightGBM</w:t>
            </w:r>
          </w:p>
        </w:tc>
        <w:tc>
          <w:tcPr>
            <w:tcW w:type="dxa" w:w="148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−0,0008</w:t>
            </w:r>
          </w:p>
        </w:tc>
        <w:tc>
          <w:tcPr>
            <w:tcW w:type="dxa" w:w="127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0,010</w:t>
            </w:r>
          </w:p>
        </w:tc>
        <w:tc>
          <w:tcPr>
            <w:tcW w:type="dxa" w:w="191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No reemplaza</w:t>
            </w:r>
          </w:p>
        </w:tc>
      </w:tr>
      <w:tr>
        <w:trPr>
          <w:cantSplit/>
        </w:trPr>
        <w:tc>
          <w:tcPr>
            <w:tcW w:type="dxa" w:w="148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Estadía</w:t>
            </w:r>
          </w:p>
        </w:tc>
        <w:tc>
          <w:tcPr>
            <w:tcW w:type="dxa" w:w="3191"/>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LightGBM frente a Poisson</w:t>
            </w:r>
          </w:p>
        </w:tc>
        <w:tc>
          <w:tcPr>
            <w:tcW w:type="dxa" w:w="1489"/>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6,7 %</w:t>
            </w:r>
          </w:p>
        </w:tc>
        <w:tc>
          <w:tcPr>
            <w:tcW w:type="dxa" w:w="127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1 %</w:t>
            </w:r>
          </w:p>
        </w:tc>
        <w:tc>
          <w:tcPr>
            <w:tcW w:type="dxa" w:w="1915"/>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Reemplaza</w:t>
            </w:r>
          </w:p>
        </w:tc>
      </w:tr>
      <w:tr>
        <w:trPr>
          <w:cantSplit/>
        </w:trPr>
        <w:tc>
          <w:tcPr>
            <w:tcW w:type="dxa" w:w="148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Estadía</w:t>
            </w:r>
          </w:p>
        </w:tc>
        <w:tc>
          <w:tcPr>
            <w:tcW w:type="dxa" w:w="319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XGBoost frente a LightGBM</w:t>
            </w:r>
          </w:p>
        </w:tc>
        <w:tc>
          <w:tcPr>
            <w:tcW w:type="dxa" w:w="148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−0,2 %</w:t>
            </w:r>
          </w:p>
        </w:tc>
        <w:tc>
          <w:tcPr>
            <w:tcW w:type="dxa" w:w="127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1 %</w:t>
            </w:r>
          </w:p>
        </w:tc>
        <w:tc>
          <w:tcPr>
            <w:tcW w:type="dxa" w:w="191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No reemplaza</w:t>
            </w:r>
          </w:p>
        </w:tc>
      </w:tr>
    </w:tbl>
    <w:p>
      <w:pPr>
        <w:spacing w:after="80"/>
      </w:pPr>
    </w:p>
    <w:p>
      <w:pPr>
        <w:pStyle w:val="Heading2"/>
      </w:pPr>
      <w:r>
        <w:t xml:space="preserve">5.4 Calibración con 2023</w:t>
      </w:r>
    </w:p>
    <w:p>
      <w:pPr>
        <w:spacing w:after="120" w:line="276"/>
      </w:pPr>
      <w:r>
        <w:t xml:space="preserve">La calibración corrige el </w:t>
      </w:r>
      <w:r>
        <w:rPr>
          <w:b/>
          <w:bCs/>
        </w:rPr>
        <w:t xml:space="preserve">nivel general</w:t>
      </w:r>
      <w:r>
        <w:t xml:space="preserve">, no el orden de los pacientes (el AUC no cambia). Se evaluó fuera de muestra en cinco bloques de 2023 y se eligió el método simple salvo que el complejo lo superara por más de 0,5 %: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14"/>
        <w:gridCol w:w="2797"/>
        <w:gridCol w:w="1937"/>
        <w:gridCol w:w="1506"/>
        <w:gridCol w:w="1506"/>
      </w:tblGrid>
      <w:tr>
        <w:trPr>
          <w:tblHeader/>
        </w:trPr>
        <w:tc>
          <w:tcPr>
            <w:tcW w:type="dxa" w:w="161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Tarea</w:t>
            </w:r>
          </w:p>
        </w:tc>
        <w:tc>
          <w:tcPr>
            <w:tcW w:type="dxa" w:w="2797"/>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Método</w:t>
            </w:r>
          </w:p>
        </w:tc>
        <w:tc>
          <w:tcPr>
            <w:tcW w:type="dxa" w:w="1937"/>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Brier o devianza</w:t>
            </w:r>
          </w:p>
        </w:tc>
        <w:tc>
          <w:tcPr>
            <w:tcW w:type="dxa" w:w="150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Pendiente</w:t>
            </w:r>
          </w:p>
        </w:tc>
        <w:tc>
          <w:tcPr>
            <w:tcW w:type="dxa" w:w="150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O/E</w:t>
            </w:r>
          </w:p>
        </w:tc>
      </w:tr>
      <w:tr>
        <w:trPr>
          <w:cantSplit/>
        </w:trPr>
        <w:tc>
          <w:tcPr>
            <w:tcW w:type="dxa" w:w="16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Mortalidad</w:t>
            </w:r>
          </w:p>
        </w:tc>
        <w:tc>
          <w:tcPr>
            <w:tcW w:type="dxa" w:w="279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Sin calibrar</w:t>
            </w:r>
          </w:p>
        </w:tc>
        <w:tc>
          <w:tcPr>
            <w:tcW w:type="dxa" w:w="193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0,0317</w:t>
            </w:r>
          </w:p>
        </w:tc>
        <w:tc>
          <w:tcPr>
            <w:tcW w:type="dxa" w:w="150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1,034</w:t>
            </w:r>
          </w:p>
        </w:tc>
        <w:tc>
          <w:tcPr>
            <w:tcW w:type="dxa" w:w="150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0,866</w:t>
            </w:r>
          </w:p>
        </w:tc>
      </w:tr>
      <w:tr>
        <w:trPr>
          <w:cantSplit/>
        </w:trPr>
        <w:tc>
          <w:tcPr>
            <w:tcW w:type="dxa" w:w="161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Mortalidad</w:t>
            </w:r>
          </w:p>
        </w:tc>
        <w:tc>
          <w:tcPr>
            <w:tcW w:type="dxa" w:w="279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Platt (elegido)</w:t>
            </w:r>
          </w:p>
        </w:tc>
        <w:tc>
          <w:tcPr>
            <w:tcW w:type="dxa" w:w="193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0,0315</w:t>
            </w:r>
          </w:p>
        </w:tc>
        <w:tc>
          <w:tcPr>
            <w:tcW w:type="dxa" w:w="15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0,9995</w:t>
            </w:r>
          </w:p>
        </w:tc>
        <w:tc>
          <w:tcPr>
            <w:tcW w:type="dxa" w:w="15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1,000</w:t>
            </w:r>
          </w:p>
        </w:tc>
      </w:tr>
      <w:tr>
        <w:trPr>
          <w:cantSplit/>
        </w:trPr>
        <w:tc>
          <w:tcPr>
            <w:tcW w:type="dxa" w:w="16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Mortalidad</w:t>
            </w:r>
          </w:p>
        </w:tc>
        <w:tc>
          <w:tcPr>
            <w:tcW w:type="dxa" w:w="279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Isotónica</w:t>
            </w:r>
          </w:p>
        </w:tc>
        <w:tc>
          <w:tcPr>
            <w:tcW w:type="dxa" w:w="193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0,0315</w:t>
            </w:r>
          </w:p>
        </w:tc>
        <w:tc>
          <w:tcPr>
            <w:tcW w:type="dxa" w:w="150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0,993</w:t>
            </w:r>
          </w:p>
        </w:tc>
        <w:tc>
          <w:tcPr>
            <w:tcW w:type="dxa" w:w="150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0,9998</w:t>
            </w:r>
          </w:p>
        </w:tc>
      </w:tr>
      <w:tr>
        <w:trPr>
          <w:cantSplit/>
        </w:trPr>
        <w:tc>
          <w:tcPr>
            <w:tcW w:type="dxa" w:w="161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Estadía</w:t>
            </w:r>
          </w:p>
        </w:tc>
        <w:tc>
          <w:tcPr>
            <w:tcW w:type="dxa" w:w="279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Sin calibrar</w:t>
            </w:r>
          </w:p>
        </w:tc>
        <w:tc>
          <w:tcPr>
            <w:tcW w:type="dxa" w:w="193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4,1479</w:t>
            </w:r>
          </w:p>
        </w:tc>
        <w:tc>
          <w:tcPr>
            <w:tcW w:type="dxa" w:w="15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w:t>
            </w:r>
          </w:p>
        </w:tc>
        <w:tc>
          <w:tcPr>
            <w:tcW w:type="dxa" w:w="15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0,938</w:t>
            </w:r>
          </w:p>
        </w:tc>
      </w:tr>
      <w:tr>
        <w:trPr>
          <w:cantSplit/>
        </w:trPr>
        <w:tc>
          <w:tcPr>
            <w:tcW w:type="dxa" w:w="161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Estadía</w:t>
            </w:r>
          </w:p>
        </w:tc>
        <w:tc>
          <w:tcPr>
            <w:tcW w:type="dxa" w:w="279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Factor único (elegido)</w:t>
            </w:r>
          </w:p>
        </w:tc>
        <w:tc>
          <w:tcPr>
            <w:tcW w:type="dxa" w:w="193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4,1423</w:t>
            </w:r>
          </w:p>
        </w:tc>
        <w:tc>
          <w:tcPr>
            <w:tcW w:type="dxa" w:w="150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w:t>
            </w:r>
          </w:p>
        </w:tc>
        <w:tc>
          <w:tcPr>
            <w:tcW w:type="dxa" w:w="150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1,0007</w:t>
            </w:r>
          </w:p>
        </w:tc>
      </w:tr>
      <w:tr>
        <w:trPr>
          <w:cantSplit/>
        </w:trPr>
        <w:tc>
          <w:tcPr>
            <w:tcW w:type="dxa" w:w="161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Estadía</w:t>
            </w:r>
          </w:p>
        </w:tc>
        <w:tc>
          <w:tcPr>
            <w:tcW w:type="dxa" w:w="279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Isotónica</w:t>
            </w:r>
          </w:p>
        </w:tc>
        <w:tc>
          <w:tcPr>
            <w:tcW w:type="dxa" w:w="193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4,1468</w:t>
            </w:r>
          </w:p>
        </w:tc>
        <w:tc>
          <w:tcPr>
            <w:tcW w:type="dxa" w:w="15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w:t>
            </w:r>
          </w:p>
        </w:tc>
        <w:tc>
          <w:tcPr>
            <w:tcW w:type="dxa" w:w="15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1,0011</w:t>
            </w:r>
          </w:p>
        </w:tc>
      </w:tr>
    </w:tbl>
    <w:p>
      <w:pPr>
        <w:spacing w:after="80"/>
      </w:pPr>
    </w:p>
    <w:p>
      <w:pPr>
        <w:keepNext/>
        <w:spacing w:after="60" w:before="80"/>
        <w:jc w:val="center"/>
      </w:pPr>
      <w:r>
        <w:drawing>
          <wp:inline distT="0" distB="0" distL="0" distR="0">
            <wp:extent cx="5305425" cy="2095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2095500"/>
                    </a:xfrm>
                    <a:prstGeom prst="rect">
                      <a:avLst/>
                    </a:prstGeom>
                  </pic:spPr>
                </pic:pic>
              </a:graphicData>
            </a:graphic>
          </wp:inline>
        </w:drawing>
      </w:r>
    </w:p>
    <w:p>
      <w:pPr>
        <w:spacing w:after="160"/>
      </w:pPr>
      <w:r>
        <w:rPr>
          <w:i/>
          <w:iCs/>
          <w:color w:val="404040"/>
          <w:sz w:val="17"/>
          <w:szCs w:val="17"/>
        </w:rPr>
        <w:t xml:space="preserve">Figura 3. Calibración en 2023 por decil de riesgo, antes y después de recalibrar.</w:t>
      </w:r>
    </w:p>
    <w:p>
      <w:pPr>
        <w:pStyle w:val="Heading1"/>
      </w:pPr>
      <w:r>
        <w:t xml:space="preserve">6. ¿El modelo mide al hospital o al paciente?</w:t>
      </w:r>
    </w:p>
    <w:p>
      <w:pPr>
        <w:spacing w:after="120" w:line="276"/>
      </w:pPr>
      <w:r>
        <w:t xml:space="preserve">Si las variables condicionales delataran el hospital, el indicador premiaría o castigaría a cada centro por su identidad. Se entrenó un modelo auxiliar que intenta adivinar el hospital (entre 65) a partir de los predictores, con y sin esas cuatro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4"/>
        <w:gridCol w:w="1456"/>
        <w:gridCol w:w="3120"/>
        <w:gridCol w:w="2080"/>
      </w:tblGrid>
      <w:tr>
        <w:trPr>
          <w:tblHeader/>
        </w:trPr>
        <w:tc>
          <w:tcPr>
            <w:tcW w:type="dxa" w:w="270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Versión</w:t>
            </w:r>
          </w:p>
        </w:tc>
        <w:tc>
          <w:tcPr>
            <w:tcW w:type="dxa" w:w="1456"/>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Predictores</w:t>
            </w:r>
          </w:p>
        </w:tc>
        <w:tc>
          <w:tcPr>
            <w:tcW w:type="dxa" w:w="312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Acierto al adivinar el hospital</w:t>
            </w:r>
          </w:p>
        </w:tc>
        <w:tc>
          <w:tcPr>
            <w:tcW w:type="dxa" w:w="20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Clase más frecuente</w:t>
            </w:r>
          </w:p>
        </w:tc>
      </w:tr>
      <w:tr>
        <w:trPr>
          <w:cantSplit/>
        </w:trPr>
        <w:tc>
          <w:tcPr>
            <w:tcW w:type="dxa" w:w="270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Con las 4 condicionales</w:t>
            </w:r>
          </w:p>
        </w:tc>
        <w:tc>
          <w:tcPr>
            <w:tcW w:type="dxa" w:w="145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40</w:t>
            </w:r>
          </w:p>
        </w:tc>
        <w:tc>
          <w:tcPr>
            <w:tcW w:type="dxa" w:w="312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8,2 %</w:t>
            </w:r>
          </w:p>
        </w:tc>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4,5 %</w:t>
            </w:r>
          </w:p>
        </w:tc>
      </w:tr>
      <w:tr>
        <w:trPr>
          <w:cantSplit/>
        </w:trPr>
        <w:tc>
          <w:tcPr>
            <w:tcW w:type="dxa" w:w="270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Sin ellas</w:t>
            </w:r>
          </w:p>
        </w:tc>
        <w:tc>
          <w:tcPr>
            <w:tcW w:type="dxa" w:w="145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36</w:t>
            </w:r>
          </w:p>
        </w:tc>
        <w:tc>
          <w:tcPr>
            <w:tcW w:type="dxa" w:w="3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3,9 %</w:t>
            </w:r>
          </w:p>
        </w:tc>
        <w:tc>
          <w:tcPr>
            <w:tcW w:type="dxa" w:w="20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4,5 %</w:t>
            </w:r>
          </w:p>
        </w:tc>
      </w:tr>
      <w:tr>
        <w:trPr>
          <w:cantSplit/>
        </w:trPr>
        <w:tc>
          <w:tcPr>
            <w:tcW w:type="dxa" w:w="270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Diferencia</w:t>
            </w:r>
          </w:p>
        </w:tc>
        <w:tc>
          <w:tcPr>
            <w:tcW w:type="dxa" w:w="1456"/>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p>
        </w:tc>
        <w:tc>
          <w:tcPr>
            <w:tcW w:type="dxa" w:w="312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4,2 puntos (límite fijado: 5)</w:t>
            </w:r>
          </w:p>
        </w:tc>
        <w:tc>
          <w:tcPr>
            <w:tcW w:type="dxa" w:w="20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p>
        </w:tc>
      </w:tr>
    </w:tbl>
    <w:p>
      <w:pPr>
        <w:spacing w:after="80"/>
      </w:pPr>
    </w:p>
    <w:p>
      <w:pPr>
        <w:spacing w:after="120" w:line="276"/>
      </w:pPr>
      <w:r>
        <w:t xml:space="preserve">La diferencia queda bajo el límite y las cuatro variables se mantienen. Es una prueba de poco poder (el acierto sin ellas queda bajo la clase más frecuente) y el umbral de 5 puntos es arbitrario; la sensibilidad de la sección 8 muestra que </w:t>
      </w:r>
      <w:r>
        <w:rPr>
          <w:b/>
          <w:bCs/>
        </w:rPr>
        <w:t xml:space="preserve">sí mueven el ranking de mortalidad</w:t>
      </w:r>
      <w:r>
        <w:t xml:space="preserve"> (H-10).</w:t>
      </w:r>
    </w:p>
    <w:p>
      <w:pPr>
        <w:keepNext/>
        <w:spacing w:after="60" w:before="80"/>
        <w:jc w:val="center"/>
      </w:pPr>
      <w:r>
        <w:drawing>
          <wp:inline distT="0" distB="0" distL="0" distR="0">
            <wp:extent cx="5486400" cy="22193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219325"/>
                    </a:xfrm>
                    <a:prstGeom prst="rect">
                      <a:avLst/>
                    </a:prstGeom>
                  </pic:spPr>
                </pic:pic>
              </a:graphicData>
            </a:graphic>
          </wp:inline>
        </w:drawing>
      </w:r>
    </w:p>
    <w:p>
      <w:pPr>
        <w:spacing w:after="160"/>
      </w:pPr>
      <w:r>
        <w:rPr>
          <w:i/>
          <w:iCs/>
          <w:color w:val="404040"/>
          <w:sz w:val="17"/>
          <w:szCs w:val="17"/>
        </w:rPr>
        <w:t xml:space="preserve">Figura 4. Importancia media de cada variable (contribuciones SHAP nativas). Mortalidad: diagnóstico principal 22,7 %, edad 15,8 %, tipo de ingreso 14,2 %, grupo clínico 12,6 %. No aparece ninguna variable prohibida.</w:t>
      </w:r>
    </w:p>
    <w:p>
      <w:pPr>
        <w:spacing w:after="120" w:line="276"/>
      </w:pPr>
      <w:r>
        <w:rPr>
          <w:b/>
          <w:bCs/>
        </w:rPr>
        <w:t xml:space="preserve">Coherencia clínica.</w:t>
      </w:r>
      <w:r>
        <w:t xml:space="preserve"> En 2023 la mortalidad observada sube de 0,5 % (18–29 años) a 19 % (90 o más) y de 0,7 % (sin comorbilidad) a 13,7 % (4 o más); el modelo la sigue con O/E entre 0,97 y 1,09.</w:t>
      </w:r>
    </w:p>
    <w:p>
      <w:pPr>
        <w:pStyle w:val="Heading1"/>
      </w:pPr>
      <w:r>
        <w:t xml:space="preserve">7. Modelo de exhaustividad de la codificación</w:t>
      </w:r>
    </w:p>
    <w:p>
      <w:pPr>
        <w:spacing w:after="120" w:line="276"/>
      </w:pPr>
      <w:r>
        <w:t xml:space="preserve">Predice cuántos diagnósticos secundarios válidos se registran por egreso (regresión de Poisson, con un LightGBM de control). En 2023 se registraron </w:t>
      </w:r>
      <w:r>
        <w:rPr>
          <w:b/>
          <w:bCs/>
        </w:rPr>
        <w:t xml:space="preserve">15 % más</w:t>
      </w:r>
      <w:r>
        <w:t xml:space="preserve"> de los esperados según 2019–2022 (O/E 1,155): la codificación sigue creciendo en general. Este modelo alimenta el índice de exhaustividad que acompaña al O/E en la Fase 5.</w:t>
      </w:r>
    </w:p>
    <w:p>
      <w:pPr>
        <w:pStyle w:val="Heading1"/>
      </w:pPr>
      <w:r>
        <w:t xml:space="preserve">8. Congelamiento, puertas y sensibilidades</w:t>
      </w:r>
    </w:p>
    <w:p>
      <w:pPr>
        <w:pStyle w:val="Heading2"/>
      </w:pPr>
      <w:r>
        <w:t xml:space="preserve">8.1 Congelamiento y puertas G1–G8</w:t>
      </w:r>
    </w:p>
    <w:p>
      <w:pPr>
        <w:spacing w:after="120" w:line="276"/>
      </w:pPr>
      <w:r>
        <w:t xml:space="preserve">Dos entrenamientos finales y una recarga dan predicciones idénticas; 9 archivos (modelos de mortalidad y estadía, sus recalibradores y el modelo de exhaustividad) quedan con huella SHA-256 en </w:t>
      </w:r>
      <w:r>
        <w:rPr>
          <w:rFonts w:ascii="Consolas" w:cs="Consolas" w:eastAsia="Consolas" w:hAnsi="Consolas"/>
          <w:sz w:val="19"/>
          <w:szCs w:val="19"/>
        </w:rPr>
        <w:t xml:space="preserve">modelos/manifiesto.json</w:t>
      </w:r>
      <w:r>
        <w:t xml:space="preserve">, más una ficha por modelo. Las 8 puertas pasan: entrada íntegra, 2024 intacto, lista blanca, comparación justa (40/40 y 30/30 pruebas), selección declarada, calibración, reproducibilidad (45 pruebas) y privacidad.</w:t>
      </w:r>
    </w:p>
    <w:p>
      <w:pPr>
        <w:pStyle w:val="Heading2"/>
      </w:pPr>
      <w:r>
        <w:t xml:space="preserve">8.2 Revisión ampliada de algoritmos (exploratoria)</w:t>
      </w:r>
    </w:p>
    <w:p>
      <w:pPr>
        <w:spacing w:after="120" w:line="276"/>
      </w:pPr>
      <w:r>
        <w:t xml:space="preserve">Después de cerrar la fase se probaron extra-trees, random forest y CatBoost con el mismo protocolo. Ninguno supera a LightGBM: extra-trees empata en mortalidad (0,4419) y queda algo peor en estadía; random forest es claramente peor; CatBoost quedó a medias (21 de 40 pruebas) por tiempo. La elección se mantiene.</w:t>
      </w:r>
    </w:p>
    <w:p>
      <w:pPr>
        <w:pStyle w:val="Heading2"/>
      </w:pPr>
      <w:r>
        <w:t xml:space="preserve">8.3 Sensibilidades ejecutadas por la auditoría (exploratorias)</w:t>
      </w:r>
    </w:p>
    <w:p>
      <w:pPr>
        <w:spacing w:after="120" w:line="276"/>
      </w:pPr>
      <w:r>
        <w:t xml:space="preserve">La Fase 1 preveía sensibilidades que el proyecto no hizo. La auditoría las ejecutó después, con los </w:t>
      </w:r>
      <w:r>
        <w:rPr>
          <w:b/>
          <w:bCs/>
        </w:rPr>
        <w:t xml:space="preserve">mismos hiperparámetros y árboles congelados</w:t>
      </w:r>
      <w:r>
        <w:t xml:space="preserve">, en dos diseños: el original (entrenar 2019–2022, calibrar 2023, probar 2024, año ya abierto) y uno </w:t>
      </w:r>
      <w:r>
        <w:rPr>
          <w:b/>
          <w:bCs/>
        </w:rPr>
        <w:t xml:space="preserve">anidado</w:t>
      </w:r>
      <w:r>
        <w:t xml:space="preserve"> que no usa 2024 (entrenar 2019–2021, calibrar 2022, probar 2023). Regla de lectura: la conclusión se mantiene si al menos el 80 % de los hospitales conserva su zona del embudo y la correlación de rangos del O/E es de al menos 0,90.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7"/>
        <w:gridCol w:w="1593"/>
        <w:gridCol w:w="1792"/>
        <w:gridCol w:w="1394"/>
        <w:gridCol w:w="1594"/>
      </w:tblGrid>
      <w:tr>
        <w:trPr>
          <w:tblHeader/>
        </w:trPr>
        <w:tc>
          <w:tcPr>
            <w:tcW w:type="dxa" w:w="2987"/>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Variante</w:t>
            </w:r>
          </w:p>
        </w:tc>
        <w:tc>
          <w:tcPr>
            <w:tcW w:type="dxa" w:w="1593"/>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Mortalidad 2024</w:t>
            </w:r>
          </w:p>
        </w:tc>
        <w:tc>
          <w:tcPr>
            <w:tcW w:type="dxa" w:w="1792"/>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Mortalidad 2023 anidado</w:t>
            </w:r>
          </w:p>
        </w:tc>
        <w:tc>
          <w:tcPr>
            <w:tcW w:type="dxa" w:w="139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Estadía 2024</w:t>
            </w:r>
          </w:p>
        </w:tc>
        <w:tc>
          <w:tcPr>
            <w:tcW w:type="dxa" w:w="1594"/>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Estadía 2023 anidado</w:t>
            </w:r>
          </w:p>
        </w:tc>
      </w:tr>
      <w:tr>
        <w:trPr>
          <w:cantSplit/>
        </w:trPr>
        <w:tc>
          <w:tcPr>
            <w:tcW w:type="dxa" w:w="298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Sin las 5 comorbilidades sospechosas</w:t>
            </w:r>
          </w:p>
        </w:tc>
        <w:tc>
          <w:tcPr>
            <w:tcW w:type="dxa" w:w="159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91 % · 0,93</w:t>
            </w:r>
          </w:p>
        </w:tc>
        <w:tc>
          <w:tcPr>
            <w:tcW w:type="dxa" w:w="179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95 % · 0,96</w:t>
            </w:r>
          </w:p>
        </w:tc>
        <w:tc>
          <w:tcPr>
            <w:tcW w:type="dxa" w:w="139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97 % · 0,98</w:t>
            </w:r>
          </w:p>
        </w:tc>
        <w:tc>
          <w:tcPr>
            <w:tcW w:type="dxa" w:w="159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100 % · 0,99</w:t>
            </w:r>
          </w:p>
        </w:tc>
      </w:tr>
      <w:tr>
        <w:trPr>
          <w:cantSplit/>
        </w:trPr>
        <w:tc>
          <w:tcPr>
            <w:tcW w:type="dxa" w:w="298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Sin 2020–2021</w:t>
            </w:r>
          </w:p>
        </w:tc>
        <w:tc>
          <w:tcPr>
            <w:tcW w:type="dxa" w:w="159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99 % · 1,00</w:t>
            </w:r>
          </w:p>
        </w:tc>
        <w:tc>
          <w:tcPr>
            <w:tcW w:type="dxa" w:w="179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95 % · 0,99</w:t>
            </w:r>
          </w:p>
        </w:tc>
        <w:tc>
          <w:tcPr>
            <w:tcW w:type="dxa" w:w="139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100 % · 1,00</w:t>
            </w:r>
          </w:p>
        </w:tc>
        <w:tc>
          <w:tcPr>
            <w:tcW w:type="dxa" w:w="159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98 % · 1,00</w:t>
            </w:r>
          </w:p>
        </w:tc>
      </w:tr>
      <w:tr>
        <w:trPr>
          <w:cantSplit/>
        </w:trPr>
        <w:tc>
          <w:tcPr>
            <w:tcW w:type="dxa" w:w="298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Sin las 4 variables condicionales</w:t>
            </w:r>
          </w:p>
        </w:tc>
        <w:tc>
          <w:tcPr>
            <w:tcW w:type="dxa" w:w="159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91 % · 0,80</w:t>
            </w:r>
          </w:p>
        </w:tc>
        <w:tc>
          <w:tcPr>
            <w:tcW w:type="dxa" w:w="179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92 % · 0,89</w:t>
            </w:r>
          </w:p>
        </w:tc>
        <w:tc>
          <w:tcPr>
            <w:tcW w:type="dxa" w:w="139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96 % · 0,96</w:t>
            </w:r>
          </w:p>
        </w:tc>
        <w:tc>
          <w:tcPr>
            <w:tcW w:type="dxa" w:w="159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97 % · 0,96</w:t>
            </w:r>
          </w:p>
        </w:tc>
      </w:tr>
      <w:tr>
        <w:trPr>
          <w:cantSplit/>
        </w:trPr>
        <w:tc>
          <w:tcPr>
            <w:tcW w:type="dxa" w:w="298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Sin ninguna comorbilidad</w:t>
            </w:r>
          </w:p>
        </w:tc>
        <w:tc>
          <w:tcPr>
            <w:tcW w:type="dxa" w:w="159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88 % · 0,88</w:t>
            </w:r>
          </w:p>
        </w:tc>
        <w:tc>
          <w:tcPr>
            <w:tcW w:type="dxa" w:w="179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97 % · 0,91</w:t>
            </w:r>
          </w:p>
        </w:tc>
        <w:tc>
          <w:tcPr>
            <w:tcW w:type="dxa" w:w="139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99 % · 0,94</w:t>
            </w:r>
          </w:p>
        </w:tc>
        <w:tc>
          <w:tcPr>
            <w:tcW w:type="dxa" w:w="159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97 % · 0,97</w:t>
            </w:r>
          </w:p>
        </w:tc>
      </w:tr>
      <w:tr>
        <w:trPr>
          <w:cantSplit/>
        </w:trPr>
        <w:tc>
          <w:tcPr>
            <w:tcW w:type="dxa" w:w="2987"/>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Línea base en vez de LightGBM</w:t>
            </w:r>
          </w:p>
        </w:tc>
        <w:tc>
          <w:tcPr>
            <w:tcW w:type="dxa" w:w="1593"/>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94 % · 0,98</w:t>
            </w:r>
          </w:p>
        </w:tc>
        <w:tc>
          <w:tcPr>
            <w:tcW w:type="dxa" w:w="1792"/>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100 % · 0,98</w:t>
            </w:r>
          </w:p>
        </w:tc>
        <w:tc>
          <w:tcPr>
            <w:tcW w:type="dxa" w:w="139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99 % · 0,98</w:t>
            </w:r>
          </w:p>
        </w:tc>
        <w:tc>
          <w:tcPr>
            <w:tcW w:type="dxa" w:w="1594"/>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97 % · 0,98</w:t>
            </w:r>
          </w:p>
        </w:tc>
      </w:tr>
    </w:tbl>
    <w:p>
      <w:pPr>
        <w:spacing w:after="80"/>
      </w:pPr>
    </w:p>
    <w:p>
      <w:pPr>
        <w:spacing w:after="120" w:line="276"/>
      </w:pPr>
      <w:r>
        <w:t xml:space="preserve">Cada celda: hospitales en la misma zona · correlación de rangos del O/E. En negrita, lo que no cumple la regla. Las comorbilidades sospechosas (circulación pulmonar, coagulopatía, pérdida de peso, trastornos hidroelectrolíticos y anemia por pérdida de sangre) cuestan 0,028 de PR AUC pero no cambian la conclusión; las </w:t>
      </w:r>
      <w:r>
        <w:rPr>
          <w:b/>
          <w:bCs/>
        </w:rPr>
        <w:t xml:space="preserve">variables condicionales sí reordenan la mortalidad</w:t>
      </w:r>
      <w:r>
        <w:t xml:space="preserve">. Como estos resultados ya se conocen, cualquier cambio de modelo debe validarse con el diseño anidado o con un año nuevo, no con 2024.</w:t>
      </w:r>
    </w:p>
    <w:p>
      <w:pPr>
        <w:pStyle w:val="Heading1"/>
      </w:pPr>
      <w:r>
        <w:t xml:space="preserve">9. Verificación independiente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Qué se comprobó</w:t>
            </w:r>
          </w:p>
        </w:tc>
        <w:tc>
          <w:tcPr>
            <w:tcW w:type="dxa" w:w="4680"/>
            <w:tcBorders>
              <w:top w:val="single" w:color="D9D9D9" w:sz="4"/>
              <w:left w:val="single" w:color="D9D9D9" w:sz="4"/>
              <w:bottom w:val="single" w:color="D9D9D9" w:sz="4"/>
              <w:right w:val="single" w:color="D9D9D9" w:sz="4"/>
            </w:tcBorders>
            <w:shd w:fill="1F3864" w:color="auto" w:val="clear"/>
            <w:tcMar>
              <w:top w:type="dxa" w:w="70"/>
              <w:left w:type="dxa" w:w="110"/>
              <w:bottom w:type="dxa" w:w="70"/>
              <w:right w:type="dxa" w:w="110"/>
            </w:tcMar>
            <w:vAlign w:val="top"/>
          </w:tcPr>
          <w:p>
            <w:pPr>
              <w:spacing w:after="40" w:line="252"/>
            </w:pPr>
            <w:r>
              <w:rPr>
                <w:b/>
                <w:bCs/>
                <w:color w:val="FFFFFF"/>
                <w:sz w:val="19"/>
                <w:szCs w:val="19"/>
              </w:rPr>
              <w:t xml:space="preserve">Resultado</w:t>
            </w:r>
          </w:p>
        </w:tc>
      </w:tr>
      <w:tr>
        <w:trPr>
          <w:cantSplit/>
        </w:trPr>
        <w:tc>
          <w:tcPr>
            <w:tcW w:type="dxa" w:w="46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Búsqueda de hiperparámetros (grilla logística y 140 pruebas de Optuna)</w:t>
            </w:r>
          </w:p>
        </w:tc>
        <w:tc>
          <w:tcPr>
            <w:tcW w:type="dxa" w:w="46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Idénticas a las de la tesis, en número, estado, valor y parámetros</w:t>
            </w:r>
          </w:p>
        </w:tc>
      </w:tr>
      <w:tr>
        <w:trPr>
          <w:cantSplit/>
        </w:trPr>
        <w:tc>
          <w:tcPr>
            <w:tcW w:type="dxa" w:w="46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Comparación, selección y calibración (8 tablas)</w:t>
            </w:r>
          </w:p>
        </w:tc>
        <w:tc>
          <w:tcPr>
            <w:tcW w:type="dxa" w:w="46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Idénticas; solo cambian las columnas de segundos</w:t>
            </w:r>
          </w:p>
        </w:tc>
      </w:tr>
      <w:tr>
        <w:trPr>
          <w:cantSplit/>
        </w:trPr>
        <w:tc>
          <w:tcPr>
            <w:tcW w:type="dxa" w:w="46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Integridad, coherencia, contribuciones y exhaustividad (8 tablas) y la tabla de puertas G1–G8</w:t>
            </w:r>
          </w:p>
        </w:tc>
        <w:tc>
          <w:tcPr>
            <w:tcW w:type="dxa" w:w="4680"/>
            <w:tcBorders>
              <w:top w:val="single" w:color="D9D9D9" w:sz="4"/>
              <w:left w:val="single" w:color="D9D9D9" w:sz="4"/>
              <w:bottom w:val="single" w:color="D9D9D9" w:sz="4"/>
              <w:right w:val="single" w:color="D9D9D9" w:sz="4"/>
            </w:tcBorders>
            <w:shd w:fill="F7F7F7" w:color="auto" w:val="clear"/>
            <w:tcMar>
              <w:top w:type="dxa" w:w="70"/>
              <w:left w:type="dxa" w:w="110"/>
              <w:bottom w:type="dxa" w:w="70"/>
              <w:right w:type="dxa" w:w="110"/>
            </w:tcMar>
            <w:vAlign w:val="top"/>
          </w:tcPr>
          <w:p>
            <w:pPr>
              <w:spacing w:after="40" w:line="252"/>
            </w:pPr>
            <w:r>
              <w:rPr>
                <w:sz w:val="19"/>
                <w:szCs w:val="19"/>
              </w:rPr>
              <w:t xml:space="preserve">Idénticas byte a byte</w:t>
            </w:r>
          </w:p>
        </w:tc>
      </w:tr>
      <w:tr>
        <w:trPr>
          <w:cantSplit/>
        </w:trPr>
        <w:tc>
          <w:tcPr>
            <w:tcW w:type="dxa" w:w="46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Los 9 archivos congelados y el manifiesto completo</w:t>
            </w:r>
          </w:p>
        </w:tc>
        <w:tc>
          <w:tcPr>
            <w:tcW w:type="dxa" w:w="468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top"/>
          </w:tcPr>
          <w:p>
            <w:pPr>
              <w:spacing w:after="40" w:line="252"/>
            </w:pPr>
            <w:r>
              <w:rPr>
                <w:sz w:val="19"/>
                <w:szCs w:val="19"/>
              </w:rPr>
              <w:t xml:space="preserve">Idénticos byte a byte</w:t>
            </w:r>
            <w:r>
              <w:rPr>
                <w:sz w:val="19"/>
                <w:szCs w:val="19"/>
              </w:rPr>
              <w:t xml:space="preserve"> (por ejemplo, mortalidad e33fb2dd…, estadía 8e9fe8d6…)</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off"/>
        </w:trPr>
        <w:tc>
          <w:tcPr>
            <w:tcW w:type="dxa" w:w="9360"/>
            <w:tcBorders>
              <w:top w:val="none" w:color="FFFFFF" w:sz="0"/>
              <w:left w:val="single" w:color="C55A11" w:sz="24"/>
              <w:bottom w:val="none" w:color="FFFFFF" w:sz="0"/>
              <w:right w:val="none" w:color="FFFFFF" w:sz="0"/>
            </w:tcBorders>
            <w:shd w:fill="FDF0E4" w:color="auto" w:val="clear"/>
            <w:tcMar>
              <w:top w:type="dxa" w:w="120"/>
              <w:left w:type="dxa" w:w="200"/>
              <w:bottom w:type="dxa" w:w="100"/>
              <w:right w:type="dxa" w:w="160"/>
            </w:tcMar>
          </w:tcPr>
          <w:p>
            <w:pPr>
              <w:spacing w:after="80"/>
            </w:pPr>
            <w:r>
              <w:rPr>
                <w:b/>
                <w:bCs/>
                <w:color w:val="C55A11"/>
              </w:rPr>
              <w:t xml:space="preserve">Hallazgo de la reproducción: Optuna y las reanudaciones (H-19)</w:t>
            </w:r>
          </w:p>
          <w:p>
            <w:pPr>
              <w:spacing w:after="60" w:line="264"/>
            </w:pPr>
            <w:r>
              <w:t xml:space="preserve">La corrida original de XGBoost se cortó dos veces (durante la prueba 28 de mortalidad y la 18 de estadía) y se reanudó. Al reanudar, Optuna crea un muestreador nuevo y toma en cuenta la prueba cortada, que queda abierta con sus hiperparámetros, así que las pruebas siguientes cambian. Corriendo de una vez, el modelo elegido es el mismo, pero las tablas de XGBoost difieren desde el corte; </w:t>
            </w:r>
            <w:r>
              <w:rPr>
                <w:b/>
                <w:bCs/>
              </w:rPr>
              <w:t xml:space="preserve">emulando los dos cortes, coinciden las 140 pruebas</w:t>
            </w:r>
            <w:r>
              <w:t xml:space="preserve">. Para que esto no dependa de la suerte, hay que registrar cada reanudación o guardar el estado del muestreador.</w:t>
            </w:r>
          </w:p>
          <w:p>
            <w:pPr>
              <w:spacing w:after="60" w:line="264"/>
            </w:pPr>
            <w:r>
              <w:t xml:space="preserve">Otras dos diferencias menores: la tabla de pruebas de estadía con LightGBM se generó con una versión anterior de </w:t>
            </w:r>
            <w:r>
              <w:rPr>
                <w:rFonts w:ascii="Consolas" w:cs="Consolas" w:eastAsia="Consolas" w:hAnsi="Consolas"/>
                <w:sz w:val="19"/>
                <w:szCs w:val="19"/>
              </w:rPr>
              <w:t xml:space="preserve">tuning.py</w:t>
            </w:r>
            <w:r>
              <w:t xml:space="preserve"> (conserva el valor de 2 pruebas podadas), y las 5 tablas </w:t>
            </w:r>
            <w:r>
              <w:rPr>
                <w:rFonts w:ascii="Consolas" w:cs="Consolas" w:eastAsia="Consolas" w:hAnsi="Consolas"/>
                <w:sz w:val="19"/>
                <w:szCs w:val="19"/>
              </w:rPr>
              <w:t xml:space="preserve">auditoria_extracto_*</w:t>
            </w:r>
            <w:r>
              <w:t xml:space="preserve"> se calcularon sobre un extracto que no está en el repositorio, por lo que no se pueden reproducir.</w:t>
            </w:r>
          </w:p>
        </w:tc>
      </w:tr>
    </w:tbl>
    <w:p>
      <w:pPr>
        <w:spacing w:after="100"/>
      </w:pPr>
    </w:p>
    <w:p>
      <w:pPr>
        <w:pStyle w:val="Heading1"/>
      </w:pPr>
      <w:r>
        <w:t xml:space="preserve">10. Limitaciones</w:t>
      </w:r>
    </w:p>
    <w:p>
      <w:pPr>
        <w:pStyle w:val="ListParagraph"/>
        <w:numPr>
          <w:ilvl w:val="0"/>
          <w:numId w:val="2"/>
        </w:numPr>
        <w:spacing w:after="80" w:line="264"/>
      </w:pPr>
      <w:r>
        <w:t xml:space="preserve">Comorbilidades que se comportan como complicaciones: sin marca de «presente al ingreso», algunas categorías de Elixhauser pueden reflejar lo ocurrido en la hospitalización (H-02).</w:t>
      </w:r>
    </w:p>
    <w:p>
      <w:pPr>
        <w:pStyle w:val="ListParagraph"/>
        <w:numPr>
          <w:ilvl w:val="0"/>
          <w:numId w:val="2"/>
        </w:numPr>
        <w:spacing w:after="80" w:line="264"/>
      </w:pPr>
      <w:r>
        <w:t xml:space="preserve">El diagnóstico principal es la variable más influyente y se puede «jugar» (por ejemplo, codificar cuidados paliativos como principal sube el esperado) (H-15).</w:t>
      </w:r>
    </w:p>
    <w:p>
      <w:pPr>
        <w:pStyle w:val="ListParagraph"/>
        <w:numPr>
          <w:ilvl w:val="0"/>
          <w:numId w:val="2"/>
        </w:numPr>
        <w:spacing w:after="80" w:line="264"/>
      </w:pPr>
      <w:r>
        <w:t xml:space="preserve">El nivel de los modelos depende de recalibrar con el año más reciente; el O/E global deriva entre años (ver Fase 5).</w:t>
      </w:r>
    </w:p>
    <w:p>
      <w:pPr>
        <w:pStyle w:val="ListParagraph"/>
        <w:numPr>
          <w:ilvl w:val="0"/>
          <w:numId w:val="2"/>
        </w:numPr>
        <w:spacing w:after="80" w:line="264"/>
      </w:pPr>
      <w:r>
        <w:t xml:space="preserve">Dependencias declaradas con «&gt;=» en </w:t>
      </w:r>
      <w:r>
        <w:rPr>
          <w:rFonts w:ascii="Consolas" w:cs="Consolas" w:eastAsia="Consolas" w:hAnsi="Consolas"/>
          <w:sz w:val="19"/>
          <w:szCs w:val="19"/>
        </w:rPr>
        <w:t xml:space="preserve">requirements.txt</w:t>
      </w:r>
      <w:r>
        <w:t xml:space="preserve">: conviene un archivo de bloqueo (H-17). La reproducción usó las versiones exactas del manifiesto (Python 3.13.16, LightGBM 4.7.0, XGBoost 3.4.1, Optuna 5.0.0).</w:t>
      </w:r>
    </w:p>
    <w:p>
      <w:pPr>
        <w:pStyle w:val="Heading1"/>
      </w:pPr>
      <w:r>
        <w:t xml:space="preserve">11. Cómo reproducirlo</w:t>
      </w:r>
    </w:p>
    <w:p>
      <w:pPr>
        <w:pStyle w:val="ListParagraph"/>
        <w:numPr>
          <w:ilvl w:val="0"/>
          <w:numId w:val="2"/>
        </w:numPr>
        <w:spacing w:after="80" w:line="264"/>
      </w:pPr>
      <w:r>
        <w:rPr>
          <w:rFonts w:ascii="Consolas" w:cs="Consolas" w:eastAsia="Consolas" w:hAnsi="Consolas"/>
          <w:sz w:val="19"/>
          <w:szCs w:val="19"/>
        </w:rPr>
        <w:t xml:space="preserve">python run_fase4.py --capas &lt;capas de la Fase 3&gt; --trabajo &lt;carpeta de trabajo&gt;</w:t>
      </w:r>
      <w:r>
        <w:t xml:space="preserve">; etapas: contrato, ajuste, comparación, selección, calibración, integridad, exhaustividad, congelar y verificación. Toma unas 5 horas en 2 núcleos.</w:t>
      </w:r>
    </w:p>
    <w:p>
      <w:pPr>
        <w:pStyle w:val="ListParagraph"/>
        <w:numPr>
          <w:ilvl w:val="0"/>
          <w:numId w:val="2"/>
        </w:numPr>
        <w:spacing w:after="80" w:line="264"/>
      </w:pPr>
      <w:r>
        <w:t xml:space="preserve">Figuras: </w:t>
      </w:r>
      <w:r>
        <w:rPr>
          <w:rFonts w:ascii="Consolas" w:cs="Consolas" w:eastAsia="Consolas" w:hAnsi="Consolas"/>
          <w:sz w:val="19"/>
          <w:szCs w:val="19"/>
        </w:rPr>
        <w:t xml:space="preserve">python generar_figuras.py</w:t>
      </w:r>
      <w:r>
        <w:t xml:space="preserve">. Guía: </w:t>
      </w:r>
      <w:r>
        <w:rPr>
          <w:rFonts w:ascii="Consolas" w:cs="Consolas" w:eastAsia="Consolas" w:hAnsi="Consolas"/>
          <w:sz w:val="19"/>
          <w:szCs w:val="19"/>
        </w:rPr>
        <w:t xml:space="preserve">fase4_modelado/GUIA_FASE4.md</w:t>
      </w:r>
      <w:r>
        <w:t xml:space="preserve">. Versiones anteriores de este informe: </w:t>
      </w:r>
      <w:r>
        <w:rPr>
          <w:rFonts w:ascii="Consolas" w:cs="Consolas" w:eastAsia="Consolas" w:hAnsi="Consolas"/>
          <w:sz w:val="19"/>
          <w:szCs w:val="19"/>
        </w:rPr>
        <w:t xml:space="preserve">docs/historial/fase4/</w:t>
      </w:r>
      <w:r>
        <w:t xml:space="preserve">; el plan original de la fase, en </w:t>
      </w:r>
      <w:r>
        <w:rPr>
          <w:rFonts w:ascii="Consolas" w:cs="Consolas" w:eastAsia="Consolas" w:hAnsi="Consolas"/>
          <w:sz w:val="19"/>
          <w:szCs w:val="19"/>
        </w:rPr>
        <w:t xml:space="preserve">docs/fase4_modelado/</w:t>
      </w:r>
      <w:r>
        <w:t xml:space="preser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Fase 4 · Modelado · v5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be8f109fe1e282d1e61041f04d788fc762697f0.png"/><Relationship Id="rId9" Type="http://schemas.openxmlformats.org/officeDocument/2006/relationships/image" Target="media/7fa7910b493b3ec3a39ccaa666bbfd03c7739136.png"/><Relationship Id="rId10" Type="http://schemas.openxmlformats.org/officeDocument/2006/relationships/image" Target="media/1a46186dac31694441d5ab55cd6fdea0b7a9a250.png"/><Relationship Id="rId11" Type="http://schemas.openxmlformats.org/officeDocument/2006/relationships/image" Target="media/4c8ed67194bca123dc3ebfdc2af7be1b9b83c23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4 · Modelado · v5</dc:title>
  <dc:creator>Felipe Ignacio Baeza Muñoz</dc:creator>
  <dc:description>Informe v5 del proyecto de tesis (reproducción independiente verificada)</dc:description>
  <cp:lastModifiedBy>Un-named</cp:lastModifiedBy>
  <cp:revision>1</cp:revision>
  <dcterms:created xsi:type="dcterms:W3CDTF">2026-10-21T03:06:53.127Z</dcterms:created>
  <dcterms:modified xsi:type="dcterms:W3CDTF">2026-10-21T03:06:53.127Z</dcterms:modified>
</cp:coreProperties>
</file>

<file path=docProps/custom.xml><?xml version="1.0" encoding="utf-8"?>
<Properties xmlns="http://schemas.openxmlformats.org/officeDocument/2006/custom-properties" xmlns:vt="http://schemas.openxmlformats.org/officeDocument/2006/docPropsVTypes"/>
</file>