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Arial" w:hAnsi="Arial" w:eastAsia="Arial" w:cs="Arial"/>
          <w:b/>
          <w:bCs/>
          <w:color w:val="1f3864"/>
          <w:sz w:val="28"/>
          <w:szCs w:val="28"/>
        </w:rPr>
        <w:t xml:space="preserve">UNIVERSIDAD DE SANTIAGO DE CHILE</w:t>
      </w:r>
      <w:r/>
    </w:p>
    <w:p>
      <w:pPr>
        <w:pBdr/>
        <w:spacing w:after="40"/>
        <w:ind/>
        <w:jc w:val="center"/>
        <w:rPr/>
      </w:pPr>
      <w:r>
        <w:rPr>
          <w:rFonts w:ascii="Arial" w:hAnsi="Arial" w:eastAsia="Arial" w:cs="Arial"/>
          <w:b/>
          <w:bCs/>
          <w:sz w:val="22"/>
          <w:szCs w:val="22"/>
        </w:rPr>
        <w:t xml:space="preserve">FACULTAD DE INGENIERÍA</w:t>
      </w:r>
      <w:r/>
    </w:p>
    <w:p>
      <w:pPr>
        <w:pBdr/>
        <w:spacing w:after="1400"/>
        <w:ind/>
        <w:jc w:val="center"/>
        <w:rPr/>
      </w:pPr>
      <w:r>
        <w:rPr>
          <w:rFonts w:ascii="Arial" w:hAnsi="Arial" w:eastAsia="Arial" w:cs="Arial"/>
          <w:b/>
          <w:bCs/>
          <w:sz w:val="22"/>
          <w:szCs w:val="22"/>
        </w:rPr>
        <w:t xml:space="preserve">DEPARTAMENTO DE INGENIERÍA INFORMÁTICA</w:t>
      </w:r>
      <w:r/>
    </w:p>
    <w:p>
      <w:pPr>
        <w:pBdr/>
        <w:spacing w:after="60"/>
        <w:ind/>
        <w:jc w:val="center"/>
        <w:rPr/>
      </w:pPr>
      <w:r>
        <w:rPr>
          <w:rFonts w:ascii="Arial" w:hAnsi="Arial" w:eastAsia="Arial" w:cs="Arial"/>
          <w:b/>
          <w:bCs/>
          <w:color w:val="1f3864"/>
          <w:sz w:val="36"/>
          <w:szCs w:val="36"/>
        </w:rPr>
        <w:t xml:space="preserve">INFORME TÉCNICO — FASE 1</w:t>
      </w:r>
      <w:r/>
    </w:p>
    <w:p>
      <w:pPr>
        <w:pBdr/>
        <w:spacing w:after="160"/>
        <w:ind/>
        <w:jc w:val="center"/>
        <w:rPr/>
      </w:pPr>
      <w:r>
        <w:rPr>
          <w:rFonts w:ascii="Arial" w:hAnsi="Arial" w:eastAsia="Arial" w:cs="Arial"/>
          <w:b/>
          <w:bCs/>
          <w:color w:val="1f3864"/>
          <w:sz w:val="36"/>
          <w:szCs w:val="36"/>
        </w:rPr>
        <w:t xml:space="preserve">COMPRENSIÓN DEL DOMINIO</w:t>
      </w:r>
      <w:r/>
    </w:p>
    <w:p w14:paraId="6DCC8452">
      <w:pPr>
        <w:pBdr/>
        <w:spacing w:after="60"/>
        <w:ind/>
        <w:jc w:val="center"/>
        <w:rPr/>
      </w:pPr>
      <w:r>
        <w:rPr>
          <w:rFonts w:ascii="Arial" w:hAnsi="Arial" w:eastAsia="Arial" w:cs="Arial"/>
          <w:b/>
          <w:bCs/>
          <w:sz w:val="22"/>
          <w:szCs w:val="22"/>
          <w:highlight w:val="none"/>
        </w:rPr>
      </w:r>
      <w:r/>
    </w:p>
    <w:p w14:paraId="15FD7E4C">
      <w:pPr>
        <w:pBd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p>
    <w:p w14:paraId="228E2EF4">
      <w:pPr>
        <w:pBd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p>
    <w:p w14:paraId="37165D1D">
      <w:pPr>
        <w:pBd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p>
    <w:p w14:paraId="464C30E4">
      <w:pPr>
        <w:pBd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p>
    <w:p>
      <w:pPr>
        <w:pBdr/>
        <w:spacing w:after="60"/>
        <w:ind/>
        <w:jc w:val="center"/>
        <w:rPr>
          <w:rFonts w:ascii="Arial" w:hAnsi="Arial" w:eastAsia="Arial" w:cs="Arial"/>
          <w:b/>
          <w:bCs/>
          <w:sz w:val="22"/>
          <w:szCs w:val="22"/>
          <w:highlight w:val="none"/>
        </w:rPr>
      </w:pPr>
      <w:r>
        <w:rPr>
          <w:rFonts w:ascii="Arial" w:hAnsi="Arial" w:eastAsia="Arial" w:cs="Arial"/>
          <w:b/>
          <w:bCs/>
          <w:sz w:val="22"/>
          <w:szCs w:val="22"/>
        </w:rPr>
        <w:t xml:space="preserve">Proyecto de Tesis</w:t>
      </w:r>
      <w:r>
        <w:rPr>
          <w:rFonts w:ascii="Arial" w:hAnsi="Arial" w:eastAsia="Arial" w:cs="Arial"/>
          <w:b/>
          <w:bCs/>
          <w:sz w:val="22"/>
          <w:szCs w:val="22"/>
          <w:highlight w:val="none"/>
        </w:rPr>
      </w:r>
    </w:p>
    <w:p>
      <w:pPr>
        <w:pBdr/>
        <w:spacing w:after="30"/>
        <w:ind/>
        <w:jc w:val="center"/>
        <w:rPr/>
      </w:pPr>
      <w:r>
        <w:rPr>
          <w:rFonts w:ascii="Arial" w:hAnsi="Arial" w:eastAsia="Arial" w:cs="Arial"/>
          <w:b w:val="0"/>
          <w:bCs w:val="0"/>
          <w:sz w:val="24"/>
          <w:szCs w:val="24"/>
        </w:rPr>
        <w:t xml:space="preserve">Sistema de evaluación del desempeño hospitalario</w:t>
      </w:r>
      <w:r/>
    </w:p>
    <w:p>
      <w:pPr>
        <w:pBdr/>
        <w:spacing w:after="900"/>
        <w:ind/>
        <w:jc w:val="center"/>
        <w:rPr>
          <w:rFonts w:ascii="Arial" w:hAnsi="Arial" w:eastAsia="Arial" w:cs="Arial"/>
          <w:b w:val="0"/>
          <w:bCs w:val="0"/>
          <w:sz w:val="24"/>
          <w:szCs w:val="24"/>
          <w:highlight w:val="none"/>
        </w:rPr>
      </w:pPr>
      <w:r>
        <w:rPr>
          <w:rFonts w:ascii="Arial" w:hAnsi="Arial" w:eastAsia="Arial" w:cs="Arial"/>
          <w:b w:val="0"/>
          <w:bCs w:val="0"/>
          <w:sz w:val="24"/>
          <w:szCs w:val="24"/>
        </w:rPr>
        <w:t xml:space="preserve">ajustado por riesgo mediante aprendizaje automático</w:t>
      </w:r>
      <w:r>
        <w:rPr>
          <w:rFonts w:ascii="Arial" w:hAnsi="Arial" w:eastAsia="Arial" w:cs="Arial"/>
          <w:b w:val="0"/>
          <w:bCs w:val="0"/>
          <w:sz w:val="24"/>
          <w:szCs w:val="24"/>
          <w:highlight w:val="none"/>
        </w:rPr>
      </w:r>
    </w:p>
    <w:p w14:paraId="660AABD8">
      <w:pPr>
        <w:pBdr/>
        <w:spacing w:after="900"/>
        <w:ind/>
        <w:jc w:val="center"/>
        <w:rPr/>
      </w:pPr>
      <w:r/>
    </w:p>
    <w:p w14:paraId="31059057">
      <w:pPr>
        <w:pBdr/>
        <w:spacing w:after="900"/>
        <w:ind/>
        <w:jc w:val="left"/>
        <w:rPr/>
      </w:pPr>
      <w:r>
        <w:rPr>
          <w:rFonts w:ascii="Arial" w:hAnsi="Arial" w:eastAsia="Arial" w:cs="Arial"/>
          <w:b w:val="0"/>
          <w:bCs w:val="0"/>
          <w:sz w:val="24"/>
          <w:szCs w:val="24"/>
          <w:highlight w:val="none"/>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Estudiante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Felipe Ignacio Baeza Muñoz</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Profesor guía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Manuel Villalobos Cid</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Carrera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Ingeniería de Ejecución en Computación e Informática</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Fecha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Octubre 2026 · Versión 4 (consenso de las Fases 1 a 4)</w:t>
            </w:r>
          </w:p>
        </w:tc>
      </w:tr>
    </w:tbl>
    <w:p>
      <w:pPr>
        <w:pBdr/>
        <w:spacing/>
        <w:ind/>
        <w:rPr/>
      </w:pPr>
      <w:r>
        <w:br w:type="page" w:clear="all"/>
      </w:r>
    </w:p>
    <w:p>
      <w:pPr>
        <w:pBdr/>
        <w:spacing/>
        <w:ind/>
        <w:rPr/>
        <w:sectPr>
          <w:footerReference w:type="default" r:id="rId10"/>
          <w:footnotePr/>
          <w:endnotePr/>
          <w:type w:val="nextPage"/>
          <w:pgSz w:h="15840" w:orient="portrait" w:w="12240"/>
          <w:pgMar w:top="1440" w:right="1440" w:bottom="1440" w:left="1440" w:header="708" w:footer="708" w:gutter="0"/>
          <w:cols w:num="1" w:sep="0" w:space="1701" w:equalWidth="1"/>
        </w:sectPr>
      </w:pPr>
      <w:r/>
    </w:p>
    <w:p>
      <w:pPr>
        <w:pStyle w:val="904"/>
        <w:keepNext w:val="true"/>
        <w:pBdr/>
        <w:spacing/>
        <w:ind/>
        <w:rPr/>
      </w:pPr>
      <w:r>
        <w:rPr>
          <w:rFonts w:ascii="Arial" w:hAnsi="Arial" w:eastAsia="Arial" w:cs="Arial"/>
        </w:rPr>
        <w:t xml:space="preserve">1. Qué es el proyecto y por qué importa</w:t>
      </w:r>
      <w:r/>
    </w:p>
    <w:p>
      <w:pPr>
        <w:pBdr/>
        <w:spacing w:after="130" w:line="285" w:lineRule="auto"/>
        <w:ind/>
        <w:rPr/>
      </w:pPr>
      <w:r>
        <w:rPr>
          <w:rFonts w:ascii="Arial" w:hAnsi="Arial" w:eastAsia="Arial" w:cs="Arial"/>
        </w:rPr>
        <w:t xml:space="preserve">En Chile, cada vez que un paciente sale de un hospital público se genera un registro clínico y administrativo que se clasifica con el sistema de Grupos Relacionados por Diagnóstico (GRD). Cada registro trae diagnósticos, procedimientos, días de hospitalización y cómo terminó el episodio. En total son más de un millón de egresos al año (Cid et al., 2024).</w:t>
      </w:r>
      <w:r/>
    </w:p>
    <w:p>
      <w:pPr>
        <w:pBdr/>
        <w:spacing w:after="130" w:line="285" w:lineRule="auto"/>
        <w:ind/>
        <w:rPr/>
      </w:pPr>
      <w:r>
        <w:rPr>
          <w:rFonts w:ascii="Arial" w:hAnsi="Arial" w:eastAsia="Arial" w:cs="Arial"/>
        </w:rPr>
        <w:t xml:space="preserve">El problema es que hoy no existe un indicador público que compare hospitales ajustando por qué tan graves son sus pacientes. Las plataformas oficiales publican promedios brutos de mortalidad y de días de estadía. Un hospital que recibe pacientes más graves va a mostrar más muertes y estadías más largas aunque trabaje igual de bien que otro. Por eso, comparar tasas brutas no dice nada claro sobre la calidad. Existen métricas de eficiencia elaboradas por DIPRES y por la Comisión Nacional de Productividad, pero quedan en informes estáticos y no en un indicador público y reproducible.</w:t>
      </w: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Propósito central. </w:t>
      </w:r>
      <w:r>
        <w:rPr>
          <w:rFonts w:ascii="Arial" w:hAnsi="Arial" w:eastAsia="Arial" w:cs="Arial"/>
        </w:rPr>
        <w:t xml:space="preserve">El sistema no busca hacer rankings punitivos ni señalar culpables. Busca entregar una señal estadística objetiva que indique dónde puede haber una desviación relevante respecto de lo esperado.</w:t>
      </w:r>
      <w:r/>
    </w:p>
    <w:p>
      <w:pPr>
        <w:pBdr/>
        <w:spacing w:after="130" w:line="285" w:lineRule="auto"/>
        <w:ind/>
        <w:rPr/>
      </w:pPr>
      <w:r>
        <w:rPr>
          <w:rFonts w:ascii="Arial" w:hAnsi="Arial" w:eastAsia="Arial" w:cs="Arial"/>
        </w:rPr>
        <w:t xml:space="preserve">Para lograrlo, el proyecto construye un sistema con cuatro partes:</w:t>
      </w:r>
      <w:r/>
    </w:p>
    <w:p>
      <w:pPr>
        <w:pStyle w:val="896"/>
        <w:numPr>
          <w:ilvl w:val="0"/>
          <w:numId w:val="2"/>
        </w:numPr>
        <w:pBdr/>
        <w:spacing w:after="70" w:line="280" w:lineRule="auto"/>
        <w:ind/>
        <w:rPr/>
      </w:pPr>
      <w:r>
        <w:rPr>
          <w:rFonts w:ascii="Arial" w:hAnsi="Arial" w:eastAsia="Arial" w:cs="Arial"/>
          <w:b/>
          <w:bCs/>
        </w:rPr>
        <w:t xml:space="preserve">Procesamiento de datos.</w:t>
      </w:r>
      <w:r>
        <w:rPr>
          <w:rFonts w:ascii="Arial" w:hAnsi="Arial" w:eastAsia="Arial" w:cs="Arial"/>
        </w:rPr>
        <w:t xml:space="preserve"> Se trabaja con 5.808.535 egresos (2019–2024) que FONASA entregó mediante la Ley 20.285 de Transparencia.</w:t>
      </w:r>
      <w:r/>
    </w:p>
    <w:p>
      <w:pPr>
        <w:pStyle w:val="896"/>
        <w:numPr>
          <w:ilvl w:val="0"/>
          <w:numId w:val="2"/>
        </w:numPr>
        <w:pBdr/>
        <w:spacing w:after="70" w:line="280" w:lineRule="auto"/>
        <w:ind/>
        <w:rPr/>
      </w:pPr>
      <w:r>
        <w:rPr>
          <w:rFonts w:ascii="Arial" w:hAnsi="Arial" w:eastAsia="Arial" w:cs="Arial"/>
          <w:b/>
          <w:bCs/>
        </w:rPr>
        <w:t xml:space="preserve">Modelos predictivos.</w:t>
      </w:r>
      <w:r>
        <w:rPr>
          <w:rFonts w:ascii="Arial" w:hAnsi="Arial" w:eastAsia="Arial" w:cs="Arial"/>
        </w:rPr>
        <w:t xml:space="preserve"> Dos modelos de aprendizaje automático estiman cuántas muertes y cuántos días de estadía se esperan según el perfil clínico de los pacientes de cada hospital.</w:t>
      </w:r>
      <w:r/>
    </w:p>
    <w:p>
      <w:pPr>
        <w:pStyle w:val="896"/>
        <w:numPr>
          <w:ilvl w:val="0"/>
          <w:numId w:val="2"/>
        </w:numPr>
        <w:pBdr/>
        <w:spacing w:after="70" w:line="280" w:lineRule="auto"/>
        <w:ind/>
        <w:rPr/>
      </w:pPr>
      <w:r>
        <w:rPr>
          <w:rFonts w:ascii="Arial" w:hAnsi="Arial" w:eastAsia="Arial" w:cs="Arial"/>
          <w:b/>
          <w:bCs/>
        </w:rPr>
        <w:t xml:space="preserve">Indicador O/E.</w:t>
      </w:r>
      <w:r>
        <w:rPr>
          <w:rFonts w:ascii="Arial" w:hAnsi="Arial" w:eastAsia="Arial" w:cs="Arial"/>
        </w:rPr>
        <w:t xml:space="preserve"> Se compara lo observado con lo esperado y se obtiene la razón Observado/Esperado por hospital.</w:t>
      </w:r>
      <w:r/>
    </w:p>
    <w:p>
      <w:pPr>
        <w:pStyle w:val="896"/>
        <w:numPr>
          <w:ilvl w:val="0"/>
          <w:numId w:val="2"/>
        </w:numPr>
        <w:pBdr/>
        <w:spacing w:after="70" w:line="280" w:lineRule="auto"/>
        <w:ind/>
        <w:rPr/>
      </w:pPr>
      <w:r>
        <w:rPr>
          <w:rFonts w:ascii="Arial" w:hAnsi="Arial" w:eastAsia="Arial" w:cs="Arial"/>
          <w:b/>
          <w:bCs/>
        </w:rPr>
        <w:t xml:space="preserve">Plataforma web.</w:t>
      </w:r>
      <w:r>
        <w:rPr>
          <w:rFonts w:ascii="Arial" w:hAnsi="Arial" w:eastAsia="Arial" w:cs="Arial"/>
        </w:rPr>
        <w:t xml:space="preserve"> Muestra los indicadores por hospital y una demo pedagógica del modelo.</w:t>
      </w:r>
      <w:r/>
    </w:p>
    <w:p>
      <w:pPr>
        <w:pStyle w:val="904"/>
        <w:keepNext w:val="true"/>
        <w:pBdr/>
        <w:spacing/>
        <w:ind/>
        <w:rPr/>
      </w:pPr>
      <w:r>
        <w:rPr>
          <w:rFonts w:ascii="Arial" w:hAnsi="Arial" w:eastAsia="Arial" w:cs="Arial"/>
        </w:rPr>
        <w:t xml:space="preserve">2. Quiénes lo van a usar</w:t>
      </w:r>
      <w:r/>
    </w:p>
    <w:p>
      <w:pPr>
        <w:pBdr/>
        <w:spacing w:after="130" w:line="285" w:lineRule="auto"/>
        <w:ind/>
        <w:rPr/>
      </w:pPr>
      <w:r>
        <w:rPr>
          <w:rFonts w:ascii="Arial" w:hAnsi="Arial" w:eastAsia="Arial" w:cs="Arial"/>
        </w:rPr>
        <w:t xml:space="preserve">Pensar en los usuarios desde el comienzo nos ayuda a decidir qué mostrar y qué no mostrar.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00"/>
        <w:gridCol w:w="3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color w:val="ffffff"/>
                <w:sz w:val="19"/>
                <w:szCs w:val="19"/>
              </w:rPr>
              <w:t xml:space="preserve">Grupo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50" w:line="260" w:lineRule="auto"/>
              <w:ind/>
              <w:rPr/>
            </w:pPr>
            <w:r>
              <w:rPr>
                <w:rFonts w:ascii="Arial" w:hAnsi="Arial" w:eastAsia="Arial" w:cs="Arial"/>
                <w:b/>
                <w:bCs/>
                <w:color w:val="ffffff"/>
                <w:sz w:val="19"/>
                <w:szCs w:val="19"/>
              </w:rPr>
              <w:t xml:space="preserve">Qué necesita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bCs/>
                <w:color w:val="ffffff"/>
                <w:sz w:val="19"/>
                <w:szCs w:val="19"/>
              </w:rPr>
              <w:t xml:space="preserve">Qué le da el sistema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Gestores de hospitales y Servicios de Salud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50" w:line="260" w:lineRule="auto"/>
              <w:ind/>
              <w:rPr/>
            </w:pPr>
            <w:r>
              <w:rPr>
                <w:rFonts w:ascii="Arial" w:hAnsi="Arial" w:eastAsia="Arial" w:cs="Arial"/>
                <w:b w:val="0"/>
                <w:bCs w:val="0"/>
                <w:sz w:val="19"/>
                <w:szCs w:val="19"/>
              </w:rPr>
              <w:t xml:space="preserve">Saber si su hospital se aleja de lo esperado, para decidir qué procesos revisar.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Razón O/E de mortalidad y de estadía, con gráficos de embudo.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MINSAL, FONASA y DIPRES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50" w:line="260" w:lineRule="auto"/>
              <w:ind/>
              <w:rPr/>
            </w:pPr>
            <w:r>
              <w:rPr>
                <w:rFonts w:ascii="Arial" w:hAnsi="Arial" w:eastAsia="Arial" w:cs="Arial"/>
                <w:b w:val="0"/>
                <w:bCs w:val="0"/>
                <w:sz w:val="19"/>
                <w:szCs w:val="19"/>
              </w:rPr>
              <w:t xml:space="preserve">Una señal estandarizada para priorizar revisiones y asignar recursos.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Los mismos indicadores, con un método documentado y reproducible.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Ciudadanía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50" w:line="260" w:lineRule="auto"/>
              <w:ind/>
              <w:rPr/>
            </w:pPr>
            <w:r>
              <w:rPr>
                <w:rFonts w:ascii="Arial" w:hAnsi="Arial" w:eastAsia="Arial" w:cs="Arial"/>
                <w:b w:val="0"/>
                <w:bCs w:val="0"/>
                <w:sz w:val="19"/>
                <w:szCs w:val="19"/>
              </w:rPr>
              <w:t xml:space="preserve">Entender cómo funciona un modelo de riesgo y cómo se ve la transparencia en salud.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Una demo pedagógica con un perfil clínico sintético. No compara hospitales.</w:t>
            </w:r>
            <w:r/>
          </w:p>
        </w:tc>
      </w:tr>
    </w:tbl>
    <w:p>
      <w:pPr>
        <w:pStyle w:val="904"/>
        <w:keepNext w:val="true"/>
        <w:pBdr/>
        <w:spacing/>
        <w:ind/>
        <w:rPr/>
      </w:pPr>
      <w:r>
        <w:rPr>
          <w:rFonts w:ascii="Arial" w:hAnsi="Arial" w:eastAsia="Arial" w:cs="Arial"/>
        </w:rPr>
        <w:t xml:space="preserve">3. Objetivos y criterios de éxito</w:t>
      </w:r>
      <w:r/>
    </w:p>
    <w:p>
      <w:pPr>
        <w:pStyle w:val="905"/>
        <w:keepNext w:val="true"/>
        <w:pBdr/>
        <w:spacing/>
        <w:ind/>
        <w:rPr/>
      </w:pPr>
      <w:r>
        <w:rPr>
          <w:rFonts w:ascii="Arial" w:hAnsi="Arial" w:eastAsia="Arial" w:cs="Arial"/>
        </w:rPr>
        <w:t xml:space="preserve">3.1 Objetivo del proyecto</w:t>
      </w:r>
      <w:r/>
    </w:p>
    <w:p>
      <w:pPr>
        <w:pBdr/>
        <w:spacing w:after="130" w:line="285" w:lineRule="auto"/>
        <w:ind/>
        <w:rPr/>
      </w:pPr>
      <w:r>
        <w:rPr>
          <w:rFonts w:ascii="Arial" w:hAnsi="Arial" w:eastAsia="Arial" w:cs="Arial"/>
        </w:rPr>
        <w:t xml:space="preserve">Que gestores y autoridades tengan una señal estadística objetiva, comparable entre hospitales y justa con la gravedad de los pacientes, para orientar revisiones internas. Para eso se construyen dos modelos predictivos, un indicador O/E por hospital con gráficos de embudo y un prototipo web.</w:t>
      </w:r>
      <w:r/>
    </w:p>
    <w:p>
      <w:pPr>
        <w:pStyle w:val="905"/>
        <w:keepNext w:val="true"/>
        <w:pBdr/>
        <w:spacing/>
        <w:ind/>
        <w:rPr/>
      </w:pPr>
      <w:r>
        <w:rPr>
          <w:rFonts w:ascii="Arial" w:hAnsi="Arial" w:eastAsia="Arial" w:cs="Arial"/>
        </w:rPr>
        <w:t xml:space="preserve">3.2 Criterios de éxito del proyecto (no son del modelo)</w:t>
      </w:r>
      <w:r/>
    </w:p>
    <w:p>
      <w:pPr>
        <w:pBdr/>
        <w:spacing w:after="130" w:line="285" w:lineRule="auto"/>
        <w:ind/>
        <w:rPr/>
      </w:pPr>
      <w:r>
        <w:rPr>
          <w:rFonts w:ascii="Arial" w:hAnsi="Arial" w:eastAsia="Arial" w:cs="Arial"/>
        </w:rPr>
        <w:t xml:space="preserve">Estos criterios miden si el sistema sirve y es seguro de usar. Los criterios del modelo están en la sección 12.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800"/>
        <w:gridCol w:w="3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color w:val="ffffff"/>
                <w:sz w:val="19"/>
                <w:szCs w:val="19"/>
              </w:rPr>
              <w:t xml:space="preserve">Criterio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bCs/>
                <w:color w:val="ffffff"/>
                <w:sz w:val="19"/>
                <w:szCs w:val="19"/>
              </w:rPr>
              <w:t xml:space="preserve">Cómo se mide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bCs/>
                <w:color w:val="ffffff"/>
                <w:sz w:val="19"/>
                <w:szCs w:val="19"/>
              </w:rPr>
              <w:t xml:space="preserve">Meta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Respuesta rápida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Tiempo de respuesta de la inferencia en la demo, con carga moderada.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Menos de 2 segundos.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Privacidad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Revisión del código, de la base de datos y de los registros del servidor.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Ningún dato personal guardado en ninguna parte.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Consistencia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Comparar lo que muestra el tablero con lo que devuelve la API.</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Coinciden en todo.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Comprensión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Pruebas con usuarios representativos, es decir, gestores en salud, sobre la interpretación de los gráficos y las tareas clave.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La lista de tareas y la proporción mínima de éxito se definen antes de la prueba, con 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Uso responsable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Revisión de las funciones de la plataforma.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No hay ranking lineal ni recomendación de hospitales.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Reproducibilidad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Ejecutar todo el proceso desde los archivos originales.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Se regeneran los mismos resultados.</w:t>
            </w:r>
            <w:r/>
          </w:p>
        </w:tc>
      </w:tr>
    </w:tbl>
    <w:p>
      <w:pPr>
        <w:pStyle w:val="904"/>
        <w:keepNext w:val="true"/>
        <w:pBdr/>
        <w:spacing/>
        <w:ind/>
        <w:rPr/>
      </w:pPr>
      <w:r>
        <w:rPr>
          <w:rFonts w:ascii="Arial" w:hAnsi="Arial" w:eastAsia="Arial" w:cs="Arial"/>
        </w:rPr>
        <w:t xml:space="preserve">4. Fuente de datos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Fuente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FONASA, mediante la Ley 20.285 de Transparencia</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Período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Egresos hospitalarios 2019 a 2024</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Volumen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5.808.535 registros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Columnas por registro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129 variables clínicas y administrativas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Formato de entrega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Archivos de texto separados por barra vertical, uno por año</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Privacidad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Sin RUT, nombre ni datos de contacto. Ojo: sí traen fechas exactas de nacimiento, ingreso y alta (ver sección 14).</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Nota sobre el identificador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pBdr/>
              <w:spacing w:after="50" w:line="260" w:lineRule="auto"/>
              <w:ind/>
              <w:rPr/>
            </w:pPr>
            <w:r>
              <w:rPr>
                <w:rFonts w:ascii="Arial" w:hAnsi="Arial" w:eastAsia="Arial" w:cs="Arial"/>
                <w:sz w:val="19"/>
                <w:szCs w:val="19"/>
              </w:rPr>
              <w:t xml:space="preserve">La columna CIP_ENCRIPTADO se llama ID_BENEFICIARIO en 2024 (el código lo maneja solo). Además, el sistema del identificador cambia entre 2020 y 2021, así que no se puede seguir al mismo paciente entre ambos períodos.</w:t>
            </w:r>
          </w:p>
        </w:tc>
      </w:tr>
    </w:tbl>
    <w:p>
      <w:pPr>
        <w:pBdr/>
        <w:spacing w:after="120"/>
        <w:ind/>
        <w:rPr/>
      </w:pPr>
      <w:r/>
    </w:p>
    <w:p>
      <w:pPr>
        <w:pStyle w:val="904"/>
        <w:keepNext w:val="true"/>
        <w:pBdr/>
        <w:spacing/>
        <w:ind/>
        <w:rPr/>
      </w:pPr>
      <w:r>
        <w:rPr>
          <w:rFonts w:ascii="Arial" w:hAnsi="Arial" w:eastAsia="Arial" w:cs="Arial"/>
        </w:rPr>
        <w:t xml:space="preserve">5. Reglas del modelo</w:t>
      </w:r>
      <w:r/>
    </w:p>
    <w:p>
      <w:pPr>
        <w:pBdr/>
        <w:spacing w:after="130" w:line="285" w:lineRule="auto"/>
        <w:ind/>
        <w:rPr/>
      </w:pPr>
      <w:r>
        <w:rPr>
          <w:rFonts w:ascii="Arial" w:hAnsi="Arial" w:eastAsia="Arial" w:cs="Arial"/>
        </w:rPr>
        <w:t xml:space="preserve">Hay ocho reglas (R1 a R8) que ninguna decisión de implementación puede romper. Cada una dice también qué pasaría si se rompe.</w:t>
      </w:r>
      <w:r/>
    </w:p>
    <w:p>
      <w:pPr>
        <w:pStyle w:val="905"/>
        <w:keepNext w:val="true"/>
        <w:pBdr/>
        <w:spacing/>
        <w:ind/>
        <w:rPr/>
      </w:pPr>
      <w:r>
        <w:rPr>
          <w:rFonts w:ascii="Arial" w:hAnsi="Arial" w:eastAsia="Arial" w:cs="Arial"/>
        </w:rPr>
        <w:t xml:space="preserve">5.1 Las ocho reglas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000"/>
        <w:gridCol w:w="3560"/>
        <w:gridCol w:w="320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color w:val="ffffff"/>
                <w:sz w:val="19"/>
                <w:szCs w:val="19"/>
              </w:rPr>
              <w:t xml:space="preserve">N.º</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bCs/>
                <w:color w:val="ffffff"/>
                <w:sz w:val="19"/>
                <w:szCs w:val="19"/>
              </w:rPr>
              <w:t xml:space="preserve">Regla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bCs/>
                <w:color w:val="ffffff"/>
                <w:sz w:val="19"/>
                <w:szCs w:val="19"/>
              </w:rPr>
              <w:t xml:space="preserve">Qué dice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bCs/>
                <w:color w:val="ffffff"/>
                <w:sz w:val="19"/>
                <w:szCs w:val="19"/>
              </w:rPr>
              <w:t xml:space="preserve">Qué pasa si se viola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Nada que revele el desenlace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El modelo no puede usar datos que se generan durante la hospitalización y que dependen de cómo le fue al paciente: procedimientos, cirugías, medicamentos, fecha de alta y severidad del GRD. Hay una excepción declarada: los diagnósticos (ver más abajo).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El modelo aprendería con información que no existe al momento de predecir. Los resultados serían buenos en el papel e inútiles en la práctica.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R2</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El hospital no puede ser predictor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El código del hospital, el Servicio de Salud y cualquier variable que identifique o describa al establecimiento están prohibidos como predictores.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El modelo aprendería la historia de cada hospital y no el riesgo del paciente. El O/E mediría si el modelo reconoce hospitales, no su desempeño.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Las enfermedades previas son el núcleo del ajuste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Las 31 categorías de Elixhauser se calculan solo con los diagnósticos secundarios, nunca con el principal, y todas están en el modelo principal.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Sin ajustar por enfermedades previas, los hospitales con pacientes más complejos parecerían siempre peores.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R4</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Los datos originales de FONASA son inmutables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Los archivos originales nunca se modifican. Todo se procesa en capas y, después de la ingesta, el código tiene prohibido volver a leerlos.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Se perdería la posibilidad de rastrear errores al origen y el proceso dejaría de ser reproducible.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Los errores se anulan, no se imputan en la limpieza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Si un valor es imposible, se anula solo ese valor y se documenta. No se reemplaza por un promedio ni por otro valor calculado. Los faltantes se tratan después, en el modelado (Fase 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Imputar mete suposiciones que pueden distorsionar los resultados. Un valor real siempre es mejor que uno estimado.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R6</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El riesgo de mortalidad del GRD está prohibido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La columna IR_29301_MORTALIDAD está prohibida como variable predictora bajo cualquier circunstancia. La Fase 2 comprobó con la base completa que supera el umbral de fuga: AUC de 0,862 en el ranking de 2019–2022 y de 0,876 en 2023, sobre el límite de 0,85. Lo mismo ocurre con IR_29301_SEVERIDAD (0,847 y 0,861), que también queda fuera del modelo (decisión 14). IR_29301_PESO (AUC 0,81) se descarta por la misma razón conceptual: el agrupador lo asigna con todo lo ocurrido en la hospitalización.</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ind/>
              <w:rPr/>
            </w:pPr>
            <w:r>
              <w:t xml:space="preserve">Introduciría fuga de información hacia atrás (data leakage) y circularidad algorítmica, copiando un resultado precalculado por el agrupador administrativo en lugar de aprender el riesgo clínico basal del paciente.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R7</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Validación sobre datos que el modelo nunca vio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El rendimiento se mide solo con el año 2024, que no se usa en ninguna etapa del entrenamiento ni de la 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Las métricas saldrían demasiado optimistas y no reflejarían el desempeño ante casos nuevos.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pBdr/>
              <w:spacing w:after="50" w:line="260" w:lineRule="auto"/>
              <w:ind/>
              <w:rPr/>
            </w:pPr>
            <w:r>
              <w:rPr>
                <w:rFonts w:ascii="Arial" w:hAnsi="Arial" w:eastAsia="Arial" w:cs="Arial"/>
                <w:b/>
                <w:bCs/>
                <w:sz w:val="19"/>
                <w:szCs w:val="19"/>
              </w:rPr>
              <w:t xml:space="preserve">R8</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pBdr/>
              <w:spacing w:after="50" w:line="260" w:lineRule="auto"/>
              <w:ind/>
              <w:rPr/>
            </w:pPr>
            <w:r>
              <w:rPr>
                <w:rFonts w:ascii="Arial" w:hAnsi="Arial" w:eastAsia="Arial" w:cs="Arial"/>
                <w:b w:val="0"/>
                <w:bCs w:val="0"/>
                <w:sz w:val="19"/>
                <w:szCs w:val="19"/>
              </w:rPr>
              <w:t xml:space="preserve">Los fallecidos no entrenan el modelo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val="0"/>
                <w:bCs w:val="0"/>
                <w:sz w:val="19"/>
                <w:szCs w:val="19"/>
              </w:rPr>
              <w:t xml:space="preserve">El modelo de días de hospitalización se entrena solo con sobrevivientes. Los fallecidos se conservan para estadísticas descriptivas.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pBdr/>
              <w:spacing w:after="50" w:line="260" w:lineRule="auto"/>
              <w:ind/>
              <w:rPr/>
            </w:pPr>
            <w:r>
              <w:rPr>
                <w:rFonts w:ascii="Arial" w:hAnsi="Arial" w:eastAsia="Arial" w:cs="Arial"/>
                <w:b w:val="0"/>
                <w:bCs w:val="0"/>
                <w:sz w:val="19"/>
                <w:szCs w:val="19"/>
              </w:rPr>
              <w:t xml:space="preserve">Los fallecidos tienen estadías cortas porque murieron, no por eficiencia. El modelo aprendería que los pacientes graves se van rápido y distorsionaría el O/E de estadía.</w:t>
            </w:r>
            <w:r/>
          </w:p>
        </w:tc>
      </w:tr>
    </w:tbl>
    <w:p>
      <w:pPr>
        <w:pBdr/>
        <w:spacing w:after="120"/>
        <w:ind/>
        <w:rPr/>
      </w:pP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Lo que hay que </w:t>
      </w:r>
      <w:r>
        <w:rPr>
          <w:rFonts w:ascii="Arial" w:hAnsi="Arial" w:eastAsia="Arial" w:cs="Arial"/>
          <w:b/>
          <w:bCs/>
          <w:color w:val="1f3864"/>
          <w:lang w:val="es-ES"/>
        </w:rPr>
        <w:t xml:space="preserve">tener presente</w:t>
      </w:r>
      <w:r>
        <w:rPr>
          <w:rFonts w:ascii="Arial" w:hAnsi="Arial" w:eastAsia="Arial" w:cs="Arial"/>
          <w:b/>
          <w:bCs/>
          <w:color w:val="1f3864"/>
        </w:rPr>
        <w:t xml:space="preserve">. </w:t>
      </w:r>
      <w:r>
        <w:rPr>
          <w:rFonts w:ascii="Arial" w:hAnsi="Arial" w:eastAsia="Arial" w:cs="Arial"/>
        </w:rPr>
        <w:t xml:space="preserve">Los diagnósticos son la excepción. FONASA entrega el diagnóstico principal y los secundarios tal como se codificaron al egreso, y no trae el marcador que dice si un diagnóstico ya existía al ingresar. O sea, no es información cien por ciento conocida al ingreso. La usamos igual porque es la forma estándar de ajustar por riesgo con datos administrativos y porque sin ella no hay ajuste posible.</w:t>
      </w:r>
      <w:r/>
    </w:p>
    <w:p>
      <w:pPr>
        <w:pBdr/>
        <w:spacing w:after="130" w:line="285" w:lineRule="auto"/>
        <w:ind/>
        <w:rPr/>
      </w:pPr>
      <w:r>
        <w:rPr>
          <w:rFonts w:ascii="Arial" w:hAnsi="Arial" w:eastAsia="Arial" w:cs="Arial"/>
        </w:rPr>
        <w:t xml:space="preserve">Para cuidar ese riesgo hacemos cuatro cosas:</w:t>
      </w:r>
      <w:r/>
    </w:p>
    <w:p>
      <w:pPr>
        <w:pStyle w:val="896"/>
        <w:numPr>
          <w:ilvl w:val="0"/>
          <w:numId w:val="2"/>
        </w:numPr>
        <w:pBdr/>
        <w:spacing w:after="70" w:line="280" w:lineRule="auto"/>
        <w:ind/>
        <w:rPr/>
      </w:pPr>
      <w:r>
        <w:rPr>
          <w:rFonts w:ascii="Arial" w:hAnsi="Arial" w:eastAsia="Arial" w:cs="Arial"/>
        </w:rPr>
        <w:t xml:space="preserve">De los diagnósticos secundarios solo se usan las 31 categorías del índice de Elixhauser.</w:t>
      </w:r>
      <w:r/>
    </w:p>
    <w:p>
      <w:pPr>
        <w:pStyle w:val="896"/>
        <w:numPr>
          <w:ilvl w:val="0"/>
          <w:numId w:val="2"/>
        </w:numPr>
        <w:pBdr/>
        <w:spacing w:after="70" w:line="280" w:lineRule="auto"/>
        <w:ind/>
        <w:rPr/>
      </w:pPr>
      <w:r>
        <w:rPr>
          <w:rFonts w:ascii="Arial" w:hAnsi="Arial" w:eastAsia="Arial" w:cs="Arial"/>
        </w:rPr>
        <w:t xml:space="preserve">No se usan el riesgo de mortalidad, la severidad ni el peso del GRD, ni los procedimientos.</w:t>
      </w:r>
    </w:p>
    <w:p>
      <w:pPr>
        <w:pStyle w:val="896"/>
        <w:numPr>
          <w:ilvl w:val="0"/>
          <w:numId w:val="2"/>
        </w:numPr>
        <w:pBdr/>
        <w:spacing w:after="70" w:line="280" w:lineRule="auto"/>
        <w:ind/>
        <w:rPr/>
      </w:pPr>
      <w:r>
        <w:rPr>
          <w:rFonts w:ascii="Arial" w:hAnsi="Arial" w:eastAsia="Arial" w:cs="Arial"/>
        </w:rPr>
        <w:t xml:space="preserve">Se vigila el índice de exhaustividad de codificación de cada hospital y se muestra junto al O/E (sección 11.3).</w:t>
      </w:r>
    </w:p>
    <w:p>
      <w:pPr>
        <w:pStyle w:val="896"/>
        <w:numPr>
          <w:ilvl w:val="0"/>
          <w:numId w:val="2"/>
        </w:numPr>
        <w:pBdr/>
        <w:spacing w:after="70" w:line="280" w:lineRule="auto"/>
        <w:ind/>
        <w:rPr/>
      </w:pPr>
      <w:r>
        <w:rPr>
          <w:rFonts w:ascii="Arial" w:hAnsi="Arial" w:eastAsia="Arial" w:cs="Arial"/>
        </w:rPr>
        <w:t xml:space="preserve">Se declara como limitación en el informe final.</w:t>
      </w:r>
      <w:r/>
    </w:p>
    <w:p>
      <w:pPr>
        <w:pStyle w:val="905"/>
        <w:keepNext w:val="true"/>
        <w:pBdr/>
        <w:spacing/>
        <w:ind/>
        <w:rPr/>
      </w:pPr>
      <w:r>
        <w:rPr>
          <w:rFonts w:ascii="Arial" w:hAnsi="Arial" w:eastAsia="Arial" w:cs="Arial"/>
        </w:rPr>
        <w:t xml:space="preserve">5.2 Las ocho categorías de las columnas</w:t>
      </w:r>
      <w:r/>
    </w:p>
    <w:p>
      <w:pPr>
        <w:pBdr/>
        <w:spacing w:after="130" w:line="285" w:lineRule="auto"/>
        <w:ind/>
        <w:rPr/>
      </w:pPr>
      <w:r>
        <w:rPr>
          <w:rFonts w:ascii="Arial" w:hAnsi="Arial" w:eastAsia="Arial" w:cs="Arial"/>
        </w:rPr>
        <w:t xml:space="preserve">Cada una de las 129 columnas cae en una de estas ocho categorías (la lista columna por columna está en la sección 5.4). Solo una, FEATURE_BASAL, entra al modelo.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3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color w:val="ffffff"/>
                <w:sz w:val="19"/>
                <w:szCs w:val="19"/>
              </w:rPr>
              <w:t xml:space="preserve">Categoría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color w:val="ffffff"/>
                <w:sz w:val="19"/>
                <w:szCs w:val="19"/>
              </w:rPr>
              <w:t xml:space="preserve">¿Entra al modelo?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bCs/>
                <w:color w:val="ffffff"/>
                <w:sz w:val="19"/>
                <w:szCs w:val="19"/>
              </w:rPr>
              <w:t xml:space="preserve">Qué significa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Sí</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Datos que se conocen cuando el paciente llega: edad, sexo, forma de ingreso y antecedentes clínicos. Los diagnósticos entran con reserva (R1).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TARGET</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es lo que se predice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Si el paciente falleció y cuántos días estuvo internado. El modelo aprende de estos resultados, pero nunca los usa como predictor.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FUENTE_DERIVADA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se transforma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Datos crudos que se convierten en otra variable. La fecha de nacimiento sirve para calcular la edad y luego se borra.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FILTRO_COHORTE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solo define quién se analiza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Sirve para incluir o excluir pacientes. El código GRD saca a los recién nacidos (MDC 15) y a los partos sin complicación, y el tipo de alta y la marca de traslado sacan los episodios sin desenlace comparable.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LLAVE_AGREGACION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solo organiza resultados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Código del hospital, Servicio de Salud y año. Se usan al final para agrupar el O/E por establecimiento.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daría la respuesta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Datos que se generan durante la hospitalización o al alta, y el riesgo de mortalidad, la severidad y el peso del GRD.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DESCARTAR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val="0"/>
                <w:bCs w:val="0"/>
                <w:sz w:val="19"/>
                <w:szCs w:val="19"/>
              </w:rPr>
              <w:t xml:space="preserve">No: sin información útil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val="0"/>
                <w:bCs w:val="0"/>
                <w:sz w:val="19"/>
                <w:szCs w:val="19"/>
              </w:rPr>
              <w:t xml:space="preserve">Columnas vacías en todos los años o con contenido que no corresponde a ningún código. Incluye la columna con valores con estructura de RUT.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AUDITORIA_SENSIBILIDAD</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sz w:val="19"/>
                <w:szCs w:val="19"/>
              </w:rPr>
              <w:t xml:space="preserve">No: no entra al modelo</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Datos personales sensibles: etnia, nacionalidad, previsión, provincia y comuna de residencia. No se usan para predecir; solo se describen de forma agregada. (El nombre viene del diccionario de datos y no implica ningún análisis de sensibilidad.)</w:t>
            </w:r>
          </w:p>
        </w:tc>
      </w:tr>
    </w:tbl>
    <w:p>
      <w:pPr>
        <w:pBdr/>
        <w:spacing w:after="120"/>
        <w:ind/>
        <w:rPr/>
      </w:pPr>
      <w:r/>
    </w:p>
    <w:p>
      <w:pPr>
        <w:pStyle w:val="905"/>
        <w:keepNext w:val="true"/>
        <w:pBdr/>
        <w:spacing/>
        <w:ind/>
        <w:rPr/>
      </w:pPr>
      <w:r>
        <w:rPr>
          <w:rFonts w:ascii="Arial" w:hAnsi="Arial" w:eastAsia="Arial" w:cs="Arial"/>
        </w:rPr>
        <w:t xml:space="preserve">5.3 Estado de las variables clave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1900"/>
        <w:gridCol w:w="44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color w:val="ffffff"/>
                <w:sz w:val="19"/>
                <w:szCs w:val="19"/>
              </w:rPr>
              <w:t xml:space="preserve">Variable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bCs/>
                <w:color w:val="ffffff"/>
                <w:sz w:val="19"/>
                <w:szCs w:val="19"/>
              </w:rPr>
              <w:t xml:space="preserve">Categoría</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b/>
                <w:bCs/>
                <w:color w:val="ffffff"/>
                <w:sz w:val="19"/>
                <w:szCs w:val="19"/>
              </w:rPr>
              <w:t xml:space="preserve">Nota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Edad, sexo, mes, día de la semana y fin de 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Se conocen al ingresar.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Tipo de ingreso (urgencia o programado) y 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Entran al modelo. Su asociación con el hospital es moderada (0,17 y 0,14), aceptable por ser factores de riesgo clásicos. La procedencia entra en dos niveles: TIPO_PROCEDENCIA y la agrupación derivada PROCEDENCIA_AGR (Fase 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Nivel de cuidado al ingreso (derivada del servicio de 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Entra al modelo: es estable entre años (índice 0,03) y su asociación con el hospital es moderada (0,16). Es la única variable que sale de SERVICIOINGRESO (decisión 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Servicio de ingreso, especialidad médica y paciente derivado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No entran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Decisión 2. La especialidad (índice de inestabilidad 0,76) y el servicio (0,30) cambian mucho entre años y dependen de la estructura del hospital; el paciente derivado se asocia con el hospital (0,56; R2).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Diagnóstico principal en dos niveles y 31 indicadores de Elixhauser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 con reserva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Se codifican al egreso. Ver R1.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Hospitalizaciones previas y días desde el egreso previo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No se usan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Decisión 1. Se pueden calcular (99,8 % de los egresos de 2023), pero no mejoran la predicción (el AUC sube 0,000 y 0,003).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Procedimientos, cirugías, fechas de intervención, medicamentos y fecha de 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Ocurren durante la hospitalización o al alta.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IR_29301_MORTALIDAD, IR_29301_SEVERIDAD e IR_29301_PESO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Prohibidas siempre (R6, decisión 14). Sus AUC en 2023 son 0,876, 0,861 y 0,81.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Código GRD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FILTRO_COHORTE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Solo se usa para excluir pacientes.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Código del hospital, Servicio de Salud y año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LLAVE_AGREGACION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Solo para agrupar resultados (R2).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Fecha de nacimiento exacta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FUENTE_DERIVADA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Se usa para la edad y después se borra.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Etnia, nacionalidad, previsión, provincia y comuna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AUDITORIA_SENSIBILIDAD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No entran al modelo (sección 5.2).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Mortalidad y estadía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TARGET</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Son los resultados a predecir.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Columnas vacías o sin contenido válido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DESCARTAR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pBdr/>
              <w:spacing w:after="50" w:line="260" w:lineRule="auto"/>
              <w:ind/>
              <w:rPr/>
            </w:pPr>
            <w:r>
              <w:rPr>
                <w:rFonts w:ascii="Arial" w:hAnsi="Arial" w:eastAsia="Arial" w:cs="Arial"/>
                <w:sz w:val="19"/>
                <w:szCs w:val="19"/>
              </w:rPr>
              <w:t xml:space="preserve">Incluye la columna con valores con estructura de RUT.</w:t>
            </w:r>
          </w:p>
        </w:tc>
      </w:tr>
    </w:tbl>
    <w:p>
      <w:pPr>
        <w:pStyle w:val="905"/>
        <w:keepNext w:val="true"/>
        <w:pBdr/>
        <w:spacing/>
        <w:ind/>
        <w:rPr/>
      </w:pPr>
      <w:r>
        <w:rPr>
          <w:rFonts w:ascii="Arial" w:hAnsi="Arial" w:eastAsia="Arial" w:cs="Arial"/>
        </w:rPr>
        <w:t xml:space="preserve">5.4 Las 129 columnas, una por una</w:t>
      </w:r>
    </w:p>
    <w:p>
      <w:pPr>
        <w:pBdr/>
        <w:spacing w:before="0" w:after="130" w:line="285" w:lineRule="auto"/>
        <w:ind/>
        <w:rPr/>
      </w:pPr>
      <w:r>
        <w:rPr>
          <w:rFonts w:ascii="Arial" w:hAnsi="Arial" w:eastAsia="Arial" w:cs="Arial"/>
        </w:rPr>
        <w:t xml:space="preserve">Cada columna de la base tiene un destino definido. Se agrupan para que la tabla sea legible; la suma de la columna «N.º» es 129.</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00"/>
        <w:gridCol w:w="1650"/>
        <w:gridCol w:w="520"/>
        <w:gridCol w:w="1900"/>
        <w:gridCol w:w="379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color w:val="ffffff"/>
                <w:sz w:val="19"/>
                <w:szCs w:val="19"/>
              </w:rPr>
              <w:t xml:space="preserve">Grupo</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b/>
                <w:bCs/>
                <w:color w:val="ffffff"/>
                <w:sz w:val="19"/>
                <w:szCs w:val="19"/>
              </w:rPr>
              <w:t xml:space="preserve">Columnas</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b/>
                <w:bCs/>
                <w:color w:val="ffffff"/>
                <w:sz w:val="19"/>
                <w:szCs w:val="19"/>
              </w:rPr>
              <w:t xml:space="preserve">N.º</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bCs/>
                <w:color w:val="ffffff"/>
                <w:sz w:val="19"/>
                <w:szCs w:val="19"/>
              </w:rPr>
              <w:t xml:space="preserve">Categoría</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b/>
                <w:bCs/>
                <w:color w:val="ffffff"/>
                <w:sz w:val="19"/>
                <w:szCs w:val="19"/>
              </w:rPr>
              <w:t xml:space="preserve">Qué se hace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Identificación del hospital y del paciente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COD_HOSPITAL, SERVICIO_SALUD, CIP_ENCRIPTADO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LLAVE_AGREGACION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Solo para agrupar resultados por hospital (R2). CIP_ENCRIPTADO no se usa como predictor: el rastreo de traslados (decisión 13) se retiró del flujo principal y el historial del paciente no se usa (decisión 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Datos básicos del paciente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SEXO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Entra al modelo.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Fecha de nacimiento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FECHA_NACIMIENTO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FUENTE_DERIVADA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Se usa para calcular la edad y después se borra (privacidad).</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Datos personales sensibles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ETNIA, NACIONALIDAD, PREVISION, PROVINCIA, COMUNA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AUDITORIA_SENSIBILIDAD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No entran al modelo: no se usan para predecir. Solo se describen de forma agregada. Provincia y comuna, además, identifican al hospital (asociación 0,66–0,72).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Ingreso: lo que se conoce al llegar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TIPO_INGRESO, TIPO_PROCEDENCIA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Entran al modelo (urgencia o programado; domicilio, urgencia o derivado).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Ingreso: fecha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FUENTE_DERIVADA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Se usa para la edad, el mes, el fin de semana y la estadía.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Ingreso: servicio y especialidad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SERVICIOINGRESO, ESPECIALIDAD_MEDICA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CONDICIONAL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Quedan fuera del modelo (decisión 2). De SERVICIOINGRESO solo se deriva NIVEL_CUIDADO_INGRESO (ingreso a cuidados especiales), que sí entra.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Ingreso: hospital de 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HOSPPROCEDENCIA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CONDICIONAL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No entra: viene vacía en el 89 % de los egresos y en el 31,5 % apunta al mismo hospital. Los traslados entrantes se identifican con TIPO_PROCEDENCIA.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Tipo de actividad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TIPO_ACTIVIDAD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FILTRO_COHORTE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Solo define quién se analiza: se sacan las actividades que no son hospitalización (decisión 15).</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Traslados internos durante la estadía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FECHATRASLADO1–9, SERVICIOTRASLADO1–9</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18</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Ocurren durante la hospitalización (R1). No entran; solo sirven para saber si hubo traslado interno.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FECHAALTA, SERVICIOALTA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FECHAALTA solo sirve para calcular la estadía. SERVICIOALTA no entra (AUC 0,859 en 2023).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Resultado: tipo de 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TIPOALTA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TARGET</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Es lo que se predice (fallecido o no) y define quién tiene desenlace conocido.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Recién nacido del episodio (hasta 4 bebés)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CONDICIONDEALTANEONATO1–4, PESORN1–4, SEXORN1–4, RN1ESTADO–RN4ESTADO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DESCARTAR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Describen al bebé de un parto, no al paciente adulto del episodio. No se usan.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Diagnóstico principal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DIAGNOSTICO1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Entra en dos niveles (categoría amplia y 3 caracteres), con reserva (R1). Nunca entra al índice de Elixhauser (R3).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Diagnósticos secundarios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DIAGNOSTICO2–35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34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Solo para armar las 31 categorías de Elixhauser (R3) y contar cuántos hay (para el índice de exhaustividad, no como predictor).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Procedimientos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PROCEDIMIENTO1–30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30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Ocurren durante la hospitalización (R1). No entran.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Intervención quirúrgica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FECHAINTERV1, MEDICOINTERV1_ENCRIPTADO, ESPECIALIDADINTERVENCION, MEDICOALTA_ENCRIPTADO, USOSPABELLON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Ocurren durante la hospitalización o al alta (R1). No entran.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Fecha del procedimiento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FECHAPROCEDIMIENTO1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DESCARTAR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No entra; en 2019 trae valores con forma de RUT (decisión 11).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GRD: código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IR_29301_COD_GRD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FILTRO_COHORTE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Solo para excluir (GRD no asignable, recién nacidos MDC 15, partos MDC 14 sin comorbilidad) y para identificar el MDC.</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GRD: peso, severidad y riesgo de mortalidad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pBdr/>
              <w:spacing w:after="50" w:line="260" w:lineRule="auto"/>
              <w:ind/>
              <w:rPr/>
            </w:pPr>
            <w:r>
              <w:rPr>
                <w:rFonts w:ascii="Arial" w:hAnsi="Arial" w:eastAsia="Arial" w:cs="Arial"/>
                <w:sz w:val="19"/>
                <w:szCs w:val="19"/>
              </w:rPr>
              <w:t xml:space="preserve">IR_29301_PESO, IR_29301_SEVERIDAD, IR_29301_MORTALIDAD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pBdr/>
              <w:spacing w:after="50" w:line="260" w:lineRule="auto"/>
              <w:ind/>
              <w:rPr/>
            </w:pPr>
            <w:r>
              <w:rPr>
                <w:rFonts w:ascii="Arial" w:hAnsi="Arial" w:eastAsia="Arial" w:cs="Arial"/>
                <w:sz w:val="19"/>
                <w:szCs w:val="19"/>
              </w:rPr>
              <w:t xml:space="preserve">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pBdr/>
              <w:spacing w:after="50" w:line="260" w:lineRule="auto"/>
              <w:ind/>
              <w:rPr/>
            </w:pPr>
            <w:r>
              <w:rPr>
                <w:rFonts w:ascii="Arial" w:hAnsi="Arial" w:eastAsia="Arial" w:cs="Arial"/>
                <w:sz w:val="19"/>
                <w:szCs w:val="19"/>
              </w:rPr>
              <w:t xml:space="preserve">Los asigna el agrupador con todo lo ocurrido en la hospitalización. Superan el umbral de fuga (AUC 0,806 el peso, 0,861 la severidad y 0,876 el riesgo de mortalidad en 2023). Ninguna entra al modelo.</w:t>
            </w:r>
          </w:p>
        </w:tc>
      </w:tr>
    </w:tbl>
    <w:p>
      <w:pPr>
        <w:spacing w:after="60"/>
      </w:pPr>
    </w:p>
    <w:p>
      <w:pPr>
        <w:pBdr/>
        <w:spacing w:before="0" w:after="130" w:line="285" w:lineRule="auto"/>
        <w:ind/>
        <w:rPr/>
      </w:pPr>
      <w:r>
        <w:rPr>
          <w:rFonts w:ascii="Arial" w:hAnsi="Arial" w:eastAsia="Arial" w:cs="Arial"/>
          <w:b/>
          <w:bCs/>
        </w:rPr>
        <w:t xml:space="preserve">Columnas que la versión anterior no mencionaba.</w:t>
      </w:r>
      <w:r>
        <w:rPr>
          <w:rFonts w:ascii="Arial" w:hAnsi="Arial" w:eastAsia="Arial" w:cs="Arial"/>
        </w:rPr>
        <w:t xml:space="preserve"> La versión 2 de este informe no nombraba ni describía 14 de las 129 columnas. Quedan declaradas aquí; ninguna cambia el modelo, porque solo se confirma su categoría y su razón: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1900"/>
        <w:gridCol w:w="1600"/>
        <w:gridCol w:w="3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color w:val="ffffff"/>
                <w:sz w:val="19"/>
                <w:szCs w:val="19"/>
              </w:rPr>
              <w:t xml:space="preserve">Columnas</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bCs/>
                <w:color w:val="ffffff"/>
                <w:sz w:val="19"/>
                <w:szCs w:val="19"/>
              </w:rPr>
              <w:t xml:space="preserve">Categoría</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color w:val="ffffff"/>
                <w:sz w:val="19"/>
                <w:szCs w:val="19"/>
              </w:rPr>
              <w:t xml:space="preserve">Destino</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b/>
                <w:bCs/>
                <w:color w:val="ffffff"/>
                <w:sz w:val="19"/>
                <w:szCs w:val="19"/>
              </w:rPr>
              <w:t xml:space="preserve">Por qué</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TIPO_PROCEDENCIA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FEATURE_BASAL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Entra al modelo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Se conoce al ingreso. AUC 0,65 y asociación con el hospital 0,14 (baja).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TIPO_ACTIVIDAD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FILTRO_COHORTE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Solo filtra quién se analiza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Define si el egreso es hospitalización (decisión 15). No es predictor.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PREVISION, NACIONALIDAD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AUDITORIA_SENSIBILIDAD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 solo descripción agregada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AUC 0,59 y 0,52. Se excluyen por equidad y privacidad, no porque la medición las objete.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PROVINCIA, COMUNA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AUDITORIA_SENSIBILIDAD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Asociación con el hospital de 0,66 a 0,72: identifican al establecimiento (R2).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SERVICIOALTA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Ocurre al final de la estadía (R1). AUC 0,859 en 2023.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MEDICOINTERV1_ENCRIPTADO, FECHAINTERV1, ESPECIALIDADINTERVENCION, MEDICOALTA_ENCRIPTADO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Ocurren durante la hospitalización o al alta (R1); los médicos encriptados además identifican personas.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USOSPABELLON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Ocurre durante la hospitalización. Vacía en casi todos los egresos; AUC 0,663 en 2023.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FECHAPROCEDIMIENTO1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DESCARTAR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Vacía en el máximo anual; en 2019 trae valores con forma de RUT (decisión 11).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IR_29301_PESO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sz w:val="19"/>
                <w:szCs w:val="19"/>
              </w:rPr>
              <w:t xml:space="preserve">PROHIBIDA_FUGA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sz w:val="19"/>
                <w:szCs w:val="19"/>
              </w:rPr>
              <w:t xml:space="preserve">No entra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pBdr/>
              <w:spacing w:after="50" w:line="260" w:lineRule="auto"/>
              <w:ind/>
              <w:rPr/>
            </w:pPr>
            <w:r>
              <w:rPr>
                <w:rFonts w:ascii="Arial" w:hAnsi="Arial" w:eastAsia="Arial" w:cs="Arial"/>
                <w:sz w:val="19"/>
                <w:szCs w:val="19"/>
              </w:rPr>
              <w:t xml:space="preserve">Lo asigna el agrupador con todo lo ocurrido en el episodio. AUC 0,806; se excluye por construcción, igual que la severidad y el riesgo de mortalidad.</w:t>
            </w:r>
          </w:p>
        </w:tc>
      </w:tr>
    </w:tbl>
    <w:p>
      <w:pPr>
        <w:spacing w:after="60"/>
      </w:pPr>
    </w:p>
    <w:p>
      <w:pPr>
        <w:pBdr/>
        <w:spacing w:before="0" w:after="130" w:line="285" w:lineRule="auto"/>
        <w:ind/>
        <w:rPr/>
      </w:pPr>
      <w:r>
        <w:rPr>
          <w:rFonts w:ascii="Arial" w:hAnsi="Arial" w:eastAsia="Arial" w:cs="Arial"/>
          <w:b/>
          <w:bCs/>
        </w:rPr>
        <w:t xml:space="preserve">Tablas auxiliares que acompañan a la base.</w:t>
      </w:r>
      <w:r>
        <w:rPr>
          <w:rFonts w:ascii="Arial" w:hAnsi="Arial" w:eastAsia="Arial" w:cs="Arial"/>
        </w:rPr>
        <w:t xml:space="preserve"> Además de los seis archivos de egresos, FONASA entregó catálogos: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3700"/>
        <w:gridCol w:w="3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color w:val="ffffff"/>
                <w:sz w:val="19"/>
                <w:szCs w:val="19"/>
              </w:rPr>
              <w:t xml:space="preserve">Archivo</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b/>
                <w:bCs/>
                <w:color w:val="ffffff"/>
                <w:sz w:val="19"/>
                <w:szCs w:val="19"/>
              </w:rPr>
              <w:t xml:space="preserve">Qué contiene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bCs/>
                <w:color w:val="ffffff"/>
                <w:sz w:val="19"/>
                <w:szCs w:val="19"/>
              </w:rPr>
              <w:t xml:space="preserve">Qué se hace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IR-GRD.csv y GRDs_T10901.xlsx</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sz w:val="19"/>
                <w:szCs w:val="19"/>
              </w:rPr>
              <w:t xml:space="preserve">Nombre de cada GRD (1.066 y 1.058 códigos). 22 códigos están solo en el Excel y 30 solo en el CSV.</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sz w:val="19"/>
                <w:szCs w:val="19"/>
              </w:rPr>
              <w:t xml:space="preserve">Se usa la unión de ambos para leer el MDC y el nombre del GRD; no entran al modelo.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Mortalidad GRD.csv y Severidad GRD.csv</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sz w:val="19"/>
                <w:szCs w:val="19"/>
              </w:rPr>
              <w:t xml:space="preserve">Los cuatro niveles (0 sin gravedad, 1 menor, 2 moderada, 3 mayor) de las columnas IR_29301_MORTALIDAD e IR_29301_SEVERIDAD.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sz w:val="19"/>
                <w:szCs w:val="19"/>
              </w:rPr>
              <w:t xml:space="preserve">Solo para leer esas columnas en descripciones; no se usan como predictores.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Tipo de Pabellon.csv</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sz w:val="19"/>
                <w:szCs w:val="19"/>
              </w:rPr>
              <w:t xml:space="preserve">Ocho tipos de pabellón (central, ambulatorio, hemodinamia, urgencia…).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sz w:val="19"/>
                <w:szCs w:val="19"/>
              </w:rPr>
              <w:t xml:space="preserve">No se usa: USOSPABELLON es PROHIBIDA_FUGA.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Hospitales.csv</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sz w:val="19"/>
                <w:szCs w:val="19"/>
              </w:rPr>
              <w:t xml:space="preserve">377 establecimientos con su nivel de complejidad.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sz w:val="19"/>
                <w:szCs w:val="19"/>
              </w:rPr>
              <w:t xml:space="preserve">Catálogo para validar los códigos de hospital (un código de 2024 no está en el catálogo).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CIE-10.csv y CIE-9.csv</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pBdr/>
              <w:spacing w:after="50" w:line="260" w:lineRule="auto"/>
              <w:ind/>
              <w:rPr/>
            </w:pPr>
            <w:r>
              <w:rPr>
                <w:rFonts w:ascii="Arial" w:hAnsi="Arial" w:eastAsia="Arial" w:cs="Arial"/>
                <w:sz w:val="19"/>
                <w:szCs w:val="19"/>
              </w:rPr>
              <w:t xml:space="preserve">39.873 códigos de diagnóstico (CIE-10) y 4.646 de procedimiento (CIE-9).</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sz w:val="19"/>
                <w:szCs w:val="19"/>
              </w:rPr>
              <w:t xml:space="preserve">Validan los códigos y arman el capítulo CIE-10 y los grupos clínicos.</w:t>
            </w:r>
          </w:p>
        </w:tc>
      </w:tr>
    </w:tbl>
    <w:p>
      <w:pPr>
        <w:pStyle w:val="904"/>
        <w:keepNext w:val="true"/>
        <w:pBdr/>
        <w:spacing/>
        <w:ind/>
        <w:rPr/>
      </w:pPr>
      <w:r>
        <w:rPr>
          <w:rFonts w:ascii="Arial" w:hAnsi="Arial" w:eastAsia="Arial" w:cs="Arial"/>
        </w:rPr>
        <w:t xml:space="preserve">6. Arquitectura de procesamiento por capas</w:t>
      </w:r>
      <w:r/>
    </w:p>
    <w:p>
      <w:pPr>
        <w:pBdr/>
        <w:spacing w:after="130" w:line="285" w:lineRule="auto"/>
        <w:ind/>
        <w:rPr/>
      </w:pPr>
      <w:r>
        <w:rPr>
          <w:rFonts w:ascii="Arial" w:hAnsi="Arial" w:eastAsia="Arial" w:cs="Arial"/>
        </w:rPr>
        <w:t xml:space="preserve">El procesamiento tiene capas secuenciales. Cada capa parte de la anterior y ninguna vuelve atrás.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2100"/>
        <w:gridCol w:w="5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color w:val="ffffff"/>
                <w:sz w:val="19"/>
                <w:szCs w:val="19"/>
              </w:rPr>
              <w:t xml:space="preserve">Capa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color w:val="ffffff"/>
                <w:sz w:val="19"/>
                <w:szCs w:val="19"/>
              </w:rPr>
              <w:t xml:space="preserve">Formato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bCs/>
                <w:color w:val="ffffff"/>
                <w:sz w:val="19"/>
                <w:szCs w:val="19"/>
              </w:rPr>
              <w:t xml:space="preserve">Qué contiene y qué garantiza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Cruda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val="0"/>
                <w:bCs w:val="0"/>
                <w:sz w:val="19"/>
                <w:szCs w:val="19"/>
              </w:rPr>
              <w:t xml:space="preserve">Archivos .txt originales de FONASA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val="0"/>
                <w:bCs w:val="0"/>
                <w:sz w:val="19"/>
                <w:szCs w:val="19"/>
              </w:rPr>
              <w:t xml:space="preserve">Los 6 archivos originales. No se modifican y son la única fuente de verdad. Después de la ingesta el código tiene prohibido volver a leerlos. No es una capa de procesamiento.</w:t>
            </w:r>
            <w:r/>
          </w:p>
          <w:p>
            <w:pPr>
              <w:pBdr/>
              <w:spacing w:after="50" w:line="260" w:lineRule="auto"/>
              <w:ind/>
              <w:rPr/>
            </w:pPr>
            <w:r>
              <w:rPr>
                <w:rFonts w:ascii="Arial" w:hAnsi="Arial" w:eastAsia="Arial" w:cs="Arial"/>
                <w:b w:val="0"/>
                <w:bCs w:val="0"/>
                <w:sz w:val="19"/>
                <w:szCs w:val="19"/>
              </w:rPr>
              <w:t xml:space="preserve">Como contiene el valor sensible (sección 14), queda con acceso restringido, no se copia y no se sube a GitHub.</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Bronce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val="0"/>
                <w:bCs w:val="0"/>
                <w:sz w:val="19"/>
                <w:szCs w:val="19"/>
              </w:rPr>
              <w:t xml:space="preserve">Parquet, por año de archivo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val="0"/>
                <w:bCs w:val="0"/>
                <w:sz w:val="19"/>
                <w:szCs w:val="19"/>
              </w:rPr>
              <w:t xml:space="preserve">Datos leídos tal como vienen, todo como texto. La columna sensible se descarta aquí sin guardar su contenido. Las filas que no se pueden leer se guardan aparte con su número de línea y el motivo.</w:t>
            </w:r>
            <w:r/>
          </w:p>
          <w:p>
            <w:pPr>
              <w:pBdr/>
              <w:spacing w:after="50" w:line="260" w:lineRule="auto"/>
              <w:ind/>
              <w:rPr/>
            </w:pPr>
            <w:r>
              <w:rPr>
                <w:rFonts w:ascii="Arial" w:hAnsi="Arial" w:eastAsia="Arial" w:cs="Arial"/>
                <w:b w:val="0"/>
                <w:bCs w:val="0"/>
                <w:sz w:val="19"/>
                <w:szCs w:val="19"/>
              </w:rPr>
              <w:t xml:space="preserve">Garantía: filas leídas más filas rechazadas es igual al total de líneas del archivo.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Plata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val="0"/>
                <w:bCs w:val="0"/>
                <w:sz w:val="19"/>
                <w:szCs w:val="19"/>
              </w:rPr>
              <w:t xml:space="preserve">Parquet, por año de egreso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val="0"/>
                <w:bCs w:val="0"/>
                <w:sz w:val="19"/>
                <w:szCs w:val="19"/>
              </w:rPr>
              <w:t xml:space="preserve">Datos limpios y estandarizados: fechas convertidas, texto normalizado, valores imposibles anulados y episodios censurados identificados.</w:t>
            </w:r>
            <w:r/>
          </w:p>
          <w:p>
            <w:pPr>
              <w:pBdr/>
              <w:spacing w:after="50" w:line="260" w:lineRule="auto"/>
              <w:ind/>
              <w:rPr/>
            </w:pPr>
            <w:r>
              <w:rPr>
                <w:rFonts w:ascii="Arial" w:hAnsi="Arial" w:eastAsia="Arial" w:cs="Arial"/>
                <w:b w:val="0"/>
                <w:bCs w:val="0"/>
                <w:sz w:val="19"/>
                <w:szCs w:val="19"/>
              </w:rPr>
              <w:t xml:space="preserve">Garantía: ningún episodio desaparece sin quedar documentado.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Oro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val="0"/>
                <w:bCs w:val="0"/>
                <w:sz w:val="19"/>
                <w:szCs w:val="19"/>
              </w:rPr>
              <w:t xml:space="preserve">Parquet</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val="0"/>
                <w:bCs w:val="0"/>
                <w:sz w:val="19"/>
                <w:szCs w:val="19"/>
              </w:rPr>
              <w:t xml:space="preserve">Variables finales para el modelo: edad, variables de historial, indicadores de Elixhauser y diagnóstico en dos niveles.</w:t>
            </w:r>
            <w:r/>
          </w:p>
          <w:p>
            <w:pPr>
              <w:pBdr/>
              <w:spacing w:after="50" w:line="260" w:lineRule="auto"/>
              <w:ind/>
              <w:rPr/>
            </w:pPr>
            <w:r>
              <w:rPr>
                <w:rFonts w:ascii="Arial" w:hAnsi="Arial" w:eastAsia="Arial" w:cs="Arial"/>
                <w:b w:val="0"/>
                <w:bCs w:val="0"/>
                <w:sz w:val="19"/>
                <w:szCs w:val="19"/>
              </w:rPr>
              <w:t xml:space="preserve">La fecha de nacimiento se borra al calcular la edad. Garantía: ninguna variable prohibida está presente.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sz w:val="19"/>
                <w:szCs w:val="19"/>
              </w:rPr>
              <w:t xml:space="preserve">Base de 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val="0"/>
                <w:bCs w:val="0"/>
                <w:sz w:val="19"/>
                <w:szCs w:val="19"/>
              </w:rPr>
              <w:t xml:space="preserve">PostgreSQL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pBdr/>
              <w:spacing w:after="50" w:line="260" w:lineRule="auto"/>
              <w:ind/>
              <w:rPr/>
            </w:pPr>
            <w:r>
              <w:rPr>
                <w:rFonts w:ascii="Arial" w:hAnsi="Arial" w:eastAsia="Arial" w:cs="Arial"/>
                <w:b w:val="0"/>
                <w:bCs w:val="0"/>
                <w:sz w:val="19"/>
                <w:szCs w:val="19"/>
              </w:rPr>
              <w:t xml:space="preserve">Solo guarda el catálogo de hospitales, con los años en que cada uno trabaja con GRD y su nivel de complejidad, y los resultados agregados. Ningún registro de paciente.</w:t>
            </w:r>
            <w:r/>
          </w:p>
        </w:tc>
      </w:tr>
    </w:tbl>
    <w:p>
      <w:pPr>
        <w:pStyle w:val="904"/>
        <w:keepNext w:val="true"/>
        <w:pBdr/>
        <w:spacing/>
        <w:ind/>
        <w:rPr/>
      </w:pPr>
      <w:r>
        <w:rPr>
          <w:rFonts w:ascii="Arial" w:hAnsi="Arial" w:eastAsia="Arial" w:cs="Arial"/>
        </w:rPr>
        <w:t xml:space="preserve">7. Etapas del pipeline</w:t>
      </w:r>
      <w:r/>
    </w:p>
    <w:p>
      <w:pPr>
        <w:pStyle w:val="905"/>
        <w:keepNext w:val="true"/>
        <w:pBdr/>
        <w:spacing/>
        <w:ind/>
        <w:rPr/>
      </w:pPr>
      <w:r>
        <w:rPr>
          <w:rFonts w:ascii="Arial" w:hAnsi="Arial" w:eastAsia="Arial" w:cs="Arial"/>
        </w:rPr>
        <w:t xml:space="preserve">Etapa 1: validar el esquema</w:t>
      </w:r>
      <w:r/>
    </w:p>
    <w:p>
      <w:pPr>
        <w:pBdr/>
        <w:spacing w:after="130" w:line="285" w:lineRule="auto"/>
        <w:ind/>
        <w:rPr/>
      </w:pPr>
      <w:r>
        <w:rPr>
          <w:rFonts w:ascii="Arial" w:hAnsi="Arial" w:eastAsia="Arial" w:cs="Arial"/>
        </w:rPr>
        <w:t xml:space="preserve">Antes de procesar nada se verifica que cada archivo tenga exactamente las 129 columnas esperadas, con los nombres correctos. Si falta una, el proceso se detiene e indica cuál. Si aparece una desconocida, también se detiene hasta decidir qué hacer con ella.</w:t>
      </w:r>
      <w:r/>
    </w:p>
    <w:p>
      <w:pPr>
        <w:pStyle w:val="905"/>
        <w:keepNext w:val="true"/>
        <w:pBdr/>
        <w:spacing/>
        <w:ind/>
        <w:rPr/>
      </w:pPr>
      <w:r>
        <w:rPr>
          <w:rFonts w:ascii="Arial" w:hAnsi="Arial" w:eastAsia="Arial" w:cs="Arial"/>
        </w:rPr>
        <w:t xml:space="preserve">Etapa 2: ingesta y datos sensibles (Capa Bronce)</w:t>
      </w:r>
      <w:r/>
    </w:p>
    <w:p>
      <w:pPr>
        <w:pBdr/>
        <w:spacing w:after="130" w:line="285" w:lineRule="auto"/>
        <w:ind/>
        <w:rPr/>
      </w:pPr>
      <w:r>
        <w:rPr>
          <w:rFonts w:ascii="Arial" w:hAnsi="Arial" w:eastAsia="Arial" w:cs="Arial"/>
        </w:rPr>
        <w:t xml:space="preserve">Los 6 archivos se convierten a Parquet y se leen sin corregir nada. Como los datos de FONASA no traen un identificador por registro, el sistema crea el ID_EPISODIO a partir del año del archivo, el número de línea y una huella digital del contenido de la fila. Si se procesa el mismo archivo dos veces, cada fila recibe el mismo identificador.</w:t>
      </w:r>
      <w:r/>
    </w:p>
    <w:p>
      <w:pPr>
        <w:pBdr/>
        <w:spacing w:after="130" w:line="285" w:lineRule="auto"/>
        <w:ind/>
        <w:rPr/>
      </w:pPr>
      <w:r>
        <w:rPr>
          <w:rFonts w:ascii="Arial" w:hAnsi="Arial" w:eastAsia="Arial" w:cs="Arial"/>
        </w:rPr>
        <w:t xml:space="preserve">En esta misma etapa se revisan todas las columnas buscando valores con estructura de identificador personal. Si aparece alguno, se aísla sin guardarlo en ningún registro, solo se anota cuántos hay y en qué columna, y la columna se descarta.</w:t>
      </w:r>
      <w:r/>
    </w:p>
    <w:p>
      <w:pPr>
        <w:pStyle w:val="905"/>
        <w:keepNext w:val="true"/>
        <w:pBdr/>
        <w:spacing/>
        <w:ind/>
        <w:rPr/>
      </w:pPr>
      <w:r>
        <w:rPr>
          <w:rFonts w:ascii="Arial" w:hAnsi="Arial" w:eastAsia="Arial" w:cs="Arial"/>
        </w:rPr>
        <w:t xml:space="preserve">Etapa 3: limpieza y estandarización (Capa Plata)</w:t>
      </w:r>
      <w:r/>
    </w:p>
    <w:p>
      <w:pPr>
        <w:pStyle w:val="896"/>
        <w:numPr>
          <w:ilvl w:val="0"/>
          <w:numId w:val="2"/>
        </w:numPr>
        <w:pBdr/>
        <w:spacing w:after="70" w:line="280" w:lineRule="auto"/>
        <w:ind/>
        <w:rPr/>
      </w:pPr>
      <w:r>
        <w:rPr>
          <w:rFonts w:ascii="Arial" w:hAnsi="Arial" w:eastAsia="Arial" w:cs="Arial"/>
        </w:rPr>
        <w:t xml:space="preserve">Conversión de fechas a un formato único (los archivos usan dos).</w:t>
      </w:r>
      <w:r/>
    </w:p>
    <w:p>
      <w:pPr>
        <w:pStyle w:val="896"/>
        <w:numPr>
          <w:ilvl w:val="0"/>
          <w:numId w:val="2"/>
        </w:numPr>
        <w:pBdr/>
        <w:spacing w:after="70" w:line="280" w:lineRule="auto"/>
        <w:ind/>
        <w:rPr/>
      </w:pPr>
      <w:r>
        <w:rPr>
          <w:rFonts w:ascii="Arial" w:hAnsi="Arial" w:eastAsia="Arial" w:cs="Arial"/>
        </w:rPr>
        <w:t xml:space="preserve">Corrección del separador decimal (coma en vez de punto).</w:t>
      </w:r>
      <w:r/>
    </w:p>
    <w:p>
      <w:pPr>
        <w:pStyle w:val="896"/>
        <w:numPr>
          <w:ilvl w:val="0"/>
          <w:numId w:val="2"/>
        </w:numPr>
        <w:pBdr/>
        <w:spacing w:after="70" w:line="280" w:lineRule="auto"/>
        <w:ind/>
        <w:rPr/>
      </w:pPr>
      <w:r>
        <w:rPr>
          <w:rFonts w:ascii="Arial" w:hAnsi="Arial" w:eastAsia="Arial" w:cs="Arial"/>
        </w:rPr>
        <w:t xml:space="preserve">Unificación de la categoría OTRO de la etnia, que viene escrita de dos formas distintas. Se hace aunque la etnia no entre al modelo.</w:t>
      </w:r>
      <w:r/>
    </w:p>
    <w:p>
      <w:pPr>
        <w:pStyle w:val="896"/>
        <w:numPr>
          <w:ilvl w:val="0"/>
          <w:numId w:val="2"/>
        </w:numPr>
        <w:pBdr/>
        <w:spacing w:after="70" w:line="280" w:lineRule="auto"/>
        <w:ind/>
        <w:rPr/>
      </w:pPr>
      <w:r>
        <w:rPr>
          <w:rFonts w:ascii="Arial" w:hAnsi="Arial" w:eastAsia="Arial" w:cs="Arial"/>
        </w:rPr>
        <w:t xml:space="preserve">Normalización de diagnósticos: mayúsculas, sin tildes, sin puntos internos y sin espacios extra.</w:t>
      </w:r>
      <w:r/>
    </w:p>
    <w:p>
      <w:pPr>
        <w:pStyle w:val="896"/>
        <w:numPr>
          <w:ilvl w:val="0"/>
          <w:numId w:val="2"/>
        </w:numPr>
        <w:pBdr/>
        <w:spacing w:after="70" w:line="280" w:lineRule="auto"/>
        <w:ind/>
        <w:rPr/>
      </w:pPr>
      <w:r>
        <w:rPr>
          <w:rFonts w:ascii="Arial" w:hAnsi="Arial" w:eastAsia="Arial" w:cs="Arial"/>
        </w:rPr>
        <w:t xml:space="preserve">Anulación selectiva de valores imposibles: se anula solo el valor malo y el episodio se conserva.</w:t>
      </w:r>
      <w:r/>
    </w:p>
    <w:p>
      <w:pPr>
        <w:pStyle w:val="896"/>
        <w:numPr>
          <w:ilvl w:val="0"/>
          <w:numId w:val="2"/>
        </w:numPr>
        <w:pBdr/>
        <w:spacing w:after="70" w:line="280" w:lineRule="auto"/>
        <w:ind/>
        <w:rPr/>
      </w:pPr>
      <w:r>
        <w:rPr>
          <w:rFonts w:ascii="Arial" w:hAnsi="Arial" w:eastAsia="Arial" w:cs="Arial"/>
        </w:rPr>
        <w:t xml:space="preserve">Identificación de episodios censurados: los traslados a otro hospital quedan marcados con desenlace desconocido.</w:t>
      </w:r>
      <w:r/>
    </w:p>
    <w:p>
      <w:pPr>
        <w:pStyle w:val="896"/>
        <w:numPr>
          <w:ilvl w:val="0"/>
          <w:numId w:val="2"/>
        </w:numPr>
        <w:pBdr/>
        <w:spacing w:after="70" w:line="280" w:lineRule="auto"/>
        <w:ind/>
        <w:rPr/>
      </w:pPr>
      <w:r>
        <w:rPr>
          <w:rFonts w:ascii="Arial" w:hAnsi="Arial" w:eastAsia="Arial" w:cs="Arial"/>
        </w:rPr>
        <w:t xml:space="preserve">Revisión de filas repetidas y de episodios del mismo paciente con las mismas fechas. Se documenta cuántos hay antes de decidir qué hacer.</w:t>
      </w:r>
      <w:r/>
    </w:p>
    <w:p>
      <w:pPr>
        <w:pStyle w:val="896"/>
        <w:numPr>
          <w:ilvl w:val="0"/>
          <w:numId w:val="2"/>
        </w:numPr>
        <w:pBdr/>
        <w:spacing w:after="70" w:line="280" w:lineRule="auto"/>
        <w:ind/>
        <w:rPr/>
      </w:pPr>
      <w:r>
        <w:rPr>
          <w:rFonts w:ascii="Arial" w:hAnsi="Arial" w:eastAsia="Arial" w:cs="Arial"/>
        </w:rPr>
        <w:t xml:space="preserve">Conteo de datos faltantes por variable y por año.</w:t>
      </w:r>
      <w:r/>
    </w:p>
    <w:p>
      <w:pPr>
        <w:pStyle w:val="905"/>
        <w:keepNext w:val="true"/>
        <w:pBdr/>
        <w:spacing/>
        <w:ind/>
        <w:rPr/>
      </w:pPr>
      <w:r>
        <w:rPr>
          <w:rFonts w:ascii="Arial" w:hAnsi="Arial" w:eastAsia="Arial" w:cs="Arial"/>
        </w:rPr>
        <w:t xml:space="preserve">Etapa 4: ingeniería de características (Capa Oro)</w:t>
      </w:r>
      <w:r/>
    </w:p>
    <w:p>
      <w:pPr>
        <w:pBdr/>
        <w:spacing w:after="130" w:line="285" w:lineRule="auto"/>
        <w:ind/>
        <w:rPr/>
      </w:pPr>
      <w:r>
        <w:rPr>
          <w:rFonts w:ascii="Arial" w:hAnsi="Arial" w:eastAsia="Arial" w:cs="Arial"/>
        </w:rPr>
        <w:t xml:space="preserve">Se construyen las variables del modelo. El sistema mantiene la lista de variables prohibidas y, si alguna aparece entre los predictores, el proceso se detiene con un mensaje de error explícito.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2900"/>
        <w:gridCol w:w="2200"/>
        <w:gridCol w:w="19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color w:val="ffffff"/>
                <w:sz w:val="19"/>
                <w:szCs w:val="19"/>
              </w:rPr>
              <w:t xml:space="preserve">Variable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b/>
                <w:bCs/>
                <w:color w:val="ffffff"/>
                <w:sz w:val="19"/>
                <w:szCs w:val="19"/>
              </w:rPr>
              <w:t xml:space="preserve">Qué mide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color w:val="ffffff"/>
                <w:sz w:val="19"/>
                <w:szCs w:val="19"/>
              </w:rPr>
              <w:t xml:space="preserve">Fuente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b/>
                <w:bCs/>
                <w:color w:val="ffffff"/>
                <w:sz w:val="19"/>
                <w:szCs w:val="19"/>
              </w:rPr>
              <w:t xml:space="preserve">Estado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EDAD_ANIOS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Edad exacta al 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FECHA_NACIMIENTO y FECHA_INGRESO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ES_FIN_SEMANA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Si el ingreso fue sábado o domingo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FECHA_INGRESO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 (señal baja; decisión del estudiante, con plena libertad del profesor guía)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MES_INGRESO, DIA_SEMANA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Mes del ingreso y día de la 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FECHA_INGRESO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No se usan: sin aporte medido (decisión del estudiante, con plena libertad del profesor guía)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SEXO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Sexo registrado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SEXO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TIPO_INGRESO, TIPO_PROCEDENCIA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Urgencia o programado; de dónde viene el paciente (la procedencia también se agrupa en PROCEDENCIA_AGR)</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TIPO_INGRESO y TIPO_PROCEDENCIA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NIVEL_CUIDADO_INGRESO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Si ingresó a una unidad de cuidados especiales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SERVICIOINGRESO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N_EGRESOS_12M, DIAS_DESDE_EGRESO_PREVIO, HISTORIAL_INCOMPLETO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Historial de hospitalizaciones previas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CIP_ENCRIPTADO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No se usan (decisión 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CIE10_3C</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Primeros 3 caracteres del diagnóstico principal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DIAGNOSTICO1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 con reserva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GRUPO_CLINICO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Categoría amplia del diagnóstico principal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DIAGNOSTICO1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 con reserva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ELIX_01 a ELIX_31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31 indicadores de enfermedades crónicas previas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DIAGNOSTICO2 a DIAGNOSTICO35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Permitida con reserva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PUNTAJE_VAN_WALRAVEN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Puntaje ponderado que resume el nivel total de comorbilidad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ELIX_01 a ELIX_31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Solo en la línea base: es una combinación exacta de las 31 categorías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N_DX_SECUNDARIOS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Cantidad de diagnósticos secundarios registrados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DIAGNOSTICO2 a DIAGNOSTICO35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Solo para el índice de exhaustividad. No es predictor.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MORTALIDAD_BINARIA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Si el paciente falleció (1) o sobrevivió (0)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TIPOALTA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Resultado a predecir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50" w:line="260" w:lineRule="auto"/>
              <w:ind/>
              <w:rPr/>
            </w:pPr>
            <w:r>
              <w:rPr>
                <w:rFonts w:ascii="Arial" w:hAnsi="Arial" w:eastAsia="Arial" w:cs="Arial"/>
                <w:b/>
                <w:bCs/>
                <w:sz w:val="19"/>
                <w:szCs w:val="19"/>
              </w:rPr>
              <w:t xml:space="preserve">ESTANCIA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pBdr/>
              <w:spacing w:after="50" w:line="260" w:lineRule="auto"/>
              <w:ind/>
              <w:rPr/>
            </w:pPr>
            <w:r>
              <w:rPr>
                <w:rFonts w:ascii="Arial" w:hAnsi="Arial" w:eastAsia="Arial" w:cs="Arial"/>
                <w:sz w:val="19"/>
                <w:szCs w:val="19"/>
              </w:rPr>
              <w:t xml:space="preserve">Días de hospitalización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sz w:val="19"/>
                <w:szCs w:val="19"/>
              </w:rPr>
              <w:t xml:space="preserve">FECHAALTA menos FECHA_INGRESO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pBdr/>
              <w:spacing w:after="50" w:line="260" w:lineRule="auto"/>
              <w:ind/>
              <w:rPr/>
            </w:pPr>
            <w:r>
              <w:rPr>
                <w:rFonts w:ascii="Arial" w:hAnsi="Arial" w:eastAsia="Arial" w:cs="Arial"/>
                <w:sz w:val="19"/>
                <w:szCs w:val="19"/>
              </w:rPr>
              <w:t xml:space="preserve">Resultado a predecir</w:t>
            </w:r>
          </w:p>
        </w:tc>
      </w:tr>
    </w:tbl>
    <w:p>
      <w:pPr>
        <w:pStyle w:val="905"/>
        <w:keepNext w:val="true"/>
        <w:pBdr/>
        <w:spacing/>
        <w:ind/>
        <w:rPr/>
      </w:pPr>
      <w:r>
        <w:rPr>
          <w:rFonts w:ascii="Arial" w:hAnsi="Arial" w:eastAsia="Arial" w:cs="Arial"/>
        </w:rPr>
        <w:t xml:space="preserve">Respaldo de las variables basales elegidas</w:t>
      </w:r>
    </w:p>
    <w:p>
      <w:pPr>
        <w:pBdr/>
        <w:spacing w:before="0" w:after="130" w:line="285" w:lineRule="auto"/>
        <w:ind/>
        <w:rPr/>
      </w:pPr>
      <w:r>
        <w:rPr>
          <w:rFonts w:ascii="Arial" w:hAnsi="Arial" w:eastAsia="Arial" w:cs="Arial"/>
        </w:rPr>
        <w:t xml:space="preserve">Lo que la Fase 2 midió con la base completa. El AUC es la capacidad de la variable, sola, para ordenar a los pacientes según mortalidad (0,5 es azar). El aporte es lo que sube el AUC al agregarla. La asociación con el hospital mide si la variable podría estar identificando al establecimiento (R2). El PSI mide cuánto cambia su distribución entre años (sobre 0,25 es un cambio importante).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00"/>
        <w:gridCol w:w="1000"/>
        <w:gridCol w:w="1000"/>
        <w:gridCol w:w="1100"/>
        <w:gridCol w:w="900"/>
        <w:gridCol w:w="32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color w:val="ffffff"/>
                <w:sz w:val="19"/>
                <w:szCs w:val="19"/>
              </w:rPr>
              <w:t xml:space="preserve">Variable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b/>
                <w:bCs/>
                <w:color w:val="ffffff"/>
                <w:sz w:val="19"/>
                <w:szCs w:val="19"/>
              </w:rPr>
              <w:t xml:space="preserve">AUC</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b/>
                <w:bCs/>
                <w:color w:val="ffffff"/>
                <w:sz w:val="19"/>
                <w:szCs w:val="19"/>
              </w:rPr>
              <w:t xml:space="preserve">Aporte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b/>
                <w:bCs/>
                <w:color w:val="ffffff"/>
                <w:sz w:val="19"/>
                <w:szCs w:val="19"/>
              </w:rPr>
              <w:t xml:space="preserve">Asoc. hospital</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b/>
                <w:bCs/>
                <w:color w:val="ffffff"/>
                <w:sz w:val="19"/>
                <w:szCs w:val="19"/>
              </w:rPr>
              <w:t xml:space="preserve">PSI</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b/>
                <w:bCs/>
                <w:color w:val="ffffff"/>
                <w:sz w:val="19"/>
                <w:szCs w:val="19"/>
              </w:rPr>
              <w:t xml:space="preserve">Observación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EDAD_ANIOS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0,767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0,001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Sin vacíos. Revisión clínica pendiente (decisión 12).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PUNTAJE_VAN_WALRAVEN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0,765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+0,074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0,023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Verificada contra la fuente. Solo en la línea base.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N_COMORB_ELIX</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0,747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+0,051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0,017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Revisión clínica pendiente.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GRUPO_CLINICO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0,790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+0,057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0,09</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0,38</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PSI alto: respalda recalibrar con 2023 (decisión 17).</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CIE10_3C</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0,783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+0,070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0,07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0,37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PSI alto: igual que el anterior.</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SEXO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0,573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0,07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0,001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Estable.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TIPO_INGRESO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0,691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0,047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Condicional: verificar con el modelo entrenado.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TIPO_PROCEDENCIA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0,652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0,087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Sin vacíos.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NIVEL_CUIDADO_INGRESO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0,617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+0,048</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0,16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0,026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Condicional: verificar proxy del hospital.</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ELIX_01 a ELIX_31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hasta 0,613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pequeño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máx. 0,20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máx. 0,02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24 con MANTENER (12 por medición, 12 por criterio clínico), 6 con baja señal y 1 condicional.</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ES_FIN_SEMANA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0,521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+0,0015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0,05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0,001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Señal baja; se conserva solo esta de las tres variables de calendario.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pBdr/>
              <w:spacing w:after="50" w:line="260" w:lineRule="auto"/>
              <w:ind/>
              <w:rPr/>
            </w:pPr>
            <w:r>
              <w:rPr>
                <w:rFonts w:ascii="Arial" w:hAnsi="Arial" w:eastAsia="Arial" w:cs="Arial"/>
                <w:b/>
                <w:bCs/>
                <w:sz w:val="19"/>
                <w:szCs w:val="19"/>
              </w:rPr>
              <w:t xml:space="preserve">MES_INGRESO, DIA_SEMANA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0,538 y 0,536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000" w:type="dxa"/>
            <w:vAlign w:val="top"/>
          </w:tcPr>
          <w:p>
            <w:pPr>
              <w:pBdr/>
              <w:spacing w:after="50" w:line="260" w:lineRule="auto"/>
              <w:ind/>
              <w:rPr/>
            </w:pPr>
            <w:r>
              <w:rPr>
                <w:rFonts w:ascii="Arial" w:hAnsi="Arial" w:eastAsia="Arial" w:cs="Arial"/>
                <w:sz w:val="19"/>
                <w:szCs w:val="19"/>
              </w:rPr>
              <w:t xml:space="preserve">−0,001 y +0,002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100" w:type="dxa"/>
            <w:vAlign w:val="top"/>
          </w:tcPr>
          <w:p>
            <w:pPr>
              <w:pBdr/>
              <w:spacing w:after="50" w:line="260" w:lineRule="auto"/>
              <w:ind/>
              <w:rPr/>
            </w:pPr>
            <w:r>
              <w:rPr>
                <w:rFonts w:ascii="Arial" w:hAnsi="Arial" w:eastAsia="Arial" w:cs="Arial"/>
                <w:sz w:val="19"/>
                <w:szCs w:val="19"/>
              </w:rPr>
              <w:t xml:space="preserve">0,01 y 0,03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50" w:line="260" w:lineRule="auto"/>
              <w:ind/>
              <w:rPr/>
            </w:pPr>
            <w:r>
              <w:rPr>
                <w:rFonts w:ascii="Arial" w:hAnsi="Arial" w:eastAsia="Arial" w:cs="Arial"/>
                <w:sz w:val="19"/>
                <w:szCs w:val="19"/>
              </w:rPr>
              <w:t xml:space="preserve">0,006 y 0,002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60" w:type="dxa"/>
            <w:vAlign w:val="top"/>
          </w:tcPr>
          <w:p>
            <w:pPr>
              <w:pBdr/>
              <w:spacing w:after="50" w:line="260" w:lineRule="auto"/>
              <w:ind/>
              <w:rPr/>
            </w:pPr>
            <w:r>
              <w:rPr>
                <w:rFonts w:ascii="Arial" w:hAnsi="Arial" w:eastAsia="Arial" w:cs="Arial"/>
                <w:sz w:val="19"/>
                <w:szCs w:val="19"/>
              </w:rPr>
              <w:t xml:space="preserve">Sin aporte: se proponen fuera del modelo.</w:t>
            </w:r>
          </w:p>
        </w:tc>
      </w:tr>
    </w:tbl>
    <w:p>
      <w:pPr>
        <w:spacing w:after="60"/>
      </w:pP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Límite del respaldo.</w:t>
      </w:r>
      <w:r>
        <w:rPr>
          <w:rFonts w:ascii="Arial" w:hAnsi="Arial" w:eastAsia="Arial" w:cs="Arial"/>
        </w:rPr>
        <w:t xml:space="preserve"> Los valores salen de modelos de referencia simples, no del modelo final, y el respaldo es estadístico: la revisión clínica de varias variables sigue pendiente. Quedan excluidas con evidencia N_DX_SECUNDARIOS (AUC 0,81, pero refleja cuántos diagnósticos se registran más que gravedad) y DERIVADO_OTRO_HOSPITAL (asociación con el hospital de 0,56).</w:t>
      </w:r>
    </w:p>
    <w:p>
      <w:pPr>
        <w:pBdr/>
        <w:spacing w:after="120"/>
        <w:ind/>
        <w:rPr/>
      </w:pPr>
      <w:r/>
    </w:p>
    <w:p>
      <w:pPr>
        <w:pBdr/>
        <w:spacing w:after="130" w:line="285" w:lineRule="auto"/>
        <w:ind/>
        <w:rPr/>
      </w:pPr>
      <w:r>
        <w:rPr>
          <w:rFonts w:ascii="Arial" w:hAnsi="Arial" w:eastAsia="Arial" w:cs="Arial"/>
          <w:b/>
          <w:bCs/>
        </w:rPr>
        <w:t xml:space="preserve">Sobre el diagnóstico principal.</w:t>
      </w:r>
      <w:r>
        <w:rPr>
          <w:rFonts w:ascii="Arial" w:hAnsi="Arial" w:eastAsia="Arial" w:cs="Arial"/>
        </w:rPr>
        <w:t xml:space="preserve"> Tiene más de 9.500 códigos distintos y muchos tienen muy pocos casos. Si se usaran todos, el modelo no aprendería bien. Si se usaran solo categorías amplias, se perdería información clínica. Por eso se usan dos niveles: una categoría amplia y un código de 3 caracteres.</w:t>
      </w:r>
      <w:r/>
    </w:p>
    <w:p>
      <w:pPr>
        <w:pBdr/>
        <w:spacing w:after="130" w:line="285" w:lineRule="auto"/>
        <w:ind/>
        <w:rPr/>
      </w:pPr>
      <w:r>
        <w:rPr>
          <w:rFonts w:ascii="Arial" w:hAnsi="Arial" w:eastAsia="Arial" w:cs="Arial"/>
          <w:b/>
          <w:bCs/>
        </w:rPr>
        <w:t xml:space="preserve">Sobre el historial del paciente.</w:t>
      </w:r>
      <w:r>
        <w:rPr>
          <w:rFonts w:ascii="Arial" w:hAnsi="Arial" w:eastAsia="Arial" w:cs="Arial"/>
        </w:rPr>
        <w:t xml:space="preserve"> No se usa en el modelo. La Fase 2 comprobó que se puede calcular (el identificador es válido en el 99,8 % de los egresos de 2023), pero que no mejora la predicción, y que el sistema del identificador cambia entre 2020 y 2021, por lo que los pacientes de 2019 y 2020 no se pueden unir con los de 2021 en adelante. El identificador tampoco se usa para rastrear traslados (sección 9.4).</w:t>
      </w:r>
    </w:p>
    <w:p>
      <w:pPr>
        <w:pStyle w:val="904"/>
        <w:keepNext w:val="true"/>
        <w:pBdr/>
        <w:spacing/>
        <w:ind/>
        <w:rPr/>
      </w:pPr>
      <w:r>
        <w:rPr>
          <w:rFonts w:ascii="Arial" w:hAnsi="Arial" w:eastAsia="Arial" w:cs="Arial"/>
        </w:rPr>
        <w:t xml:space="preserve">8. El índice de Elixhauser: el ajuste clave</w:t>
      </w:r>
      <w:r/>
    </w:p>
    <w:p>
      <w:pPr>
        <w:pBdr/>
        <w:spacing w:after="130" w:line="285" w:lineRule="auto"/>
        <w:ind/>
        <w:rPr/>
      </w:pPr>
      <w:r>
        <w:rPr>
          <w:rFonts w:ascii="Arial" w:hAnsi="Arial" w:eastAsia="Arial" w:cs="Arial"/>
        </w:rPr>
        <w:t xml:space="preserve">La parte más importante del ajuste por riesgo es medir las enfermedades que el paciente ya tenía. Para eso se usa el índice de Elixhauser, en la versión para códigos CIE-10 (Elixhauser et al., 1998; Quan et al., 2005). El sistema recorre hasta 34 diagnósticos secundarios por paciente y marca con 1 o 0 cuáles de las 31 categorías están presentes. Se calcula solo con los diagnósticos secundarios, nunca con el principal, que es el motivo del ingreso.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color w:val="ffffff"/>
                <w:sz w:val="19"/>
                <w:szCs w:val="19"/>
              </w:rPr>
              <w:t xml:space="preserve">Grupo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bCs/>
                <w:color w:val="ffffff"/>
                <w:sz w:val="19"/>
                <w:szCs w:val="19"/>
              </w:rPr>
              <w:t xml:space="preserve">Categorías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Cardiovasculares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Insuficiencia cardíaca, arritmias, valvulopatía, trastornos de la circulación pulmonar, enfermedad vascular periférica, hipertensión no complicada e hipertensión complicada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Neurológicas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Parálisis y otros trastornos neurológicos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Respiratorias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Enfermedad pulmonar crónica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Metabólicas y endocrinas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Diabetes sin complicación, diabetes con complicación, hipotiroidismo, obesidad, trastornos de líquidos y electrolitos, pérdida de peso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Renales y hepáticas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Insuficiencia renal, enfermedad hepática, úlcera péptica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Oncológicas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Linfoma, cáncer metastásico, tumor sólido sin metástasis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Hematológicas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Coagulopatía, anemia por pérdida de sangre, anemia por deficiencia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Psiquiátricas y otras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b w:val="0"/>
                <w:bCs w:val="0"/>
                <w:sz w:val="19"/>
                <w:szCs w:val="19"/>
              </w:rPr>
              <w:t xml:space="preserve">VIH/SIDA, artritis reumatoide, abuso de alcohol, abuso de drogas, psicosis, depresión</w:t>
            </w:r>
            <w:r/>
          </w:p>
        </w:tc>
      </w:tr>
    </w:tbl>
    <w:p>
      <w:pPr>
        <w:pBdr/>
        <w:spacing w:after="120"/>
        <w:ind/>
        <w:rPr/>
      </w:pPr>
      <w:r/>
    </w:p>
    <w:p>
      <w:pPr>
        <w:pStyle w:val="905"/>
        <w:keepNext w:val="true"/>
        <w:pBdr/>
        <w:spacing/>
        <w:ind/>
        <w:rPr/>
      </w:pPr>
      <w:r>
        <w:rPr>
          <w:rFonts w:ascii="Arial" w:hAnsi="Arial" w:eastAsia="Arial" w:cs="Arial"/>
        </w:rPr>
        <w:t xml:space="preserve">8.1 Por qué 31 variables y no un índice único</w:t>
      </w:r>
      <w:r/>
    </w:p>
    <w:p>
      <w:pPr>
        <w:pBdr/>
        <w:spacing w:after="130" w:line="285" w:lineRule="auto"/>
        <w:ind/>
        <w:rPr/>
      </w:pPr>
      <w:r>
        <w:rPr>
          <w:rFonts w:ascii="Arial" w:hAnsi="Arial" w:eastAsia="Arial" w:cs="Arial"/>
        </w:rPr>
        <w:t xml:space="preserve">El riesgo de combinar dos enfermedades no es la suma de los riesgos por separado. Con variables independientes, los modelos basados en árboles pueden descubrir esas combinaciones solos. Un índice único las esconde.</w:t>
      </w:r>
      <w:r/>
    </w:p>
    <w:p>
      <w:pPr>
        <w:pStyle w:val="904"/>
        <w:keepNext w:val="true"/>
        <w:pBdr/>
        <w:spacing/>
        <w:ind/>
        <w:rPr/>
      </w:pPr>
      <w:r>
        <w:rPr>
          <w:rFonts w:ascii="Arial" w:hAnsi="Arial" w:eastAsia="Arial" w:cs="Arial"/>
        </w:rPr>
        <w:t xml:space="preserve">9. Definición de la cohorte</w:t>
      </w:r>
      <w:r/>
    </w:p>
    <w:p>
      <w:pPr>
        <w:pStyle w:val="905"/>
        <w:keepNext w:val="true"/>
        <w:pBdr/>
        <w:spacing/>
        <w:ind/>
        <w:rPr/>
      </w:pPr>
      <w:r>
        <w:rPr>
          <w:rFonts w:ascii="Arial" w:hAnsi="Arial" w:eastAsia="Arial" w:cs="Arial"/>
        </w:rPr>
        <w:t xml:space="preserve">9.1 Qué población se analiza</w:t>
      </w:r>
      <w:r/>
    </w:p>
    <w:p>
      <w:pPr>
        <w:pStyle w:val="896"/>
        <w:numPr>
          <w:ilvl w:val="0"/>
          <w:numId w:val="2"/>
        </w:numPr>
        <w:pBdr/>
        <w:spacing w:after="70" w:line="280" w:lineRule="auto"/>
        <w:ind/>
        <w:rPr/>
      </w:pPr>
      <w:r>
        <w:rPr>
          <w:rFonts w:ascii="Arial" w:hAnsi="Arial" w:eastAsia="Arial" w:cs="Arial"/>
          <w:b/>
          <w:bCs/>
        </w:rPr>
        <w:t xml:space="preserve">Hospitales.</w:t>
      </w:r>
      <w:r>
        <w:rPr>
          <w:rFonts w:ascii="Arial" w:hAnsi="Arial" w:eastAsia="Arial" w:cs="Arial"/>
        </w:rPr>
        <w:t xml:space="preserve"> Entran los que operaban con GRD en cada año. Se midió: hay 65 hospitales en cada año de 2019 a 2022, 68 en 2023 y 72 códigos distintos en 2024, de los cuales uno no figura en el catálogo de establecimientos (Hospitales.csv, 377 establecimientos, que aporta el nivel de complejidad). Cada hospital se compara solo en los años en que estaba en GRD, y la lista por año se guarda en el catálogo de PostgreSQL.</w:t>
      </w:r>
    </w:p>
    <w:p>
      <w:pPr>
        <w:pStyle w:val="896"/>
        <w:numPr>
          <w:ilvl w:val="0"/>
          <w:numId w:val="2"/>
        </w:numPr>
        <w:pBdr/>
        <w:spacing w:after="70" w:line="280" w:lineRule="auto"/>
        <w:ind/>
        <w:rPr/>
      </w:pPr>
      <w:r>
        <w:rPr>
          <w:rFonts w:ascii="Arial" w:hAnsi="Arial" w:eastAsia="Arial" w:cs="Arial"/>
          <w:b/>
          <w:bCs/>
        </w:rPr>
        <w:t xml:space="preserve">Edad.</w:t>
      </w:r>
      <w:r>
        <w:rPr>
          <w:rFonts w:ascii="Arial" w:hAnsi="Arial" w:eastAsia="Arial" w:cs="Arial"/>
        </w:rPr>
        <w:t xml:space="preserve"> Solo adultos, de 18 años o más. Los recién nacidos (MDC 15) y los menores de 18 años quedan fuera: sus patrones de mortalidad y estadía son distintos y, según la Fase 2, incluirlos no mejora el modelo de los adultos y no resuelve el de los niños. El detalle y las alternativas están en la sección 9.6.</w:t>
      </w:r>
    </w:p>
    <w:p>
      <w:pPr>
        <w:pStyle w:val="905"/>
        <w:keepNext w:val="true"/>
        <w:pBdr/>
        <w:spacing/>
        <w:ind/>
        <w:rPr/>
      </w:pPr>
      <w:r>
        <w:rPr>
          <w:rFonts w:ascii="Arial" w:hAnsi="Arial" w:eastAsia="Arial" w:cs="Arial"/>
        </w:rPr>
        <w:t xml:space="preserve">9.2 Qué hacemos con cada tipo de alta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color w:val="ffffff"/>
                <w:sz w:val="19"/>
                <w:szCs w:val="19"/>
              </w:rPr>
              <w:t xml:space="preserve">Tipo de alta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b/>
                <w:bCs/>
                <w:color w:val="ffffff"/>
                <w:sz w:val="19"/>
                <w:szCs w:val="19"/>
              </w:rPr>
              <w:t xml:space="preserve">Tratamiento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Fallecido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b w:val="0"/>
                <w:bCs w:val="0"/>
                <w:sz w:val="19"/>
                <w:szCs w:val="19"/>
              </w:rPr>
              <w:t xml:space="preserve">Mortalidad igual a 1. Entra al modelo de mortalidad y no al de estadía.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Alta médica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b w:val="0"/>
                <w:bCs w:val="0"/>
                <w:sz w:val="19"/>
                <w:szCs w:val="19"/>
              </w:rPr>
              <w:t xml:space="preserve">Mortalidad igual a 0. Entra a los dos modelos.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Traslado a otro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sz w:val="19"/>
                <w:szCs w:val="19"/>
              </w:rPr>
              <w:t xml:space="preserve">Censurado. Sale del entrenamiento y del cálculo del O/E. El rastreo del desenlace final se retiró del flujo principal y se declara como limitación (sección 9.4); la tasa de traslado saliente de cada hospital se muestra como contexto del O/E.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Traslado entrante (llega desde otro hospital)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b w:val="0"/>
                <w:bCs w:val="0"/>
                <w:sz w:val="19"/>
                <w:szCs w:val="19"/>
              </w:rPr>
              <w:t xml:space="preserve">Se marca con TIPO_PROCEDENCIA, se conserva y entra a los modelos y al O/E, ajustado por esa variable (decisión 16 consensuada). Se informa la proporción de traslados entrantes de cada hospital.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Otros tipos que aparezcan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pBdr/>
              <w:spacing w:after="50" w:line="260" w:lineRule="auto"/>
              <w:ind/>
              <w:rPr/>
            </w:pPr>
            <w:r>
              <w:rPr>
                <w:rFonts w:ascii="Arial" w:hAnsi="Arial" w:eastAsia="Arial" w:cs="Arial"/>
                <w:b w:val="0"/>
                <w:bCs w:val="0"/>
                <w:sz w:val="19"/>
                <w:szCs w:val="19"/>
              </w:rPr>
              <w:t xml:space="preserve">En la Fase 2 se listan todos los valores de TIPOALTA y se decide cada uno. Regla por defecto: si no se puede confirmar que el paciente sobrevivió, se trata como censurado.</w:t>
            </w:r>
            <w:r/>
          </w:p>
        </w:tc>
      </w:tr>
    </w:tbl>
    <w:p>
      <w:pPr>
        <w:pStyle w:val="905"/>
        <w:keepNext w:val="true"/>
        <w:pBdr/>
        <w:spacing/>
        <w:ind/>
        <w:rPr/>
      </w:pPr>
      <w:r>
        <w:rPr>
          <w:rFonts w:ascii="Arial" w:hAnsi="Arial" w:eastAsia="Arial" w:cs="Arial"/>
        </w:rPr>
        <w:t xml:space="preserve">9.3 Cascada de exclusiones</w:t>
      </w:r>
      <w:r/>
    </w:p>
    <w:p>
      <w:pPr>
        <w:pBdr/>
        <w:spacing w:after="130" w:line="285" w:lineRule="auto"/>
        <w:ind/>
        <w:rPr/>
      </w:pPr>
      <w:r>
        <w:rPr>
          <w:rFonts w:ascii="Arial" w:hAnsi="Arial" w:eastAsia="Arial" w:cs="Arial"/>
        </w:rPr>
        <w:t xml:space="preserve">El sistema genera un reporte de la cascada completa, en el estilo CONSORT, y verifica que ningún paciente desaparezca sin quedar documentado. Las cifras de esta tabla son </w:t>
      </w:r>
      <w:r>
        <w:rPr>
          <w:rFonts w:ascii="Arial" w:hAnsi="Arial" w:eastAsia="Arial" w:cs="Arial"/>
          <w:b/>
          <w:bCs/>
        </w:rPr>
        <w:t xml:space="preserve">medidas</w:t>
      </w:r>
      <w:r>
        <w:rPr>
          <w:rFonts w:ascii="Arial" w:hAnsi="Arial" w:eastAsia="Arial" w:cs="Arial"/>
        </w:rPr>
        <w:t xml:space="preserve"> con los 4.722.722 egresos de 2019–2023; 2024 queda reservado para la prueba final.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17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color w:val="ffffff"/>
                <w:sz w:val="19"/>
                <w:szCs w:val="19"/>
              </w:rPr>
              <w:t xml:space="preserve">Paso</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color w:val="ffffff"/>
                <w:sz w:val="19"/>
                <w:szCs w:val="19"/>
              </w:rPr>
              <w:t xml:space="preserve">Egresos (2019–2023)</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bCs/>
                <w:color w:val="ffffff"/>
                <w:sz w:val="19"/>
                <w:szCs w:val="19"/>
              </w:rPr>
              <w:t xml:space="preserve">Por qué</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GRD no asignable</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3.583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Sin GRD válido no es posible clasificar la casuística clínica del egreso.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Recién nacidos (MDC 15)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124.604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Neonatología necesita su propio ajuste (peso al nacer, edad gestacional). El grupo incluye prematuros y neonatos enfermos, no solo sanos (sección 9.6).</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Partos normales sin complicación (MDC 14 sin comorbilidades)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372.932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Eventos obstétricos sin complicación, con mortalidad basal casi nula y estadía protocolizada.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Cohorte A: cohorte dura</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sz w:val="19"/>
                <w:szCs w:val="19"/>
              </w:rPr>
              <w:t xml:space="preserve">4.221.603</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bCs/>
                <w:sz w:val="19"/>
                <w:szCs w:val="19"/>
              </w:rPr>
              <w:t xml:space="preserve">Punto de partida de las demás cohortes.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Menores de 18 años o edad desconocida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675.590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Su riesgo es otro y no mejora el modelo de los adultos (sección 9.6).</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Cohorte B: adultos</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sz w:val="19"/>
                <w:szCs w:val="19"/>
              </w:rPr>
              <w:t xml:space="preserve">3.546.013</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Actividad distinta de hospitalización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684.599</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La actividad ambulatoria casi no tiene muertes: su mortalidad es 0,14 veces la del resto (decisión 15).</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Cohorte C: adultos hospitalizados</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sz w:val="19"/>
                <w:szCs w:val="19"/>
              </w:rPr>
              <w:t xml:space="preserve">2.861.414</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Traslados y altas sin desenlace confirmado (derivaciones a otros hospitales, hospitalización domiciliaria, otros)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221.353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Desenlace intrahospitalario desconocido; excluirlos previene el sesgo de alta anticipada. El rastreo de su desenlace se retiró del flujo principal (sección 9.4).</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Cohorte D: modelo de mortalidad</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sz w:val="19"/>
                <w:szCs w:val="19"/>
              </w:rPr>
              <w:t xml:space="preserve">2.640.061</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bCs/>
                <w:sz w:val="19"/>
                <w:szCs w:val="19"/>
              </w:rPr>
              <w:t xml:space="preserve">Mortalidad 5,11 %.</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Fallecidos (solo salen del modelo de estadía)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134.857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Regla R8.</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Sobrevivientes con estadía de 0 días o desconocida (solo salen del modelo de estadía)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108.848</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Se conservan en el modelo de mortalidad.</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Cohorte E: modelo de estadía</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b/>
                <w:bCs/>
                <w:sz w:val="19"/>
                <w:szCs w:val="19"/>
              </w:rPr>
              <w:t xml:space="preserve">2.396.356</w:t>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Traslados entrantes (llegan desde otro hospital)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239.311 dentro de la cohorte D (9,1 %)</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Se marcan y se conservan en los datos y en las cohortes D y E (decisión 16 consensuada). El episodio refleja solo la segunda parte de la hospitalización y mueren 2,0 veces más que el resto, por lo que TIPO_PROCEDENCIA entra como predictor y se informa la proporción por hospital (en 2024, mediana 9,5 % y máximo 62,4 %, según la Fase 5).</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sz w:val="19"/>
                <w:szCs w:val="19"/>
              </w:rPr>
              <w:t xml:space="preserve">Hospitales bajo el volumen mínimo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pBdr/>
              <w:spacing w:after="50" w:line="260" w:lineRule="auto"/>
              <w:ind/>
              <w:rPr/>
            </w:pPr>
            <w:r>
              <w:rPr>
                <w:rFonts w:ascii="Arial" w:hAnsi="Arial" w:eastAsia="Arial" w:cs="Arial"/>
                <w:sz w:val="19"/>
                <w:szCs w:val="19"/>
              </w:rPr>
              <w:t xml:space="preserve">3 de 68 en 2023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65 hospitales cumplen 500 egresos y 10 muertes esperadas; los 3 que no cumplen son los pediátricos (sección 11.2).</w:t>
            </w:r>
          </w:p>
        </w:tc>
      </w:tr>
    </w:tbl>
    <w:p>
      <w:pPr>
        <w:pBdr/>
        <w:spacing w:after="120"/>
        <w:ind/>
        <w:rPr/>
      </w:pPr>
      <w:r/>
    </w:p>
    <w:p>
      <w:pPr>
        <w:pStyle w:val="905"/>
        <w:keepNext w:val="true"/>
        <w:pBdr/>
        <w:spacing/>
        <w:ind/>
        <w:rPr/>
      </w:pPr>
      <w:r>
        <w:rPr>
          <w:rFonts w:ascii="Arial" w:hAnsi="Arial" w:eastAsia="Arial" w:cs="Arial"/>
        </w:rPr>
        <w:t xml:space="preserve">9.4 Cómo tratamos los traslados</w:t>
      </w:r>
      <w:r/>
    </w:p>
    <w:p>
      <w:pPr>
        <w:pBdr/>
        <w:spacing w:after="130" w:line="285" w:lineRule="auto"/>
        <w:ind/>
        <w:rPr/>
      </w:pPr>
      <w:r>
        <w:rPr>
          <w:rFonts w:ascii="Arial" w:hAnsi="Arial" w:eastAsia="Arial" w:cs="Arial"/>
        </w:rPr>
        <w:t xml:space="preserve">Decisión consensuada (v4): el rastreo de traslados salientes con el identificador encriptado se retira del flujo principal. La Fase 2 mostró que es viable (con una ventana de 30 días, el 46,7 % de los traslados salientes se encuentra en otro hospital; el mínimo exigido era 30 %), pero el identificador cambia de sistema entre 2020 y 2021. El rastreo solo serviría dentro de 2021–2024, de modo que la cohorte quedaría definida de forma distinta en los años de entrenamiento (2019–2020 sin rastreo) y en el resto, y los modelos y el O/E dejarían de ser comparables entre años. Los traslados salientes quedan censurados, el sesgo de alta anticipada se declara como limitación y la tasa de traslado saliente de cada hospital se muestra junto al O/E. El rastreo queda como mejora futura.</w:t>
      </w:r>
    </w:p>
    <w:p>
      <w:pPr>
        <w:pStyle w:val="905"/>
        <w:keepNext w:val="true"/>
        <w:pBdr/>
        <w:spacing/>
        <w:ind/>
        <w:rPr/>
      </w:pPr>
      <w:r>
        <w:rPr>
          <w:rFonts w:ascii="Arial" w:hAnsi="Arial" w:eastAsia="Arial" w:cs="Arial"/>
        </w:rPr>
        <w:t xml:space="preserve">9.5 Prevalencia de la cohorte final</w:t>
      </w:r>
      <w:r/>
    </w:p>
    <w:p>
      <w:pPr>
        <w:pBdr/>
        <w:spacing w:after="130" w:line="285" w:lineRule="auto"/>
        <w:ind/>
        <w:rPr/>
      </w:pPr>
      <w:r>
        <w:rPr>
          <w:rFonts w:ascii="Arial" w:hAnsi="Arial" w:eastAsia="Arial" w:cs="Arial"/>
          <w:b/>
          <w:bCs/>
        </w:rPr>
        <w:t xml:space="preserve">Prevalencia de la cohorte final.</w:t>
      </w:r>
      <w:r>
        <w:rPr>
          <w:rFonts w:ascii="Arial" w:hAnsi="Arial" w:eastAsia="Arial" w:cs="Arial"/>
        </w:rPr>
        <w:t xml:space="preserve"> Con la base completa (2019–2023), la mortalidad sube a medida que se aplican los filtros: Cohorte A (cohorte dura): 3,35 %; Cohorte B (adultos): 3,93 %; Cohorte C (adultos hospitalizados): 4,71 %; Cohorte D (episodios con desenlace conocido para el modelo de mortalidad): 5,11 %, y 4,26 % solo en 2023. Esta prevalencia del 5,11 % es la línea base para evaluar la ganancia del PR AUC. La cifra de 2,78 % del informe del seminario no corresponde a ninguna cohorte del modelo.</w:t>
      </w:r>
    </w:p>
    <w:p>
      <w:pPr>
        <w:pStyle w:val="905"/>
        <w:keepNext w:val="true"/>
        <w:pBdr/>
        <w:spacing/>
        <w:ind/>
        <w:rPr/>
      </w:pPr>
      <w:r>
        <w:rPr>
          <w:rFonts w:ascii="Arial" w:hAnsi="Arial" w:eastAsia="Arial" w:cs="Arial"/>
        </w:rPr>
        <w:t xml:space="preserve">9.6 Por qué se excluyen los recién nacidos y los menores de 18 años</w:t>
      </w:r>
    </w:p>
    <w:p>
      <w:pPr>
        <w:pBdr/>
        <w:spacing w:before="0" w:after="130" w:line="285" w:lineRule="auto"/>
        <w:ind/>
        <w:rPr/>
      </w:pPr>
      <w:r>
        <w:rPr>
          <w:rFonts w:ascii="Arial" w:hAnsi="Arial" w:eastAsia="Arial" w:cs="Arial"/>
        </w:rPr>
        <w:t xml:space="preserve">Se midió con los datos de 2019–2023 qué se gana y qué se pierde con esta exclusión.</w:t>
      </w:r>
    </w:p>
    <w:p>
      <w:pPr>
        <w:pStyle w:val="896"/>
        <w:numPr>
          <w:ilvl w:val="0"/>
          <w:numId w:val="2"/>
        </w:numPr>
        <w:pBdr/>
        <w:spacing w:after="70" w:line="280" w:lineRule="auto"/>
        <w:ind/>
        <w:rPr/>
      </w:pPr>
      <w:r>
        <w:rPr>
          <w:rFonts w:ascii="Arial" w:hAnsi="Arial" w:eastAsia="Arial" w:cs="Arial"/>
          <w:b/>
          <w:bCs/>
        </w:rPr>
        <w:t xml:space="preserve">Los recién nacidos no son todos sanos.</w:t>
      </w:r>
      <w:r>
        <w:rPr>
          <w:rFonts w:ascii="Arial" w:hAnsi="Arial" w:eastAsia="Arial" w:cs="Arial"/>
        </w:rPr>
        <w:t xml:space="preserve"> El grupo MDC 15 (124.604 egresos, mortalidad 2,17 %) incluye prematuros y neonatos enfermos: el 8 % de sus egresos tiene riesgo de mortalidad GRD «mayor» y de ellos muere el 17,8 %. Por eso el nombre correcto es «recién nacidos (MDC 15)» y no «recién nacidos sanos».</w:t>
      </w:r>
    </w:p>
    <w:p>
      <w:pPr>
        <w:pStyle w:val="896"/>
        <w:numPr>
          <w:ilvl w:val="0"/>
          <w:numId w:val="2"/>
        </w:numPr>
        <w:pBdr/>
        <w:spacing w:after="70" w:line="280" w:lineRule="auto"/>
        <w:ind/>
        <w:rPr/>
      </w:pPr>
      <w:r>
        <w:rPr>
          <w:rFonts w:ascii="Arial" w:hAnsi="Arial" w:eastAsia="Arial" w:cs="Arial"/>
          <w:b/>
          <w:bCs/>
        </w:rPr>
        <w:t xml:space="preserve">Los menores de 18 años</w:t>
      </w:r>
      <w:r>
        <w:rPr>
          <w:rFonts w:ascii="Arial" w:hAnsi="Arial" w:eastAsia="Arial" w:cs="Arial"/>
        </w:rPr>
        <w:t xml:space="preserve"> (685.020 egresos sin contar recién nacidos) tienen una mortalidad de 0,34 %, frente a 4,52 % en los adultos. Mezclarlos obliga al modelo a aprender dos realidades con una sola curva de edad.</w:t>
      </w:r>
    </w:p>
    <w:p>
      <w:pPr>
        <w:pStyle w:val="896"/>
        <w:numPr>
          <w:ilvl w:val="0"/>
          <w:numId w:val="2"/>
        </w:numPr>
        <w:pBdr/>
        <w:spacing w:after="70" w:line="280" w:lineRule="auto"/>
        <w:ind/>
        <w:rPr/>
      </w:pPr>
      <w:r>
        <w:rPr>
          <w:rFonts w:ascii="Arial" w:hAnsi="Arial" w:eastAsia="Arial" w:cs="Arial"/>
          <w:b/>
          <w:bCs/>
        </w:rPr>
        <w:t xml:space="preserve">Casi todas las muertes son de adultos:</w:t>
      </w:r>
      <w:r>
        <w:rPr>
          <w:rFonts w:ascii="Arial" w:hAnsi="Arial" w:eastAsia="Arial" w:cs="Arial"/>
        </w:rPr>
        <w:t xml:space="preserve"> 96,9 %. Excluir a los menores y a los recién nacidos deja fuera 4.431 de 143.914 muertes (3,1 %).</w:t>
      </w:r>
    </w:p>
    <w:p>
      <w:pPr>
        <w:pStyle w:val="896"/>
        <w:numPr>
          <w:ilvl w:val="0"/>
          <w:numId w:val="2"/>
        </w:numPr>
        <w:pBdr/>
        <w:spacing w:after="70" w:line="280" w:lineRule="auto"/>
        <w:ind/>
        <w:rPr/>
      </w:pPr>
      <w:r>
        <w:rPr>
          <w:rFonts w:ascii="Arial" w:hAnsi="Arial" w:eastAsia="Arial" w:cs="Arial"/>
          <w:b/>
          <w:bCs/>
        </w:rPr>
        <w:t xml:space="preserve">Incluirlos no mejora a los adultos.</w:t>
      </w:r>
      <w:r>
        <w:rPr>
          <w:rFonts w:ascii="Arial" w:hAnsi="Arial" w:eastAsia="Arial" w:cs="Arial"/>
        </w:rPr>
        <w:t xml:space="preserve"> Con un modelo de referencia simple, entrenado con 2019–2022 y evaluado en los adultos de 2023, el AUC es 0,9158 solo con adultos y 0,9157 al sumar menores y recién nacidos. El O/E de los 65 hospitales casi no se mueve (correlación de orden 0,999; diferencia máxima 0,009; ningún hospital cambia en más de 0,05).</w:t>
      </w:r>
    </w:p>
    <w:p>
      <w:pPr>
        <w:pStyle w:val="896"/>
        <w:numPr>
          <w:ilvl w:val="0"/>
          <w:numId w:val="2"/>
        </w:numPr>
        <w:pBdr/>
        <w:spacing w:after="70" w:line="280" w:lineRule="auto"/>
        <w:ind/>
        <w:rPr/>
      </w:pPr>
      <w:r>
        <w:rPr>
          <w:rFonts w:ascii="Arial" w:hAnsi="Arial" w:eastAsia="Arial" w:cs="Arial"/>
          <w:b/>
          <w:bCs/>
        </w:rPr>
        <w:t xml:space="preserve">Y no resuelve a los niños.</w:t>
      </w:r>
      <w:r>
        <w:rPr>
          <w:rFonts w:ascii="Arial" w:hAnsi="Arial" w:eastAsia="Arial" w:cs="Arial"/>
        </w:rPr>
        <w:t xml:space="preserve"> Aplicado a menores de 18 de 2023, el modelo de adultos predice 4,6 veces más muertes de las que ocurrieron (O/E 0,22); incluso entrenado con ellos sigue sobreestimando (0,72). Evaluar niños bien exigiría un modelo propio, con peso al nacer y edad gestacional en el caso de los neonatos, datos que la base no entrega como predictores.</w:t>
      </w:r>
    </w:p>
    <w:p>
      <w:pPr>
        <w:pStyle w:val="896"/>
        <w:numPr>
          <w:ilvl w:val="0"/>
          <w:numId w:val="2"/>
        </w:numPr>
        <w:pBdr/>
        <w:spacing w:after="70" w:line="280" w:lineRule="auto"/>
        <w:ind/>
        <w:rPr/>
      </w:pPr>
      <w:r>
        <w:rPr>
          <w:rFonts w:ascii="Arial" w:hAnsi="Arial" w:eastAsia="Arial" w:cs="Arial"/>
          <w:b/>
          <w:bCs/>
        </w:rPr>
        <w:t xml:space="preserve">Lo que se pierde.</w:t>
      </w:r>
      <w:r>
        <w:rPr>
          <w:rFonts w:ascii="Arial" w:hAnsi="Arial" w:eastAsia="Arial" w:cs="Arial"/>
        </w:rPr>
        <w:t xml:space="preserve"> Los 3 hospitales pediátricos quedan fuera del indicador (sale más del 99 % de su actividad) y, en los otros 65, sale entre un 0,4 % y un 26 % de los egresos (más del 10 % en 52 de los 68 hospitales; mediana 15,6 %). La atención pediátrica y neonatal de todos los hospitales no queda evaluada.</w:t>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Opciones. </w:t>
      </w:r>
      <w:r>
        <w:rPr>
          <w:rFonts w:ascii="Arial" w:hAnsi="Arial" w:eastAsia="Arial" w:cs="Arial"/>
        </w:rPr>
        <w:t xml:space="preserve">A) Solo adultos (propuesta): no cuesta precisión en lo que se mide y se declara la limitación. B) Solo adultos ahora y un modelo pediátrico aparte después: queda fuera del alcance de las 17 semanas. C) Todos juntos: no se recomienda, porque no mejora a los adultos y deja a los niños mal calibrados.</w:t>
      </w:r>
    </w:p>
    <w:p>
      <w:pPr>
        <w:pStyle w:val="904"/>
        <w:keepNext w:val="true"/>
        <w:pBdr/>
        <w:spacing/>
        <w:ind/>
        <w:rPr/>
      </w:pPr>
      <w:r>
        <w:rPr>
          <w:rFonts w:ascii="Arial" w:hAnsi="Arial" w:eastAsia="Arial" w:cs="Arial"/>
        </w:rPr>
        <w:t xml:space="preserve">10. Modelos predictivos</w:t>
      </w:r>
      <w:r/>
    </w:p>
    <w:p>
      <w:pPr>
        <w:pStyle w:val="905"/>
        <w:keepNext w:val="true"/>
        <w:pBdr/>
        <w:spacing/>
        <w:ind/>
        <w:rPr/>
      </w:pPr>
      <w:r>
        <w:rPr>
          <w:rFonts w:ascii="Arial" w:hAnsi="Arial" w:eastAsia="Arial" w:cs="Arial"/>
        </w:rPr>
        <w:t xml:space="preserve">10.1 Modelo de mortalidad (clasificación)</w:t>
      </w:r>
      <w:r/>
    </w:p>
    <w:p>
      <w:pPr>
        <w:pBdr/>
        <w:spacing w:after="130" w:line="285" w:lineRule="auto"/>
        <w:ind/>
        <w:rPr/>
      </w:pPr>
      <w:r>
        <w:rPr>
          <w:rFonts w:ascii="Arial" w:hAnsi="Arial" w:eastAsia="Arial" w:cs="Arial"/>
        </w:rPr>
        <w:t xml:space="preserve">Predice la probabilidad de que un paciente fallezca durante su hospitalización. Se entrena solo con episodios de desenlace conocido.</w:t>
      </w:r>
      <w:r/>
    </w:p>
    <w:p>
      <w:pPr>
        <w:pBdr/>
        <w:spacing w:after="130" w:line="285" w:lineRule="auto"/>
        <w:ind/>
        <w:rPr/>
      </w:pPr>
      <w:r>
        <w:t xml:space="preserve">Se comparan tres algoritmos: regresión logística (la línea base), LightGBM y XGBoost (Ke et al., 2017; Chen y Guestrin, 2016). La elección se hace con tres criterios: qué tan bien separa a quienes mueren de quienes sobreviven (PR AUC), qué tan realistas son las probabilidades (Brier Score y curvas de calibración) y qué tan estable es en años posteriores. No damos por hecho que gana el modelo más complejo. Si la logística rinde igual o mejor, ese es el modelo final. En ese caso la comparación se documenta con curvas de calibración superpuestas y tamaño del efecto, no con significancia estadística, porque con millones de registros casi cualquier diferencia sale significativa. </w:t>
      </w:r>
    </w:p>
    <w:p>
      <w:pPr>
        <w:pBdr/>
        <w:spacing w:after="130" w:line="285" w:lineRule="auto"/>
        <w:ind/>
        <w:rPr/>
      </w:pPr>
      <w:r>
        <w:rPr>
          <w:rFonts w:ascii="Arial" w:hAnsi="Arial" w:eastAsia="Arial" w:cs="Arial"/>
          <w:b/>
          <w:bCs/>
        </w:rPr>
        <w:t xml:space="preserve">No se rebalancean las clases ni se ponderan.</w:t>
      </w:r>
      <w:r>
        <w:rPr>
          <w:rFonts w:ascii="Arial" w:hAnsi="Arial" w:eastAsia="Arial" w:cs="Arial"/>
        </w:rPr>
        <w:t xml:space="preserve"> El indicador O/E suma las probabilidades predichas y las compara con las muertes reales. Si alteramos la proporción de muertes al entrenar, esa suma deja de coincidir con la realidad y el indicador se desarma. La base completa tiene más de 160.000 muertes, así que hay datos de sobra para entrenar con la distribución natural (Steyerberg et al., 2010; Van Calster et al., 2019).</w:t>
      </w:r>
      <w:r/>
    </w:p>
    <w:p>
      <w:pPr>
        <w:pStyle w:val="905"/>
        <w:keepNext w:val="true"/>
        <w:pBdr/>
        <w:spacing/>
        <w:ind/>
        <w:rPr/>
      </w:pPr>
      <w:r>
        <w:rPr>
          <w:rFonts w:ascii="Arial" w:hAnsi="Arial" w:eastAsia="Arial" w:cs="Arial"/>
        </w:rPr>
        <w:t xml:space="preserve">10.2 Modelo de estadía (regresión)</w:t>
      </w:r>
      <w:r/>
    </w:p>
    <w:p>
      <w:pPr>
        <w:pBdr/>
        <w:spacing w:after="130" w:line="285" w:lineRule="auto"/>
        <w:ind/>
        <w:rPr/>
      </w:pPr>
      <w:r>
        <w:rPr>
          <w:rFonts w:ascii="Arial" w:hAnsi="Arial" w:eastAsia="Arial" w:cs="Arial"/>
        </w:rPr>
        <w:t xml:space="preserve">Predice cuántos días debería estar hospitalizado un paciente según su perfil. Se entrena solo con sobrevivientes, porque los fallecidos tienen estadías cortas por haber muerto y no por eficiencia, y eso le enseñaría al modelo algo falso. La estadía de los fallecidos se reporta aparte como estadística descriptiva.</w:t>
      </w:r>
      <w:r/>
    </w:p>
    <w:p>
      <w:pPr>
        <w:pBdr/>
        <w:spacing w:after="130" w:line="285" w:lineRule="auto"/>
        <w:ind/>
        <w:rPr/>
      </w:pPr>
      <w:r>
        <w:rPr>
          <w:rFonts w:ascii="Arial" w:hAnsi="Arial" w:eastAsia="Arial" w:cs="Arial"/>
        </w:rPr>
        <w:t xml:space="preserve">Se usan LightGBM y XGBoost con objetivo Poisson o Tweedie. Esto modela el promedio directamente. La alternativa de pasar a logaritmo y volver con exponencial subestima el promedio, y eso distorsionaría el denominador del O/E.</w:t>
      </w:r>
      <w:r/>
    </w:p>
    <w:p>
      <w:pPr>
        <w:pStyle w:val="905"/>
        <w:keepNext w:val="true"/>
        <w:pBdr/>
        <w:spacing/>
        <w:ind/>
        <w:rPr/>
      </w:pPr>
      <w:r>
        <w:rPr>
          <w:rFonts w:ascii="Arial" w:hAnsi="Arial" w:eastAsia="Arial" w:cs="Arial"/>
        </w:rPr>
        <w:t xml:space="preserve">10.3 Partición temporal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900"/>
        <w:gridCol w:w="5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b/>
                <w:bCs/>
                <w:color w:val="ffffff"/>
                <w:sz w:val="19"/>
                <w:szCs w:val="19"/>
              </w:rPr>
              <w:t xml:space="preserve">Período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bCs/>
                <w:color w:val="ffffff"/>
                <w:sz w:val="19"/>
                <w:szCs w:val="19"/>
              </w:rPr>
              <w:t xml:space="preserve">Rol</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pBdr/>
              <w:spacing w:after="50" w:line="260" w:lineRule="auto"/>
              <w:ind/>
              <w:rPr/>
            </w:pPr>
            <w:r>
              <w:rPr>
                <w:rFonts w:ascii="Arial" w:hAnsi="Arial" w:eastAsia="Arial" w:cs="Arial"/>
                <w:b/>
                <w:bCs/>
                <w:color w:val="ffffff"/>
                <w:sz w:val="19"/>
                <w:szCs w:val="19"/>
              </w:rPr>
              <w:t xml:space="preserve">Descripción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b/>
                <w:bCs/>
                <w:sz w:val="19"/>
                <w:szCs w:val="19"/>
              </w:rPr>
              <w:t xml:space="preserve">2019 a 2022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val="0"/>
                <w:bCs w:val="0"/>
                <w:sz w:val="19"/>
                <w:szCs w:val="19"/>
              </w:rPr>
              <w:t xml:space="preserve">Entrenamiento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pBdr/>
              <w:spacing w:after="50" w:line="260" w:lineRule="auto"/>
              <w:ind/>
              <w:rPr/>
            </w:pPr>
            <w:r>
              <w:rPr>
                <w:rFonts w:ascii="Arial" w:hAnsi="Arial" w:eastAsia="Arial" w:cs="Arial"/>
                <w:b w:val="0"/>
                <w:bCs w:val="0"/>
                <w:sz w:val="19"/>
                <w:szCs w:val="19"/>
              </w:rPr>
              <w:t xml:space="preserve">El modelo aprende los patrones asociados al riesgo.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b/>
                <w:bCs/>
                <w:sz w:val="19"/>
                <w:szCs w:val="19"/>
              </w:rPr>
              <w:t xml:space="preserve">2023</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val="0"/>
                <w:bCs w:val="0"/>
                <w:sz w:val="19"/>
                <w:szCs w:val="19"/>
              </w:rPr>
              <w:t xml:space="preserve">Calibración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pBdr/>
              <w:spacing w:after="50" w:line="260" w:lineRule="auto"/>
              <w:ind/>
              <w:rPr/>
            </w:pPr>
            <w:r>
              <w:rPr>
                <w:rFonts w:ascii="Arial" w:hAnsi="Arial" w:eastAsia="Arial" w:cs="Arial"/>
                <w:b w:val="0"/>
                <w:bCs w:val="0"/>
                <w:sz w:val="19"/>
                <w:szCs w:val="19"/>
              </w:rPr>
              <w:t xml:space="preserve">Se verifica si las probabilidades son realistas. Si la pendiente de calibración sale del rango, se recalibra con método isotónico o de Platt.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b/>
                <w:bCs/>
                <w:sz w:val="19"/>
                <w:szCs w:val="19"/>
              </w:rPr>
              <w:t xml:space="preserve">2024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pBdr/>
              <w:spacing w:after="50" w:line="260" w:lineRule="auto"/>
              <w:ind/>
              <w:rPr/>
            </w:pPr>
            <w:r>
              <w:rPr>
                <w:rFonts w:ascii="Arial" w:hAnsi="Arial" w:eastAsia="Arial" w:cs="Arial"/>
                <w:b w:val="0"/>
                <w:bCs w:val="0"/>
                <w:sz w:val="19"/>
                <w:szCs w:val="19"/>
              </w:rPr>
              <w:t xml:space="preserve">Prueba definitiva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pBdr/>
              <w:spacing w:after="50" w:line="260" w:lineRule="auto"/>
              <w:ind/>
              <w:rPr/>
            </w:pPr>
            <w:r>
              <w:rPr>
                <w:rFonts w:ascii="Arial" w:hAnsi="Arial" w:eastAsia="Arial" w:cs="Arial"/>
                <w:b w:val="0"/>
                <w:bCs w:val="0"/>
                <w:sz w:val="19"/>
                <w:szCs w:val="19"/>
              </w:rPr>
              <w:t xml:space="preserve">Se usa una sola vez, sin ajustes posteriores. Es el único resultado que se reporta (Moons et al., 2015).</w:t>
            </w:r>
            <w:r/>
          </w:p>
        </w:tc>
      </w:tr>
    </w:tbl>
    <w:p>
      <w:pPr>
        <w:pBdr/>
        <w:spacing w:before="160" w:after="130" w:line="285" w:lineRule="auto"/>
        <w:ind/>
        <w:rPr/>
      </w:pPr>
      <w:r>
        <w:rPr>
          <w:rFonts w:ascii="Arial" w:hAnsi="Arial" w:eastAsia="Arial" w:cs="Arial"/>
        </w:rPr>
        <w:t xml:space="preserve">Los años de pandemia (2020 y 2021) se mantienen en el entrenamiento: la mortalidad de 2020–2022 fue 1,37 veces la de 2019, y la recalibración con 2023, un año posterior, corrige el nivel de las probabilidades. Los dos pliegues de selección de la Fase 4 (entrenar 2019–2020 y validar 2021; entrenar 2019–2021 y validar 2022) caen en años afectados por la pandemia; se declara como limitación. Como análisis de sensibilidad planificado, aún sin resultados, se entrenará sin 2020–2021 y se comparará en 2023, sin tocar 2024.</w:t>
      </w:r>
    </w:p>
    <w:p>
      <w:pPr>
        <w:pStyle w:val="905"/>
        <w:keepNext w:val="true"/>
        <w:pBdr/>
        <w:spacing/>
        <w:ind/>
        <w:rPr/>
      </w:pPr>
      <w:r>
        <w:rPr>
          <w:rFonts w:ascii="Arial" w:hAnsi="Arial" w:eastAsia="Arial" w:cs="Arial"/>
        </w:rPr>
        <w:t xml:space="preserve">10.4 Por qué la estadía se corta en el percentil 99</w:t>
      </w:r>
    </w:p>
    <w:p>
      <w:pPr>
        <w:pBdr/>
        <w:spacing w:before="0" w:after="130" w:line="285" w:lineRule="auto"/>
        <w:ind/>
        <w:rPr/>
      </w:pPr>
      <w:r>
        <w:rPr>
          <w:rFonts w:ascii="Arial" w:hAnsi="Arial" w:eastAsia="Arial" w:cs="Arial"/>
          <w:b/>
          <w:bCs/>
        </w:rPr>
        <w:t xml:space="preserve">Qué es.</w:t>
      </w:r>
      <w:r>
        <w:rPr>
          <w:rFonts w:ascii="Arial" w:hAnsi="Arial" w:eastAsia="Arial" w:cs="Arial"/>
        </w:rPr>
        <w:t xml:space="preserve"> Si se ordenan los sobrevivientes por días de estadía, el percentil 99 es el valor que deja al 99 % por debajo. Con 2019–2022 ese valor es </w:t>
      </w:r>
      <w:r>
        <w:rPr>
          <w:rFonts w:ascii="Arial" w:hAnsi="Arial" w:eastAsia="Arial" w:cs="Arial"/>
          <w:b/>
          <w:bCs/>
        </w:rPr>
        <w:t xml:space="preserve">53 días</w:t>
      </w:r>
      <w:r>
        <w:rPr>
          <w:rFonts w:ascii="Arial" w:hAnsi="Arial" w:eastAsia="Arial" w:cs="Arial"/>
        </w:rPr>
        <w:t xml:space="preserve">. La regla es: ninguna estadía cuenta por más de 53 días, </w:t>
      </w:r>
      <w:r>
        <w:rPr>
          <w:rFonts w:ascii="Arial" w:hAnsi="Arial" w:eastAsia="Arial" w:cs="Arial"/>
          <w:b/>
          <w:bCs/>
        </w:rPr>
        <w:t xml:space="preserve">ni en los días observados ni en los esperados</w:t>
      </w:r>
      <w:r>
        <w:rPr>
          <w:rFonts w:ascii="Arial" w:hAnsi="Arial" w:eastAsia="Arial" w:cs="Arial"/>
        </w:rPr>
        <w:t xml:space="preserve">. Nadie sale de la cohorte; solo se recorta el exceso.</w:t>
      </w:r>
    </w:p>
    <w:p>
      <w:pPr>
        <w:pBdr/>
        <w:spacing w:before="0" w:after="130" w:line="285" w:lineRule="auto"/>
        <w:ind/>
        <w:rPr/>
      </w:pPr>
      <w:r>
        <w:rPr>
          <w:rFonts w:ascii="Arial" w:hAnsi="Arial" w:eastAsia="Arial" w:cs="Arial"/>
          <w:b/>
          <w:bCs/>
        </w:rPr>
        <w:t xml:space="preserve">Por qué hace falta.</w:t>
      </w:r>
      <w:r>
        <w:rPr>
          <w:rFonts w:ascii="Arial" w:hAnsi="Arial" w:eastAsia="Arial" w:cs="Arial"/>
        </w:rPr>
        <w:t xml:space="preserve"> Hay estadías de hasta 3.146 días (casi 8,6 años), que pesan como 400 hospitalizaciones normales (la media es 7,6 días). Los egresos de más de 53 días son el 0,9 % de los pacientes, pero el 10,7 % de todos los días hospitalizados. Pocos casos así pueden mover el O/E de un hospital y desestabilizar el modelo.</w:t>
      </w:r>
    </w:p>
    <w:p>
      <w:pPr>
        <w:pStyle w:val="896"/>
        <w:numPr>
          <w:ilvl w:val="0"/>
          <w:numId w:val="2"/>
        </w:numPr>
        <w:pBdr/>
        <w:spacing w:after="70" w:line="280" w:lineRule="auto"/>
        <w:ind/>
        <w:rPr/>
      </w:pPr>
      <w:r>
        <w:rPr>
          <w:rFonts w:ascii="Arial" w:hAnsi="Arial" w:eastAsia="Arial" w:cs="Arial"/>
          <w:b/>
          <w:bCs/>
        </w:rPr>
        <w:t xml:space="preserve">Efecto en el modelo:</w:t>
      </w:r>
      <w:r>
        <w:rPr>
          <w:rFonts w:ascii="Arial" w:hAnsi="Arial" w:eastAsia="Arial" w:cs="Arial"/>
        </w:rPr>
        <w:t xml:space="preserve"> la varianza de la estadía baja de 154,7 a 82,0 (casi a la mitad) y la media de 7,59 a 7,29 días.</w:t>
      </w:r>
    </w:p>
    <w:p>
      <w:pPr>
        <w:pStyle w:val="896"/>
        <w:numPr>
          <w:ilvl w:val="0"/>
          <w:numId w:val="2"/>
        </w:numPr>
        <w:pBdr/>
        <w:spacing w:after="70" w:line="280" w:lineRule="auto"/>
        <w:ind/>
        <w:rPr/>
      </w:pPr>
      <w:r>
        <w:rPr>
          <w:rFonts w:ascii="Arial" w:hAnsi="Arial" w:eastAsia="Arial" w:cs="Arial"/>
          <w:b/>
          <w:bCs/>
        </w:rPr>
        <w:t xml:space="preserve">Efecto en los hospitales:</w:t>
      </w:r>
      <w:r>
        <w:rPr>
          <w:rFonts w:ascii="Arial" w:hAnsi="Arial" w:eastAsia="Arial" w:cs="Arial"/>
        </w:rPr>
        <w:t xml:space="preserve"> casi nulo. Con un modelo de referencia, el O/E de estadía de los 65 hospitales cambia en promedio 0,017 y como máximo 0,042; ningún hospital cambia en más de 0,05 y el orden se conserva (correlación 0,995).</w:t>
      </w:r>
    </w:p>
    <w:p>
      <w:pPr>
        <w:pStyle w:val="896"/>
        <w:numPr>
          <w:ilvl w:val="0"/>
          <w:numId w:val="2"/>
        </w:numPr>
        <w:pBdr/>
        <w:spacing w:after="70" w:line="280" w:lineRule="auto"/>
        <w:ind/>
        <w:rPr/>
      </w:pPr>
      <w:r>
        <w:rPr>
          <w:rFonts w:ascii="Arial" w:hAnsi="Arial" w:eastAsia="Arial" w:cs="Arial"/>
          <w:b/>
          <w:bCs/>
        </w:rPr>
        <w:t xml:space="preserve">Lo que se oculta:</w:t>
      </w:r>
      <w:r>
        <w:rPr>
          <w:rFonts w:ascii="Arial" w:hAnsi="Arial" w:eastAsia="Arial" w:cs="Arial"/>
        </w:rPr>
        <w:t xml:space="preserve"> el 10,7 % de los días. Si un hospital tiene muchas estadías muy largas, ese exceso no se verá. La cola va de 0,03 % a 2,2 % de los egresos según el hospital; predominan las enfermedades respiratorias (32 % de la cola) y la mayor proporción está en salud mental (5,7 % de sus egresos).</w:t>
      </w:r>
    </w:p>
    <w:p>
      <w:pPr>
        <w:pStyle w:val="896"/>
        <w:numPr>
          <w:ilvl w:val="0"/>
          <w:numId w:val="2"/>
        </w:numPr>
        <w:pBdr/>
        <w:spacing w:after="70" w:line="280" w:lineRule="auto"/>
        <w:ind/>
        <w:rPr/>
      </w:pPr>
      <w:r>
        <w:rPr>
          <w:rFonts w:ascii="Arial" w:hAnsi="Arial" w:eastAsia="Arial" w:cs="Arial"/>
          <w:b/>
          <w:bCs/>
        </w:rPr>
        <w:t xml:space="preserve">No toca la mortalidad:</w:t>
      </w:r>
      <w:r>
        <w:rPr>
          <w:rFonts w:ascii="Arial" w:hAnsi="Arial" w:eastAsia="Arial" w:cs="Arial"/>
        </w:rPr>
        <w:t xml:space="preserve"> los pacientes de estadía larga siguen en el modelo de mortalidad.</w:t>
      </w:r>
    </w:p>
    <w:p>
      <w:pPr>
        <w:pStyle w:val="896"/>
        <w:numPr>
          <w:ilvl w:val="0"/>
          <w:numId w:val="2"/>
        </w:numPr>
        <w:pBdr/>
        <w:spacing w:after="70" w:line="280" w:lineRule="auto"/>
        <w:ind/>
        <w:rPr/>
      </w:pPr>
      <w:r>
        <w:rPr>
          <w:rFonts w:ascii="Arial" w:hAnsi="Arial" w:eastAsia="Arial" w:cs="Arial"/>
          <w:b/>
          <w:bCs/>
        </w:rPr>
        <w:t xml:space="preserve">Por qué 99 y no otro percentil:</w:t>
      </w:r>
      <w:r>
        <w:rPr>
          <w:rFonts w:ascii="Arial" w:hAnsi="Arial" w:eastAsia="Arial" w:cs="Arial"/>
        </w:rPr>
        <w:t xml:space="preserve"> el protocolo exige no afectar a más del 1 % de los sobrevivientes. El percentil 99 (53 días; 0,96 %) es el corte más protector que cumple esa regla; el 99,5 (68 días) afecta al 0,50 % y el 99,9 (121 días) al 0,10 %, y dejan pasar más extremos.</w:t>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Cierre. </w:t>
      </w:r>
      <w:r>
        <w:rPr>
          <w:rFonts w:ascii="Arial" w:hAnsi="Arial" w:eastAsia="Arial" w:cs="Arial"/>
        </w:rPr>
        <w:t xml:space="preserve">Se adopta el percentil 99 (53 días), calculado una sola vez con 2019–2022 (no se recalcula con 2023 ni con 2024) y aplicado igual a observados y esperados. El informe final debe declarar que el indicador de estadía no mide las estadías extremas.</w:t>
      </w:r>
    </w:p>
    <w:p>
      <w:pPr>
        <w:pStyle w:val="904"/>
        <w:keepNext w:val="true"/>
        <w:pBdr/>
        <w:spacing/>
        <w:ind/>
        <w:rPr/>
      </w:pPr>
      <w:r>
        <w:rPr>
          <w:rFonts w:ascii="Arial" w:hAnsi="Arial" w:eastAsia="Arial" w:cs="Arial"/>
        </w:rPr>
        <w:t xml:space="preserve">11. Definición del indicador O/E</w:t>
      </w:r>
    </w:p>
    <w:p>
      <w:pPr>
        <w:pStyle w:val="896"/>
        <w:numPr>
          <w:ilvl w:val="0"/>
          <w:numId w:val="2"/>
        </w:numPr>
        <w:pBdr/>
        <w:spacing w:after="70" w:line="280" w:lineRule="auto"/>
        <w:ind/>
        <w:rPr/>
      </w:pPr>
      <w:r>
        <w:rPr>
          <w:rFonts w:ascii="Arial" w:hAnsi="Arial" w:eastAsia="Arial" w:cs="Arial"/>
          <w:b/>
          <w:bCs/>
        </w:rPr>
        <w:t xml:space="preserve">O/E de mortalidad</w:t>
      </w:r>
      <w:r>
        <w:rPr>
          <w:rFonts w:ascii="Arial" w:hAnsi="Arial" w:eastAsia="Arial" w:cs="Arial"/>
        </w:rPr>
        <w:t xml:space="preserve"> de un hospital: muertes observadas en 2024 divididas por la suma de las probabilidades de muerte que el modelo predijo para sus pacientes.</w:t>
      </w:r>
      <w:r/>
    </w:p>
    <w:p>
      <w:pPr>
        <w:pStyle w:val="896"/>
        <w:numPr>
          <w:ilvl w:val="0"/>
          <w:numId w:val="2"/>
        </w:numPr>
        <w:pBdr/>
        <w:spacing w:after="70" w:line="280" w:lineRule="auto"/>
        <w:ind/>
        <w:rPr/>
      </w:pPr>
      <w:r>
        <w:rPr>
          <w:rFonts w:ascii="Arial" w:hAnsi="Arial" w:eastAsia="Arial" w:cs="Arial"/>
          <w:b/>
          <w:bCs/>
        </w:rPr>
        <w:t xml:space="preserve">O/E de estadía</w:t>
      </w:r>
      <w:r>
        <w:rPr>
          <w:rFonts w:ascii="Arial" w:hAnsi="Arial" w:eastAsia="Arial" w:cs="Arial"/>
        </w:rPr>
        <w:t xml:space="preserve"> de un hospital: días de estadía observados divididos por la suma de los días esperados, solo con sobrevivientes.</w:t>
      </w:r>
      <w:r/>
    </w:p>
    <w:p>
      <w:pPr>
        <w:pBdr/>
        <w:spacing w:after="130" w:line="285" w:lineRule="auto"/>
        <w:ind/>
        <w:rPr/>
      </w:pPr>
      <w:r>
        <w:rPr>
          <w:rFonts w:ascii="Arial" w:hAnsi="Arial" w:eastAsia="Arial" w:cs="Arial"/>
        </w:rPr>
        <w:t xml:space="preserve">Un valor de 1,0 significa que el hospital está dentro de lo esperado. Sobre 1,0 significa más eventos de los esperados y bajo 1,0 significa menos. Se calcula por hospital para el año de prueba, 2024.</w:t>
      </w:r>
      <w:r/>
    </w:p>
    <w:p>
      <w:pPr>
        <w:pStyle w:val="905"/>
        <w:keepNext w:val="true"/>
        <w:pBdr/>
        <w:spacing/>
        <w:ind/>
        <w:rPr/>
      </w:pPr>
      <w:r>
        <w:rPr>
          <w:rFonts w:ascii="Arial" w:hAnsi="Arial" w:eastAsia="Arial" w:cs="Arial"/>
        </w:rPr>
        <w:t xml:space="preserve">11.</w:t>
      </w:r>
      <w:r>
        <w:rPr>
          <w:rFonts w:ascii="Arial" w:hAnsi="Arial" w:eastAsia="Arial" w:cs="Arial"/>
          <w:lang w:val="es-ES"/>
        </w:rPr>
        <w:t xml:space="preserve">1</w:t>
      </w:r>
      <w:r>
        <w:rPr>
          <w:rFonts w:ascii="Arial" w:hAnsi="Arial" w:eastAsia="Arial" w:cs="Arial"/>
        </w:rPr>
        <w:t xml:space="preserve"> Gráficos de embudo y corrección de sobredispersión</w:t>
      </w:r>
      <w:r/>
    </w:p>
    <w:p>
      <w:pPr>
        <w:pBdr/>
        <w:spacing w:after="130" w:line="285" w:lineRule="auto"/>
        <w:ind/>
        <w:rPr/>
      </w:pPr>
      <w:r>
        <w:rPr>
          <w:rFonts w:ascii="Arial" w:hAnsi="Arial" w:eastAsia="Arial" w:cs="Arial"/>
        </w:rPr>
        <w:t xml:space="preserve">Cada hospital se dibuja como un punto según su volumen, junto con límites de control al 95 % y al 99,8 %. Los hospitales dentro de los límites tienen variaciones que el azar puede explicar.</w:t>
      </w:r>
      <w:r/>
    </w:p>
    <w:p>
      <w:pPr>
        <w:pBdr/>
        <w:spacing w:after="130" w:line="285" w:lineRule="auto"/>
        <w:ind/>
        <w:rPr/>
      </w:pPr>
      <w:r>
        <w:rPr>
          <w:rFonts w:ascii="Arial" w:hAnsi="Arial" w:eastAsia="Arial" w:cs="Arial"/>
        </w:rPr>
        <w:t xml:space="preserve">Con millones de egresos, si asumimos que toda la variación entre hospitales es azar de muestreo, casi todos saldrían marcados como atípicos. Por eso se aplica la corrección de Spiegelhalter (2005): estima cuánta variación extra real hay entre hospitales y ensancha los límites en esa medida. Así solo se destacan los hospitales con variaciones realmente inusuales.</w:t>
      </w:r>
      <w:r/>
    </w:p>
    <w:p>
      <w:pPr>
        <w:pStyle w:val="905"/>
        <w:keepNext w:val="true"/>
        <w:pBdr/>
        <w:spacing/>
        <w:ind/>
        <w:rPr/>
      </w:pPr>
      <w:r>
        <w:rPr>
          <w:rFonts w:ascii="Arial" w:hAnsi="Arial" w:eastAsia="Arial" w:cs="Arial"/>
        </w:rPr>
        <w:t xml:space="preserve">11.</w:t>
      </w:r>
      <w:r>
        <w:rPr>
          <w:rFonts w:ascii="Arial" w:hAnsi="Arial" w:eastAsia="Arial" w:cs="Arial"/>
          <w:lang w:val="es-ES"/>
        </w:rPr>
        <w:t xml:space="preserve">2</w:t>
      </w:r>
      <w:r>
        <w:rPr>
          <w:rFonts w:ascii="Arial" w:hAnsi="Arial" w:eastAsia="Arial" w:cs="Arial"/>
        </w:rPr>
        <w:t xml:space="preserve"> Volumen mínimo por hospital</w:t>
      </w:r>
      <w:r/>
    </w:p>
    <w:p>
      <w:pPr>
        <w:pBdr/>
        <w:spacing w:after="130" w:line="285" w:lineRule="auto"/>
        <w:ind/>
        <w:rPr/>
      </w:pPr>
      <w:r>
        <w:rPr>
          <w:rFonts w:ascii="Arial" w:hAnsi="Arial" w:eastAsia="Arial" w:cs="Arial"/>
        </w:rPr>
        <w:t xml:space="preserve">El umbral se fija antes de mirar los resultados, para no elegirlo a conveniencia. Propuesta: un hospital entra al indicador de mortalidad si en 2024 tiene al menos 500 egresos analizables y al menos 10 muertes esperadas. Además, no se publica ninguna cifra basada en menos de 10 casos, para evitar que se pueda reidentificar a un paciente. Con los datos de 2023, 65 de los 68 hospitales cumplen ambos requisitos; los tres que no cumplen son pediátricos. Ambos números quedan adoptados (500 egresos; 10 muertes esperadas), medidos con muertes esperadas en todas las fases.</w:t>
      </w:r>
    </w:p>
    <w:p>
      <w:pPr>
        <w:pStyle w:val="905"/>
        <w:keepNext w:val="true"/>
        <w:pBdr/>
        <w:spacing/>
        <w:ind/>
        <w:rPr/>
      </w:pPr>
      <w:r>
        <w:rPr>
          <w:rFonts w:ascii="Arial" w:hAnsi="Arial" w:eastAsia="Arial" w:cs="Arial"/>
        </w:rPr>
        <w:t xml:space="preserve">11.</w:t>
      </w:r>
      <w:r>
        <w:rPr>
          <w:rFonts w:ascii="Arial" w:hAnsi="Arial" w:eastAsia="Arial" w:cs="Arial"/>
          <w:lang w:val="es-ES"/>
        </w:rPr>
        <w:t xml:space="preserve">3</w:t>
      </w:r>
      <w:r>
        <w:rPr>
          <w:rFonts w:ascii="Arial" w:hAnsi="Arial" w:eastAsia="Arial" w:cs="Arial"/>
        </w:rPr>
        <w:t xml:space="preserve"> Índice de exhaustividad de codificación</w:t>
      </w:r>
      <w:r/>
    </w:p>
    <w:p>
      <w:pPr>
        <w:pBdr/>
        <w:spacing w:after="130" w:line="285" w:lineRule="auto"/>
        <w:ind/>
        <w:rPr/>
      </w:pPr>
      <w:r>
        <w:rPr>
          <w:rFonts w:ascii="Arial" w:hAnsi="Arial" w:eastAsia="Arial" w:cs="Arial"/>
        </w:rPr>
        <w:t xml:space="preserve">Mide qué tan completa es la documentación de enfermedades en cada hospital. Para cada paciente se compara cuántas enfermedades se registraron con cuántas se esperarían según su diagnóstico principal y su edad, y después se resume por hospital. Los códigos de factores sociales y de embarazo normal no cuentan. Sirve para dos cosas: mostrar qué tan completa es la codificación y vigilar el upcoding, que es exagerar la gravedad de los pacientes. Cuantas más enfermedades se registran, más riesgo esperado hay y más baja artificialmente el O/E. Se muestra junto al O/E y no entra al modelo. El modelo simple que da el número esperado se construyó en la Fase 4 (modelo de exhaustividad).</w:t>
      </w:r>
      <w:r/>
    </w:p>
    <w:p>
      <w:pPr>
        <w:pStyle w:val="905"/>
        <w:keepNext w:val="true"/>
        <w:pBdr/>
        <w:spacing/>
        <w:ind/>
        <w:rPr/>
      </w:pPr>
      <w:r>
        <w:rPr>
          <w:rFonts w:ascii="Arial" w:hAnsi="Arial" w:eastAsia="Arial" w:cs="Arial"/>
        </w:rPr>
        <w:t xml:space="preserve">11.</w:t>
      </w:r>
      <w:r>
        <w:rPr>
          <w:rFonts w:ascii="Arial" w:hAnsi="Arial" w:eastAsia="Arial" w:cs="Arial"/>
          <w:lang w:val="es-ES"/>
        </w:rPr>
        <w:t xml:space="preserve">4</w:t>
      </w:r>
      <w:r>
        <w:rPr>
          <w:rFonts w:ascii="Arial" w:hAnsi="Arial" w:eastAsia="Arial" w:cs="Arial"/>
        </w:rPr>
        <w:t xml:space="preserve"> Qué no es este indicador</w:t>
      </w:r>
      <w:r/>
    </w:p>
    <w:p>
      <w:pPr>
        <w:pBdr/>
        <w:spacing w:after="130" w:line="285" w:lineRule="auto"/>
        <w:ind/>
        <w:rPr/>
      </w:pPr>
      <w:r>
        <w:rPr>
          <w:rFonts w:ascii="Arial" w:hAnsi="Arial" w:eastAsia="Arial" w:cs="Arial"/>
        </w:rPr>
        <w:t xml:space="preserve">Es una señal estadística de desempeño ajustada por riesgo. No es una medida directa de la calidad asistencial, no prueba causalidad y no reemplaza las auditorías clínicas. Tampoco se presenta como ranking.</w:t>
      </w:r>
      <w:r/>
    </w:p>
    <w:p>
      <w:pPr>
        <w:pStyle w:val="904"/>
        <w:keepNext w:val="true"/>
        <w:pBdr/>
        <w:spacing/>
        <w:ind/>
        <w:rPr/>
      </w:pPr>
      <w:r>
        <w:rPr>
          <w:rFonts w:ascii="Arial" w:hAnsi="Arial" w:eastAsia="Arial" w:cs="Arial"/>
        </w:rPr>
        <w:t xml:space="preserve">12. Criterios de aceptación del modelo</w:t>
      </w:r>
      <w:r/>
    </w:p>
    <w:p>
      <w:pPr>
        <w:pBdr/>
        <w:spacing w:after="130" w:line="285" w:lineRule="auto"/>
        <w:ind/>
        <w:rPr/>
      </w:pPr>
      <w:r>
        <w:rPr>
          <w:rFonts w:ascii="Arial" w:hAnsi="Arial" w:eastAsia="Arial" w:cs="Arial"/>
        </w:rPr>
        <w:t xml:space="preserve">El modelo se considera válido si cumple lo siguiente sobre 2024, un año que nunca vio durante el entrenamiento. La última columna dice qué hacemos si algo no se cumple, para no improvisar después.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700"/>
        <w:gridCol w:w="2500"/>
        <w:gridCol w:w="2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color w:val="ffffff"/>
                <w:sz w:val="19"/>
                <w:szCs w:val="19"/>
              </w:rPr>
              <w:t xml:space="preserve">Criterio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bCs/>
                <w:color w:val="ffffff"/>
                <w:sz w:val="19"/>
                <w:szCs w:val="19"/>
              </w:rPr>
              <w:t xml:space="preserve">Métrica y umbral</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bCs/>
                <w:color w:val="ffffff"/>
                <w:sz w:val="19"/>
                <w:szCs w:val="19"/>
              </w:rPr>
              <w:t xml:space="preserve">Qué garantiza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bCs/>
                <w:color w:val="ffffff"/>
                <w:sz w:val="19"/>
                <w:szCs w:val="19"/>
              </w:rPr>
              <w:t xml:space="preserve">Si no se cumple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Discriminación de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PR AUC mayor que el de la regresión logística. Se reporta como ganancia relativa sobre la prevalencia de la cohorte final y como diferencia con la logística.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Distingue a quienes mueren de quienes sobreviven. Se usa PR AUC porque la mortalidad es poco frecuente.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El modelo final es la regresión logística.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Error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RMSE menor que el de la regresión lineal y la regresión Poisson.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Los días predichos son más precisos que los de un modelo simple.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El modelo final es la línea base.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Brier Skill Score mayor que cero.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Las probabilidades son realistas y mejores que usar solo la prevalencia.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Se recalibra con 2023. Si sigue sin cumplirse, no se usa el modelo para el indicador y se revisan las variables.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Pendiente de calibración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Entre 0,8 y 1,2.</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La magnitud de las probabilidades es correcta, no solo su orden.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Se recalibra con 2023. Si no alcanza, se reporta la desviación y se analiza el efecto de la pandemia.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O/E global de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Entre 0,95 y 1,05.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El modelo no sobreestima ni subestima las muertes del conjunto.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Mismo tratamiento que la pendiente de calibración.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O/E global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Entre 0,95 y 1,05. Propuesta nueva, igual a la de mortalidad.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Los días esperados no están sesgados en el conjunto.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Se revisa la regla de estadías largas y el objetivo Poisson o Tweedie.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pBdr/>
              <w:spacing w:after="50" w:line="260" w:lineRule="auto"/>
              <w:ind/>
              <w:rPr/>
            </w:pPr>
            <w:r>
              <w:rPr>
                <w:rFonts w:ascii="Arial" w:hAnsi="Arial" w:eastAsia="Arial" w:cs="Arial"/>
                <w:b/>
                <w:bCs/>
                <w:sz w:val="19"/>
                <w:szCs w:val="19"/>
              </w:rPr>
              <w:t xml:space="preserve">Gráficos de embudo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50" w:line="260" w:lineRule="auto"/>
              <w:ind/>
              <w:rPr/>
            </w:pPr>
            <w:r>
              <w:rPr>
                <w:rFonts w:ascii="Arial" w:hAnsi="Arial" w:eastAsia="Arial" w:cs="Arial"/>
                <w:b w:val="0"/>
                <w:bCs w:val="0"/>
                <w:sz w:val="19"/>
                <w:szCs w:val="19"/>
              </w:rPr>
              <w:t xml:space="preserve">Límites al 95 % y 99,8 % con corrección de sobredispersión.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50" w:line="260" w:lineRule="auto"/>
              <w:ind/>
              <w:rPr/>
            </w:pPr>
            <w:r>
              <w:rPr>
                <w:rFonts w:ascii="Arial" w:hAnsi="Arial" w:eastAsia="Arial" w:cs="Arial"/>
                <w:b w:val="0"/>
                <w:bCs w:val="0"/>
                <w:sz w:val="19"/>
                <w:szCs w:val="19"/>
              </w:rPr>
              <w:t xml:space="preserve">Separa variaciones reales de las que explica el azar.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pBdr/>
              <w:spacing w:after="50" w:line="260" w:lineRule="auto"/>
              <w:ind/>
              <w:rPr/>
            </w:pPr>
            <w:r>
              <w:rPr>
                <w:rFonts w:ascii="Arial" w:hAnsi="Arial" w:eastAsia="Arial" w:cs="Arial"/>
                <w:b w:val="0"/>
                <w:bCs w:val="0"/>
                <w:sz w:val="19"/>
                <w:szCs w:val="19"/>
              </w:rPr>
              <w:t xml:space="preserve">No es pasa o no pasa. Si casi todos los hospitales quedan marcados, se revisa la corrección y la calibración.</w:t>
            </w:r>
            <w:r/>
          </w:p>
        </w:tc>
      </w:tr>
    </w:tbl>
    <w:p>
      <w:pPr>
        <w:pStyle w:val="904"/>
        <w:keepNext w:val="true"/>
        <w:pBdr/>
        <w:spacing/>
        <w:ind/>
        <w:rPr/>
      </w:pPr>
      <w:r>
        <w:rPr>
          <w:rFonts w:ascii="Arial" w:hAnsi="Arial" w:eastAsia="Arial" w:cs="Arial"/>
        </w:rPr>
        <w:t xml:space="preserve">13. Impacto ético y social</w:t>
      </w:r>
      <w:r/>
    </w:p>
    <w:p>
      <w:pPr>
        <w:pBdr/>
        <w:spacing w:after="130" w:line="285" w:lineRule="auto"/>
        <w:ind/>
        <w:rPr/>
      </w:pPr>
      <w:r>
        <w:rPr>
          <w:rFonts w:ascii="Arial" w:hAnsi="Arial" w:eastAsia="Arial" w:cs="Arial"/>
        </w:rPr>
        <w:t xml:space="preserve">Publicar indicadores de hospitales tiene riesgos conocidos (Fung et al., 2008; Shahian et al., 2010). Los reconocemos y los mitigamos desde el diseño.</w:t>
      </w:r>
      <w:r/>
    </w:p>
    <w:p>
      <w:pPr>
        <w:pStyle w:val="896"/>
        <w:numPr>
          <w:ilvl w:val="0"/>
          <w:numId w:val="2"/>
        </w:numPr>
        <w:pBdr/>
        <w:spacing w:after="70" w:line="280" w:lineRule="auto"/>
        <w:ind/>
        <w:rPr/>
      </w:pPr>
      <w:r>
        <w:rPr>
          <w:rFonts w:ascii="Arial" w:hAnsi="Arial" w:eastAsia="Arial" w:cs="Arial"/>
          <w:b/>
          <w:bCs/>
        </w:rPr>
        <w:t xml:space="preserve">Upcoding.</w:t>
      </w:r>
      <w:r>
        <w:rPr>
          <w:rFonts w:ascii="Arial" w:hAnsi="Arial" w:eastAsia="Arial" w:cs="Arial"/>
        </w:rPr>
        <w:t xml:space="preserve"> Si registrar más enfermedades baja el O/E, los hospitales podrían exagerar la gravedad. La mitigación es el índice de exhaustividad, que lo hace visible.</w:t>
      </w:r>
      <w:r/>
    </w:p>
    <w:p>
      <w:pPr>
        <w:pStyle w:val="896"/>
        <w:numPr>
          <w:ilvl w:val="0"/>
          <w:numId w:val="2"/>
        </w:numPr>
        <w:pBdr/>
        <w:spacing w:after="70" w:line="280" w:lineRule="auto"/>
        <w:ind/>
        <w:rPr/>
      </w:pPr>
      <w:r>
        <w:rPr>
          <w:rFonts w:ascii="Arial" w:hAnsi="Arial" w:eastAsia="Arial" w:cs="Arial"/>
          <w:b/>
          <w:bCs/>
        </w:rPr>
        <w:t xml:space="preserve">Selección de pacientes.</w:t>
      </w:r>
      <w:r>
        <w:rPr>
          <w:rFonts w:ascii="Arial" w:hAnsi="Arial" w:eastAsia="Arial" w:cs="Arial"/>
        </w:rPr>
        <w:t xml:space="preserve"> Publicar resultados puede llevar a evitar a los pacientes más graves. Por eso no hay ranking lineal. Se usan gráficos de embudo, que solo destacan a quienes se salen de lo esperado.</w:t>
      </w:r>
      <w:r/>
    </w:p>
    <w:p>
      <w:pPr>
        <w:pStyle w:val="896"/>
        <w:numPr>
          <w:ilvl w:val="0"/>
          <w:numId w:val="2"/>
        </w:numPr>
        <w:pBdr/>
        <w:spacing w:after="70" w:line="280" w:lineRule="auto"/>
        <w:ind/>
        <w:rPr/>
      </w:pPr>
      <w:r>
        <w:rPr>
          <w:rFonts w:ascii="Arial" w:hAnsi="Arial" w:eastAsia="Arial" w:cs="Arial"/>
          <w:b/>
          <w:bCs/>
        </w:rPr>
        <w:t xml:space="preserve">Alta anticipada.</w:t>
      </w:r>
      <w:r>
        <w:rPr>
          <w:rFonts w:ascii="Arial" w:hAnsi="Arial" w:eastAsia="Arial" w:cs="Arial"/>
        </w:rPr>
        <w:t xml:space="preserve"> Un hospital puede bajar su mortalidad dando de alta o trasladando a pacientes terminales. Con datos administrativos esto no se corrige del todo. Lo declaramos y mostramos la tasa de traslados.</w:t>
      </w:r>
      <w:r/>
    </w:p>
    <w:p>
      <w:pPr>
        <w:pStyle w:val="896"/>
        <w:numPr>
          <w:ilvl w:val="0"/>
          <w:numId w:val="2"/>
        </w:numPr>
        <w:pBdr/>
        <w:spacing w:after="70" w:line="280" w:lineRule="auto"/>
        <w:ind/>
        <w:rPr/>
      </w:pPr>
      <w:r>
        <w:rPr>
          <w:rFonts w:ascii="Arial" w:hAnsi="Arial" w:eastAsia="Arial" w:cs="Arial"/>
          <w:b/>
          <w:bCs/>
        </w:rPr>
        <w:t xml:space="preserve">Diferencias de recursos.</w:t>
      </w:r>
      <w:r>
        <w:rPr>
          <w:rFonts w:ascii="Arial" w:hAnsi="Arial" w:eastAsia="Arial" w:cs="Arial"/>
        </w:rPr>
        <w:t xml:space="preserve"> El modelo mide el riesgo clínico del paciente. No considera infraestructura, presupuesto ni dotación de personal.</w:t>
      </w:r>
      <w:r/>
    </w:p>
    <w:p>
      <w:pPr>
        <w:pStyle w:val="905"/>
        <w:keepNext w:val="true"/>
        <w:pBdr/>
        <w:spacing/>
        <w:ind/>
        <w:rPr/>
      </w:pPr>
      <w:r>
        <w:rPr>
          <w:rFonts w:ascii="Arial" w:hAnsi="Arial" w:eastAsia="Arial" w:cs="Arial"/>
        </w:rPr>
        <w:t xml:space="preserve">13.1 El módulo para la ciudadanía</w:t>
      </w:r>
      <w:r/>
    </w:p>
    <w:p>
      <w:pPr>
        <w:pBdr/>
        <w:spacing w:after="130" w:line="285" w:lineRule="auto"/>
        <w:ind/>
        <w:rPr/>
      </w:pPr>
      <w:r>
        <w:rPr>
          <w:rFonts w:ascii="Arial" w:hAnsi="Arial" w:eastAsia="Arial" w:cs="Arial"/>
        </w:rPr>
        <w:t xml:space="preserve">En el diseño original, la demo cruzaba el perfil que ingresaba el usuario con el desempeño de cada hospital. Eso la convertía en un recomendador de hospitales. Lo eliminamos por dos razones: en el sistema público el paciente no elige hospital, y el desempeño de un hospital depende de recursos del territorio que el ciudadano no puede cambiar.</w:t>
      </w:r>
      <w:r/>
    </w:p>
    <w:p>
      <w:pPr>
        <w:pBdr/>
        <w:spacing w:after="130" w:line="285" w:lineRule="auto"/>
        <w:ind/>
        <w:rPr/>
      </w:pPr>
      <w:r>
        <w:rPr>
          <w:rFonts w:ascii="Arial" w:hAnsi="Arial" w:eastAsia="Arial" w:cs="Arial"/>
        </w:rPr>
        <w:t xml:space="preserve">Lo que queda es una demo pedagógica: el usuario ingresa un perfil clínico sintético, el sistema calcula un riesgo y muestra cuánto aportó cada variable con SHAP (Lundberg et al., 2020). SHAP es una explicación matemática del modelo, no una relación causal biológica. La demo no muestra métricas de hospitales.</w:t>
      </w:r>
      <w:r/>
    </w:p>
    <w:p>
      <w:pPr>
        <w:pBdr/>
        <w:spacing w:after="130" w:line="285" w:lineRule="auto"/>
        <w:ind/>
        <w:rPr/>
      </w:pPr>
      <w:r>
        <w:rPr>
          <w:rFonts w:ascii="Arial" w:hAnsi="Arial" w:eastAsia="Arial" w:cs="Arial"/>
          <w:b/>
          <w:bCs/>
        </w:rPr>
        <w:t xml:space="preserve">Decisión del proyecto: el prototipo muestra solo códigos de establecimiento, sin nombres.</w:t>
      </w:r>
      <w:r>
        <w:rPr>
          <w:rFonts w:ascii="Arial" w:hAnsi="Arial" w:eastAsia="Arial" w:cs="Arial"/>
        </w:rPr>
        <w:t xml:space="preserve"/>
      </w:r>
      <w:r/>
    </w:p>
    <w:p>
      <w:pPr>
        <w:pStyle w:val="904"/>
        <w:keepNext w:val="true"/>
        <w:pBdr/>
        <w:spacing/>
        <w:ind/>
        <w:rPr/>
      </w:pPr>
      <w:r>
        <w:rPr>
          <w:rFonts w:ascii="Arial" w:hAnsi="Arial" w:eastAsia="Arial" w:cs="Arial"/>
        </w:rPr>
        <w:t xml:space="preserve">14. Privacidad y marco legal</w:t>
      </w:r>
      <w:r/>
    </w:p>
    <w:p>
      <w:pPr>
        <w:pStyle w:val="905"/>
        <w:keepNext w:val="true"/>
        <w:pBdr/>
        <w:spacing/>
        <w:ind/>
        <w:rPr/>
      </w:pPr>
      <w:r>
        <w:rPr>
          <w:rFonts w:ascii="Arial" w:hAnsi="Arial" w:eastAsia="Arial" w:cs="Arial"/>
        </w:rPr>
        <w:t xml:space="preserve">14.1 Qué traen los datos</w:t>
      </w:r>
      <w:r/>
    </w:p>
    <w:p>
      <w:pPr>
        <w:pBdr/>
        <w:spacing w:after="130" w:line="285" w:lineRule="auto"/>
        <w:ind/>
        <w:rPr/>
      </w:pPr>
      <w:r>
        <w:rPr>
          <w:rFonts w:ascii="Arial" w:hAnsi="Arial" w:eastAsia="Arial" w:cs="Arial"/>
        </w:rPr>
        <w:t xml:space="preserve">Los datos no traen nombre, RUT ni contacto. Pero sí traen fechas exactas de nacimiento, ingreso y alta. Combinadas con el hospital y el diagnóstico, esas fechas pueden permitir reidentificar a una persona. Por eso no basta con decir que los datos son anónimos y tomamos medidas adicionales.</w:t>
      </w:r>
      <w:r/>
    </w:p>
    <w:p>
      <w:pPr>
        <w:pStyle w:val="905"/>
        <w:keepNext w:val="true"/>
        <w:pBdr/>
        <w:spacing/>
        <w:ind/>
        <w:rPr/>
      </w:pPr>
      <w:r>
        <w:rPr>
          <w:rFonts w:ascii="Arial" w:hAnsi="Arial" w:eastAsia="Arial" w:cs="Arial"/>
        </w:rPr>
        <w:t xml:space="preserve">14.2 Medidas</w:t>
      </w:r>
      <w:r/>
    </w:p>
    <w:p>
      <w:pPr>
        <w:pStyle w:val="896"/>
        <w:numPr>
          <w:ilvl w:val="0"/>
          <w:numId w:val="2"/>
        </w:numPr>
        <w:pBdr/>
        <w:spacing w:after="70" w:line="280" w:lineRule="auto"/>
        <w:ind/>
        <w:rPr/>
      </w:pPr>
      <w:r>
        <w:rPr>
          <w:rFonts w:ascii="Arial" w:hAnsi="Arial" w:eastAsia="Arial" w:cs="Arial"/>
        </w:rPr>
        <w:t xml:space="preserve">La fecha de nacimiento se borra en la Capa Oro, después de calcular la edad.</w:t>
      </w:r>
      <w:r/>
    </w:p>
    <w:p>
      <w:pPr>
        <w:pStyle w:val="896"/>
        <w:numPr>
          <w:ilvl w:val="0"/>
          <w:numId w:val="2"/>
        </w:numPr>
        <w:pBdr/>
        <w:spacing w:after="70" w:line="280" w:lineRule="auto"/>
        <w:ind/>
        <w:rPr/>
      </w:pPr>
      <w:r>
        <w:rPr>
          <w:rFonts w:ascii="Arial" w:hAnsi="Arial" w:eastAsia="Arial" w:cs="Arial"/>
        </w:rPr>
        <w:t xml:space="preserve">La Capa Cruda queda con acceso restringido y fuera de GitHub.</w:t>
      </w:r>
      <w:r/>
    </w:p>
    <w:p>
      <w:pPr>
        <w:pStyle w:val="896"/>
        <w:numPr>
          <w:ilvl w:val="0"/>
          <w:numId w:val="2"/>
        </w:numPr>
        <w:pBdr/>
        <w:spacing w:after="70" w:line="280" w:lineRule="auto"/>
        <w:ind/>
        <w:rPr/>
      </w:pPr>
      <w:r>
        <w:rPr>
          <w:rFonts w:ascii="Arial" w:hAnsi="Arial" w:eastAsia="Arial" w:cs="Arial"/>
        </w:rPr>
        <w:t xml:space="preserve">PostgreSQL y la plataforma web no guardan registros individuales.</w:t>
      </w:r>
      <w:r/>
    </w:p>
    <w:p>
      <w:pPr>
        <w:pStyle w:val="896"/>
        <w:numPr>
          <w:ilvl w:val="0"/>
          <w:numId w:val="2"/>
        </w:numPr>
        <w:pBdr/>
        <w:spacing w:after="70" w:line="280" w:lineRule="auto"/>
        <w:ind/>
        <w:rPr/>
      </w:pPr>
      <w:r>
        <w:rPr>
          <w:rFonts w:ascii="Arial" w:hAnsi="Arial" w:eastAsia="Arial" w:cs="Arial"/>
        </w:rPr>
        <w:t xml:space="preserve">La demo no guarda el perfil que ingresa el usuario, ni en la base ni en los registros del servidor.</w:t>
      </w:r>
      <w:r/>
    </w:p>
    <w:p>
      <w:pPr>
        <w:pStyle w:val="896"/>
        <w:numPr>
          <w:ilvl w:val="0"/>
          <w:numId w:val="2"/>
        </w:numPr>
        <w:pBdr/>
        <w:spacing w:after="70" w:line="280" w:lineRule="auto"/>
        <w:ind/>
        <w:rPr/>
      </w:pPr>
      <w:r>
        <w:rPr>
          <w:rFonts w:ascii="Arial" w:hAnsi="Arial" w:eastAsia="Arial" w:cs="Arial"/>
        </w:rPr>
        <w:t xml:space="preserve">No se publica ninguna cifra basada en menos de 10 casos (ver sección 11.2).</w:t>
      </w:r>
      <w:r/>
    </w:p>
    <w:p>
      <w:pPr>
        <w:pStyle w:val="905"/>
        <w:keepNext w:val="true"/>
        <w:pBdr/>
        <w:spacing/>
        <w:ind/>
        <w:rPr/>
      </w:pPr>
      <w:r>
        <w:rPr>
          <w:rFonts w:ascii="Arial" w:hAnsi="Arial" w:eastAsia="Arial" w:cs="Arial"/>
        </w:rPr>
        <w:t xml:space="preserve">14.</w:t>
      </w:r>
      <w:r>
        <w:rPr>
          <w:rFonts w:ascii="Arial" w:hAnsi="Arial" w:eastAsia="Arial" w:cs="Arial"/>
          <w:lang w:val="es-ES"/>
        </w:rPr>
        <w:t xml:space="preserve">3</w:t>
      </w:r>
      <w:r>
        <w:rPr>
          <w:rFonts w:ascii="Arial" w:hAnsi="Arial" w:eastAsia="Arial" w:cs="Arial"/>
        </w:rPr>
        <w:t xml:space="preserve"> Marco legal</w:t>
      </w:r>
      <w:r/>
    </w:p>
    <w:p>
      <w:pPr>
        <w:pBdr/>
        <w:spacing w:after="130" w:line="285" w:lineRule="auto"/>
        <w:ind/>
        <w:rPr/>
      </w:pPr>
      <w:r>
        <w:rPr>
          <w:rFonts w:ascii="Arial" w:hAnsi="Arial" w:eastAsia="Arial" w:cs="Arial"/>
        </w:rPr>
        <w:t xml:space="preserve">La Ley 20.285 de Transparencia da el acceso a los datos (Congreso Nacional de Chile, 2008). Falta revisar tres cosas:</w:t>
      </w:r>
      <w:r/>
    </w:p>
    <w:p>
      <w:pPr>
        <w:pStyle w:val="896"/>
        <w:numPr>
          <w:ilvl w:val="0"/>
          <w:numId w:val="2"/>
        </w:numPr>
        <w:pBdr/>
        <w:spacing w:after="70" w:line="280" w:lineRule="auto"/>
        <w:ind/>
        <w:rPr/>
      </w:pPr>
      <w:r>
        <w:rPr>
          <w:rFonts w:ascii="Arial" w:hAnsi="Arial" w:eastAsia="Arial" w:cs="Arial"/>
        </w:rPr>
        <w:t xml:space="preserve">Las condiciones de uso de la entrega de FONASA, en especial si permiten publicar resultados por hospital.</w:t>
      </w:r>
      <w:r/>
    </w:p>
    <w:p>
      <w:pPr>
        <w:pStyle w:val="896"/>
        <w:numPr>
          <w:ilvl w:val="0"/>
          <w:numId w:val="2"/>
        </w:numPr>
        <w:pBdr/>
        <w:spacing w:after="70" w:line="280" w:lineRule="auto"/>
        <w:ind/>
        <w:rPr/>
      </w:pPr>
      <w:r>
        <w:rPr>
          <w:rFonts w:ascii="Arial" w:hAnsi="Arial" w:eastAsia="Arial" w:cs="Arial"/>
        </w:rPr>
        <w:t xml:space="preserve">La normativa de datos personales aplicable: la Ley 19.628 y la Ley 21.719. Hay que confirmar cuál está vigente.</w:t>
      </w:r>
      <w:r/>
    </w:p>
    <w:p>
      <w:pPr>
        <w:pStyle w:val="896"/>
        <w:numPr>
          <w:ilvl w:val="0"/>
          <w:numId w:val="2"/>
        </w:numPr>
        <w:pBdr/>
        <w:spacing w:after="70" w:line="280" w:lineRule="auto"/>
        <w:ind/>
        <w:rPr/>
      </w:pPr>
      <w:r>
        <w:rPr>
          <w:rFonts w:ascii="Arial" w:hAnsi="Arial" w:eastAsia="Arial" w:cs="Arial"/>
        </w:rPr>
        <w:t xml:space="preserve">Si la universidad exige que un comité de ética revise el proyecto.</w:t>
      </w:r>
      <w:r/>
    </w:p>
    <w:p>
      <w:pPr>
        <w:pStyle w:val="904"/>
        <w:keepNext w:val="true"/>
        <w:pBdr/>
        <w:spacing/>
        <w:ind/>
        <w:rPr/>
      </w:pPr>
      <w:r>
        <w:rPr>
          <w:rFonts w:ascii="Arial" w:hAnsi="Arial" w:eastAsia="Arial" w:cs="Arial"/>
        </w:rPr>
        <w:t xml:space="preserve">15. Recursos y restricciones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Equipo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Procesador Intel Core i5 de 13.ª generación (12 núcleos), 16 GB de RAM, Linux (Ubuntu).</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Tarjeta gráfica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NVIDIA GeForce RTX 2050. No se usa para entrenar: los modelos de árboles sobre datos tabulares aprovechan mejor el procesador.</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Python, Polars, Pandas y NumPy.</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Modelado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scikit-learn, LightGBM, XGBoost y SHAP.</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Backend y base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FastAPI y PostgreSQL.</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Frontend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Vue.js.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Control del entorno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requirements.txt, Docker, Git y GitHub.</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sz w:val="19"/>
                <w:szCs w:val="19"/>
              </w:rPr>
              <w:t xml:space="preserve">Metodología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pBdr/>
              <w:spacing w:after="50" w:line="260" w:lineRule="auto"/>
              <w:ind/>
              <w:rPr/>
            </w:pPr>
            <w:r>
              <w:rPr>
                <w:rFonts w:ascii="Arial" w:hAnsi="Arial" w:eastAsia="Arial" w:cs="Arial"/>
                <w:sz w:val="19"/>
                <w:szCs w:val="19"/>
              </w:rPr>
              <w:t xml:space="preserve">CRISP-DM (Schröer et al., 2021).</w:t>
            </w:r>
            <w:r/>
          </w:p>
        </w:tc>
      </w:tr>
    </w:tbl>
    <w:p>
      <w:pPr>
        <w:pBdr/>
        <w:spacing w:after="120"/>
        <w:ind/>
        <w:rPr/>
      </w:pPr>
      <w:r/>
    </w:p>
    <w:p>
      <w:pPr>
        <w:pBdr/>
        <w:spacing w:after="130" w:line="285" w:lineRule="auto"/>
        <w:ind/>
        <w:rPr/>
      </w:pPr>
      <w:r>
        <w:rPr>
          <w:rFonts w:ascii="Arial" w:hAnsi="Arial" w:eastAsia="Arial" w:cs="Arial"/>
          <w:b/>
          <w:bCs/>
        </w:rPr>
        <w:t xml:space="preserve">Restricciones.</w:t>
      </w:r>
      <w:r/>
    </w:p>
    <w:p>
      <w:pPr>
        <w:pStyle w:val="896"/>
        <w:numPr>
          <w:ilvl w:val="0"/>
          <w:numId w:val="2"/>
        </w:numPr>
        <w:pBdr/>
        <w:spacing w:after="70" w:line="280" w:lineRule="auto"/>
        <w:ind/>
        <w:rPr/>
      </w:pPr>
      <w:r>
        <w:rPr>
          <w:rFonts w:ascii="Arial" w:hAnsi="Arial" w:eastAsia="Arial" w:cs="Arial"/>
          <w:b/>
          <w:bCs/>
        </w:rPr>
        <w:t xml:space="preserve">Memoria.</w:t>
      </w:r>
      <w:r>
        <w:rPr>
          <w:rFonts w:ascii="Arial" w:hAnsi="Arial" w:eastAsia="Arial" w:cs="Arial"/>
        </w:rPr>
        <w:t xml:space="preserve"> 16 GB son pocos para 5,8 millones de registros con muchas variables. Se trabaja con Parquet, tipos de datos compactos, lectura por lotes y solo las columnas necesarias.</w:t>
      </w:r>
      <w:r/>
    </w:p>
    <w:p>
      <w:pPr>
        <w:pStyle w:val="896"/>
        <w:numPr>
          <w:ilvl w:val="0"/>
          <w:numId w:val="2"/>
        </w:numPr>
        <w:pBdr/>
        <w:spacing w:after="70" w:line="280" w:lineRule="auto"/>
        <w:ind/>
        <w:rPr/>
      </w:pPr>
      <w:r>
        <w:rPr>
          <w:rFonts w:ascii="Arial" w:hAnsi="Arial" w:eastAsia="Arial" w:cs="Arial"/>
          <w:b/>
          <w:bCs/>
        </w:rPr>
        <w:t xml:space="preserve">Plazo.</w:t>
      </w:r>
      <w:r>
        <w:rPr>
          <w:rFonts w:ascii="Arial" w:hAnsi="Arial" w:eastAsia="Arial" w:cs="Arial"/>
        </w:rPr>
        <w:t xml:space="preserve"> El cronograma es apretado (sección 18).</w:t>
      </w:r>
      <w:r/>
    </w:p>
    <w:p>
      <w:pPr>
        <w:pStyle w:val="896"/>
        <w:numPr>
          <w:ilvl w:val="0"/>
          <w:numId w:val="2"/>
        </w:numPr>
        <w:pBdr/>
        <w:spacing w:after="70" w:line="280" w:lineRule="auto"/>
        <w:ind/>
        <w:rPr/>
      </w:pPr>
      <w:r>
        <w:rPr>
          <w:rFonts w:ascii="Arial" w:hAnsi="Arial" w:eastAsia="Arial" w:cs="Arial"/>
          <w:b/>
          <w:bCs/>
        </w:rPr>
        <w:t xml:space="preserve">Acceso a expertos.</w:t>
      </w:r>
      <w:r>
        <w:rPr>
          <w:rFonts w:ascii="Arial" w:hAnsi="Arial" w:eastAsia="Arial" w:cs="Arial"/>
        </w:rPr>
        <w:t xml:space="preserve"> Hoy no hay una persona con perfil clínico revisando las decisiones (sección 17).</w:t>
      </w:r>
      <w:r/>
    </w:p>
    <w:p>
      <w:pPr>
        <w:pStyle w:val="896"/>
        <w:numPr>
          <w:ilvl w:val="0"/>
          <w:numId w:val="2"/>
        </w:numPr>
        <w:pBdr/>
        <w:spacing w:after="70" w:line="280" w:lineRule="auto"/>
        <w:ind/>
        <w:rPr/>
      </w:pPr>
      <w:r>
        <w:rPr>
          <w:rFonts w:ascii="Arial" w:hAnsi="Arial" w:eastAsia="Arial" w:cs="Arial"/>
          <w:b/>
          <w:bCs/>
        </w:rPr>
        <w:t xml:space="preserve">Datos.</w:t>
      </w:r>
      <w:r>
        <w:rPr>
          <w:rFonts w:ascii="Arial" w:hAnsi="Arial" w:eastAsia="Arial" w:cs="Arial"/>
        </w:rPr>
        <w:t xml:space="preserve"> No se pueden compartir ni publicar los archivos originales.</w:t>
      </w:r>
      <w:r/>
    </w:p>
    <w:p>
      <w:pPr>
        <w:pStyle w:val="904"/>
        <w:keepNext w:val="true"/>
        <w:pBdr/>
        <w:spacing/>
        <w:ind/>
        <w:rPr/>
      </w:pPr>
      <w:r>
        <w:rPr>
          <w:rFonts w:ascii="Arial" w:hAnsi="Arial" w:eastAsia="Arial" w:cs="Arial"/>
        </w:rPr>
        <w:t xml:space="preserve">16. Riesgos y planes 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color w:val="ffffff"/>
                <w:sz w:val="19"/>
                <w:szCs w:val="19"/>
              </w:rPr>
              <w:t xml:space="preserve">Riesgo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bCs/>
                <w:color w:val="ffffff"/>
                <w:sz w:val="19"/>
                <w:szCs w:val="19"/>
              </w:rPr>
              <w:t xml:space="preserve">Qué pasaría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bCs/>
                <w:color w:val="ffffff"/>
                <w:sz w:val="19"/>
                <w:szCs w:val="19"/>
              </w:rPr>
              <w:t xml:space="preserve">Plan B</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Los datos no traen el marcador de diagnóstico presente al 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Complicaciones entran como predictoras e inflan el riesgo esperado de los hospitales con más complicaciones.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sz w:val="19"/>
                <w:szCs w:val="19"/>
              </w:rPr>
              <w:t xml:space="preserve">Se mantienen las 31 categorías de Elixhauser, se vigila el índice de exhaustividad de codificación y se declara la limitación.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Memoria insuficiente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El entrenamiento falla o es demasiado lento.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Técnicas de ahorro de memoria. Si no alcanza, pedir acceso a un equipo con más memoria a través del departamento.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La calibración no se cumple en 2024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El O/E queda sesgado para todos los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Recalibrar con 2023. Si sigue, reportar la desviación y analizar el efecto de la pandemia.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Hospitales con pocas muertes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Su indicador es inestable.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Volumen mínimo, no publicar cifras pequeñas y corrección de sobredispersión.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Calidad de codificación distinta entre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El ajuste es desigual.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Índice de exhaustividad y declararlo como limitación.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Upcoding por efecto de publicar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El O/E baja artificialmente.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Índice de exhaustividad, gráficos de embudo y nada de rankings.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La red GRD cambia entre años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Comparaciones injustas entre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Catálogo con los años de cada hospital y comparar solo los que estaban en GRD.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El identificador del paciente no es consistente entre archivos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Las variables de historial salen mal.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Verificar en la Fase 2 antes de calcular. Si falla, descartarlas.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Aparecen más datos sensibles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Riesgo de privacidad.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Detección automática en todas las columnas, cuarentena y documentación.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Cronograma apretado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Las pruebas con usuarios quedan sin tiempo.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Priorizar los modelos y el indicador, dejar la web con funciones mínimas y hacer pruebas con pocos usuarios.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Deriva de codificación entre años</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sz w:val="19"/>
                <w:szCs w:val="19"/>
              </w:rPr>
              <w:t xml:space="preserve">Cada año se registran más diagnósticos por paciente (+42 % entre 2019 y 2024). Un modelo entrenado con años anteriores subestima el riesgo de los años recientes y el O/E baja sin que mejore la atención.</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sz w:val="19"/>
                <w:szCs w:val="19"/>
              </w:rPr>
              <w:t xml:space="preserve">Recalibrar con 2023, mostrar el índice de exhaustividad junto al O/E y declarar que los años no son totalmente comparables.</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Quiebre del identificador del paciente entre 2020 y 2021</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sz w:val="19"/>
                <w:szCs w:val="19"/>
              </w:rPr>
              <w:t xml:space="preserve">El rastreo de traslados y el historial no son confiables entre 2019–2020 y 2021–2024.</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sz w:val="19"/>
                <w:szCs w:val="19"/>
              </w:rPr>
              <w:t xml:space="preserve">No rastrear traslados (decisión 13 retirada), no usar el historial (decisión 1) y consultar a FONASA por el cambio de sistema.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50" w:line="260" w:lineRule="auto"/>
              <w:ind/>
              <w:rPr/>
            </w:pPr>
            <w:r>
              <w:rPr>
                <w:rFonts w:ascii="Arial" w:hAnsi="Arial" w:eastAsia="Arial" w:cs="Arial"/>
                <w:b/>
                <w:bCs/>
                <w:sz w:val="19"/>
                <w:szCs w:val="19"/>
              </w:rPr>
              <w:t xml:space="preserve">Nadie revisa las decisiones clínicas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pBdr/>
              <w:spacing w:after="50" w:line="260" w:lineRule="auto"/>
              <w:ind/>
              <w:rPr/>
            </w:pPr>
            <w:r>
              <w:rPr>
                <w:rFonts w:ascii="Arial" w:hAnsi="Arial" w:eastAsia="Arial" w:cs="Arial"/>
                <w:b w:val="0"/>
                <w:bCs w:val="0"/>
                <w:sz w:val="19"/>
                <w:szCs w:val="19"/>
              </w:rPr>
              <w:t xml:space="preserve">Errores clínicos sin detectar.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pBdr/>
              <w:spacing w:after="50" w:line="260" w:lineRule="auto"/>
              <w:ind/>
              <w:rPr/>
            </w:pPr>
            <w:r>
              <w:rPr>
                <w:rFonts w:ascii="Arial" w:hAnsi="Arial" w:eastAsia="Arial" w:cs="Arial"/>
                <w:b w:val="0"/>
                <w:bCs w:val="0"/>
                <w:sz w:val="19"/>
                <w:szCs w:val="19"/>
              </w:rPr>
              <w:t xml:space="preserve">Plan de la sección 17.</w:t>
            </w:r>
            <w:r/>
          </w:p>
        </w:tc>
      </w:tr>
    </w:tbl>
    <w:p>
      <w:pPr>
        <w:pStyle w:val="904"/>
        <w:keepNext w:val="true"/>
        <w:pBdr/>
        <w:spacing/>
        <w:ind/>
        <w:rPr/>
      </w:pPr>
      <w:r>
        <w:rPr>
          <w:rFonts w:ascii="Arial" w:hAnsi="Arial" w:eastAsia="Arial" w:cs="Arial"/>
        </w:rPr>
        <w:t xml:space="preserve">1</w:t>
      </w:r>
      <w:r>
        <w:rPr>
          <w:rFonts w:ascii="Arial" w:hAnsi="Arial" w:eastAsia="Arial" w:cs="Arial"/>
          <w:lang w:val="es-ES"/>
        </w:rPr>
        <w:t xml:space="preserve">7</w:t>
      </w:r>
      <w:r>
        <w:rPr>
          <w:rFonts w:ascii="Arial" w:hAnsi="Arial" w:eastAsia="Arial" w:cs="Arial"/>
        </w:rPr>
        <w:t xml:space="preserve">. Alcance y limitaciones</w:t>
      </w:r>
      <w:r/>
    </w:p>
    <w:p>
      <w:pPr>
        <w:pBdr/>
        <w:spacing w:after="130" w:line="285" w:lineRule="auto"/>
        <w:ind/>
        <w:rPr/>
      </w:pPr>
      <w:r>
        <w:rPr>
          <w:rFonts w:ascii="Arial" w:hAnsi="Arial" w:eastAsia="Arial" w:cs="Arial"/>
          <w:b/>
          <w:bCs/>
        </w:rPr>
        <w:t xml:space="preserve">El sistema no pretende:</w:t>
      </w:r>
      <w:r/>
    </w:p>
    <w:p>
      <w:pPr>
        <w:pStyle w:val="896"/>
        <w:numPr>
          <w:ilvl w:val="0"/>
          <w:numId w:val="2"/>
        </w:numPr>
        <w:pBdr/>
        <w:spacing w:after="70" w:line="280" w:lineRule="auto"/>
        <w:ind/>
        <w:rPr/>
      </w:pPr>
      <w:r>
        <w:rPr>
          <w:rFonts w:ascii="Arial" w:hAnsi="Arial" w:eastAsia="Arial" w:cs="Arial"/>
        </w:rPr>
        <w:t xml:space="preserve">Emitir un dictamen definitivo sobre la calidad clínica de un establecimiento.</w:t>
      </w:r>
      <w:r/>
    </w:p>
    <w:p>
      <w:pPr>
        <w:pStyle w:val="896"/>
        <w:numPr>
          <w:ilvl w:val="0"/>
          <w:numId w:val="2"/>
        </w:numPr>
        <w:pBdr/>
        <w:spacing w:after="70" w:line="280" w:lineRule="auto"/>
        <w:ind/>
        <w:rPr/>
      </w:pPr>
      <w:r>
        <w:rPr>
          <w:rFonts w:ascii="Arial" w:hAnsi="Arial" w:eastAsia="Arial" w:cs="Arial"/>
        </w:rPr>
        <w:t xml:space="preserve">Señalar responsabilidades ni generar rankings.</w:t>
      </w:r>
      <w:r/>
    </w:p>
    <w:p>
      <w:pPr>
        <w:pStyle w:val="896"/>
        <w:numPr>
          <w:ilvl w:val="0"/>
          <w:numId w:val="2"/>
        </w:numPr>
        <w:pBdr/>
        <w:spacing w:after="70" w:line="280" w:lineRule="auto"/>
        <w:ind/>
        <w:rPr/>
      </w:pPr>
      <w:r>
        <w:rPr>
          <w:rFonts w:ascii="Arial" w:hAnsi="Arial" w:eastAsia="Arial" w:cs="Arial"/>
        </w:rPr>
        <w:t xml:space="preserve">Corregir por completo el sesgo de alta anticipada. Para hacerlo habría que vincular los egresos con el Registro Civil y calcular la mortalidad a 30 días después del alta, y eso está fuera del alcance.</w:t>
      </w:r>
      <w:r/>
    </w:p>
    <w:p>
      <w:pPr>
        <w:pStyle w:val="896"/>
        <w:numPr>
          <w:ilvl w:val="0"/>
          <w:numId w:val="2"/>
        </w:numPr>
        <w:pBdr/>
        <w:spacing w:after="70" w:line="280" w:lineRule="auto"/>
        <w:ind/>
        <w:rPr/>
      </w:pPr>
      <w:r>
        <w:rPr>
          <w:rFonts w:ascii="Arial" w:hAnsi="Arial" w:eastAsia="Arial" w:cs="Arial"/>
        </w:rPr>
        <w:t xml:space="preserve">Considerar diferencias de infraestructura, presupuesto o dotación de personal.</w:t>
      </w:r>
      <w:r/>
    </w:p>
    <w:p>
      <w:pPr>
        <w:pBdr/>
        <w:spacing w:after="130" w:line="285" w:lineRule="auto"/>
        <w:ind/>
        <w:rPr/>
      </w:pPr>
      <w:r>
        <w:rPr>
          <w:rFonts w:ascii="Arial" w:hAnsi="Arial" w:eastAsia="Arial" w:cs="Arial"/>
          <w:b/>
          <w:bCs/>
        </w:rPr>
        <w:t xml:space="preserve">El sistema sí pretende:</w:t>
      </w:r>
      <w:r/>
    </w:p>
    <w:p>
      <w:pPr>
        <w:pStyle w:val="896"/>
        <w:numPr>
          <w:ilvl w:val="0"/>
          <w:numId w:val="2"/>
        </w:numPr>
        <w:pBdr/>
        <w:spacing w:after="70" w:line="280" w:lineRule="auto"/>
        <w:ind/>
        <w:rPr/>
      </w:pPr>
      <w:r>
        <w:rPr>
          <w:rFonts w:ascii="Arial" w:hAnsi="Arial" w:eastAsia="Arial" w:cs="Arial"/>
        </w:rPr>
        <w:t xml:space="preserve">Entregar una señal estadística objetiva que oriente revisiones internas y la asignación de recursos.</w:t>
      </w:r>
      <w:r/>
    </w:p>
    <w:p>
      <w:pPr>
        <w:pStyle w:val="896"/>
        <w:numPr>
          <w:ilvl w:val="0"/>
          <w:numId w:val="2"/>
        </w:numPr>
        <w:pBdr/>
        <w:spacing w:after="70" w:line="280" w:lineRule="auto"/>
        <w:ind/>
        <w:rPr/>
      </w:pPr>
      <w:r>
        <w:rPr>
          <w:rFonts w:ascii="Arial" w:hAnsi="Arial" w:eastAsia="Arial" w:cs="Arial"/>
        </w:rPr>
        <w:t xml:space="preserve">Ser reproducible de principio a fin.</w:t>
      </w:r>
      <w:r/>
    </w:p>
    <w:p>
      <w:pPr>
        <w:pStyle w:val="896"/>
        <w:numPr>
          <w:ilvl w:val="0"/>
          <w:numId w:val="2"/>
        </w:numPr>
        <w:pBdr/>
        <w:spacing w:after="70" w:line="280" w:lineRule="auto"/>
        <w:ind/>
        <w:rPr/>
      </w:pPr>
      <w:r>
        <w:rPr>
          <w:rFonts w:ascii="Arial" w:hAnsi="Arial" w:eastAsia="Arial" w:cs="Arial"/>
        </w:rPr>
        <w:t xml:space="preserve">Documentar cada exclusión, decisión y limitación.</w:t>
      </w:r>
      <w:r/>
    </w:p>
    <w:p>
      <w:pPr>
        <w:pBdr/>
        <w:spacing w:after="130" w:line="285" w:lineRule="auto"/>
        <w:ind/>
        <w:rPr/>
      </w:pPr>
      <w:r>
        <w:rPr>
          <w:rFonts w:ascii="Arial" w:hAnsi="Arial" w:eastAsia="Arial" w:cs="Arial"/>
          <w:b/>
          <w:bCs/>
        </w:rPr>
        <w:t xml:space="preserve">Limitaciones que hay que tener presentes:</w:t>
      </w:r>
      <w:r/>
    </w:p>
    <w:p>
      <w:pPr>
        <w:pStyle w:val="896"/>
        <w:numPr>
          <w:ilvl w:val="0"/>
          <w:numId w:val="2"/>
        </w:numPr>
        <w:pBdr/>
        <w:spacing w:after="70" w:line="280" w:lineRule="auto"/>
        <w:ind/>
        <w:rPr/>
      </w:pPr>
      <w:r>
        <w:rPr>
          <w:rFonts w:ascii="Arial" w:hAnsi="Arial" w:eastAsia="Arial" w:cs="Arial"/>
        </w:rPr>
        <w:t xml:space="preserve">Todo depende de la calidad de la codificación de los datos.</w:t>
      </w:r>
      <w:r/>
    </w:p>
    <w:p>
      <w:pPr>
        <w:pStyle w:val="896"/>
        <w:numPr>
          <w:ilvl w:val="0"/>
          <w:numId w:val="2"/>
        </w:numPr>
        <w:pBdr/>
        <w:spacing w:after="70" w:line="280" w:lineRule="auto"/>
        <w:ind/>
        <w:rPr/>
      </w:pPr>
      <w:r>
        <w:rPr>
          <w:rFonts w:ascii="Arial" w:hAnsi="Arial" w:eastAsia="Arial" w:cs="Arial"/>
        </w:rPr>
        <w:t xml:space="preserve">Los diagnósticos no tienen el marcador de presente al ingreso.</w:t>
      </w:r>
      <w:r/>
    </w:p>
    <w:p>
      <w:pPr>
        <w:pStyle w:val="896"/>
        <w:numPr>
          <w:ilvl w:val="0"/>
          <w:numId w:val="2"/>
        </w:numPr>
        <w:pBdr/>
        <w:spacing w:after="70" w:line="280" w:lineRule="auto"/>
        <w:ind/>
        <w:rPr/>
      </w:pPr>
      <w:r>
        <w:rPr>
          <w:rFonts w:ascii="Arial" w:hAnsi="Arial" w:eastAsia="Arial" w:cs="Arial"/>
        </w:rPr>
        <w:t xml:space="preserve">Solo se mide la mortalidad dentro del hospital y los días de estadía, que son parte de la calidad y no toda.</w:t>
      </w:r>
      <w:r/>
    </w:p>
    <w:p>
      <w:pPr>
        <w:pStyle w:val="896"/>
        <w:numPr>
          <w:ilvl w:val="0"/>
          <w:numId w:val="2"/>
        </w:numPr>
        <w:pBdr/>
        <w:spacing w:after="70" w:line="280" w:lineRule="auto"/>
        <w:ind/>
        <w:rPr/>
      </w:pPr>
      <w:r>
        <w:rPr>
          <w:rFonts w:ascii="Arial" w:hAnsi="Arial" w:eastAsia="Arial" w:cs="Arial"/>
        </w:rPr>
        <w:t xml:space="preserve">El indicador no prueba causalidad.</w:t>
      </w:r>
      <w:r/>
    </w:p>
    <w:p>
      <w:pPr>
        <w:pStyle w:val="896"/>
        <w:numPr>
          <w:ilvl w:val="0"/>
          <w:numId w:val="2"/>
        </w:numPr>
        <w:pBdr/>
        <w:spacing w:after="70" w:line="280" w:lineRule="auto"/>
        <w:ind/>
        <w:rPr/>
      </w:pPr>
      <w:r>
        <w:rPr>
          <w:rFonts w:ascii="Arial" w:hAnsi="Arial" w:eastAsia="Arial" w:cs="Arial"/>
        </w:rPr>
        <w:t xml:space="preserve">El indicador evalúa la atención de adultos: los 3 hospitales pediátricos quedan fuera y la atención infantil y neonatal de los demás hospitales no se mide.</w:t>
      </w:r>
    </w:p>
    <w:p>
      <w:pPr>
        <w:pStyle w:val="896"/>
        <w:numPr>
          <w:ilvl w:val="0"/>
          <w:numId w:val="2"/>
        </w:numPr>
        <w:pBdr/>
        <w:spacing w:after="70" w:line="280" w:lineRule="auto"/>
        <w:ind/>
        <w:rPr/>
      </w:pPr>
      <w:r>
        <w:rPr>
          <w:rFonts w:ascii="Arial" w:hAnsi="Arial" w:eastAsia="Arial" w:cs="Arial"/>
        </w:rPr>
        <w:t xml:space="preserve">El indicador de estadía no mide las estadías extremas (más de 53 días).</w:t>
      </w:r>
    </w:p>
    <w:p>
      <w:pPr>
        <w:pStyle w:val="896"/>
        <w:numPr>
          <w:ilvl w:val="0"/>
          <w:numId w:val="2"/>
        </w:numPr>
        <w:pBdr/>
        <w:spacing w:after="70" w:line="280" w:lineRule="auto"/>
        <w:ind/>
        <w:rPr/>
      </w:pPr>
      <w:r>
        <w:rPr>
          <w:rFonts w:ascii="Arial" w:hAnsi="Arial" w:eastAsia="Arial" w:cs="Arial"/>
        </w:rPr>
        <w:t xml:space="preserve">El resultado se evalúa en un solo año de prueba, 2024.</w:t>
      </w:r>
      <w:r/>
    </w:p>
    <w:p>
      <w:pPr>
        <w:pStyle w:val="896"/>
        <w:numPr>
          <w:ilvl w:val="0"/>
          <w:numId w:val="2"/>
        </w:numPr>
        <w:pBdr/>
        <w:spacing w:after="70" w:line="280" w:lineRule="auto"/>
        <w:ind/>
        <w:rPr/>
      </w:pPr>
      <w:r>
        <w:rPr>
          <w:rFonts w:ascii="Arial" w:hAnsi="Arial" w:eastAsia="Arial" w:cs="Arial"/>
        </w:rPr>
        <w:t xml:space="preserve">Los traslados salientes quedan censurados y su desenlace no se recupera: el sesgo de alta anticipada no se corrige.</w:t>
      </w:r>
      <w:r/>
    </w:p>
    <w:p>
      <w:pPr>
        <w:pStyle w:val="896"/>
        <w:numPr>
          <w:ilvl w:val="0"/>
          <w:numId w:val="2"/>
        </w:numPr>
        <w:pBdr/>
        <w:spacing w:after="70" w:line="280" w:lineRule="auto"/>
        <w:ind/>
        <w:rPr/>
      </w:pPr>
      <w:r>
        <w:rPr>
          <w:rFonts w:ascii="Arial" w:hAnsi="Arial" w:eastAsia="Arial" w:cs="Arial"/>
        </w:rPr>
        <w:t xml:space="preserve">Los traslados entrantes se incluyen, ajustados por TIPO_PROCEDENCIA; los hospitales de derivación reciben más y su O/E debe leerse con ese contexto.</w:t>
      </w:r>
      <w:r/>
    </w:p>
    <w:p>
      <w:pPr>
        <w:pStyle w:val="896"/>
        <w:numPr>
          <w:ilvl w:val="0"/>
          <w:numId w:val="2"/>
        </w:numPr>
        <w:pBdr/>
        <w:spacing w:after="70" w:line="280" w:lineRule="auto"/>
        <w:ind/>
        <w:rPr/>
      </w:pPr>
      <w:r>
        <w:rPr>
          <w:rFonts w:ascii="Arial" w:hAnsi="Arial" w:eastAsia="Arial" w:cs="Arial"/>
        </w:rPr>
        <w:t xml:space="preserve">Los pliegues de selección de la Fase 4 caen en años afectados por la pandemia; la sensibilidad sin 2020–2021 está planificada y aún no tiene resultados.</w:t>
      </w:r>
      <w:r/>
    </w:p>
    <w:p>
      <w:pPr>
        <w:pStyle w:val="904"/>
        <w:keepNext w:val="true"/>
        <w:pBdr/>
        <w:spacing/>
        <w:ind/>
        <w:rPr/>
      </w:pPr>
      <w:r>
        <w:rPr>
          <w:rFonts w:ascii="Arial" w:hAnsi="Arial" w:eastAsia="Arial" w:cs="Arial"/>
        </w:rPr>
        <w:t xml:space="preserve">1</w:t>
      </w:r>
      <w:r>
        <w:rPr>
          <w:rFonts w:ascii="Arial" w:hAnsi="Arial" w:eastAsia="Arial" w:cs="Arial"/>
          <w:lang w:val="es-ES"/>
        </w:rPr>
        <w:t xml:space="preserve">8</w:t>
      </w:r>
      <w:r>
        <w:rPr>
          <w:rFonts w:ascii="Arial" w:hAnsi="Arial" w:eastAsia="Arial" w:cs="Arial"/>
        </w:rPr>
        <w:t xml:space="preserve">. Plan de proyecto</w:t>
      </w:r>
      <w:r/>
    </w:p>
    <w:p>
      <w:pPr>
        <w:pBdr/>
        <w:spacing w:after="130" w:line="285" w:lineRule="auto"/>
        <w:ind/>
        <w:rPr/>
      </w:pPr>
      <w:r>
        <w:t xml:space="preserve">El proyecto se rige por un cronograma estricto de 17 semanas para su ejecución completa. Desde la óptica de la ingeniería informática, esta restricción temporal impone decisiones de diseño fundamentales que salvaguardan la viabilidad técnica y la calidad del producto:</w:t>
        <w:br/>
        <w:t xml:space="preserve">1. Adopción de la metodología CRISP-DM apoyada en una suite reproducible de pruebas automatizadas que previene regresiones y garantiza determinismo de datos sin consumir tiempo en depuraciones manuales.</w:t>
        <w:br/>
        <w:t xml:space="preserve">2. Desarrollo y calibración algorítmica: la arquitectura y el cortafuegos se probaron primero con extractos de 50.000 registros por año y después se ejecutaron sobre los 5,8 millones de registros con un método de baja memoria (pico de 5,7 GB).</w:t>
        <w:br/>
        <w:t xml:space="preserve">3. Enfoque exclusivo en modelos de ensamble de árboles tabulares (LightGBM y XGBoost) y funciones nativas Poisson/Tweedie, descartando arquitecturas de aprendizaje profundo (Deep Learning) que requerirían semanas adicionales de calibración sin ventajas en datos tabulares.</w:t>
        <w:br/>
        <w:t xml:space="preserve">4. Delimitación del alcance administrativo: se descarta la vinculación nominal externa con el Registro Civil para mortalidad a 30 días post-alta, declarando el sesgo de alta anticipada como una limitación estructural transparente de los datos administrativos disponibles.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900"/>
        <w:gridCol w:w="1500"/>
        <w:gridCol w:w="1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color w:val="ffffff"/>
                <w:sz w:val="19"/>
                <w:szCs w:val="19"/>
              </w:rPr>
              <w:t xml:space="preserve">Fase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bCs/>
                <w:color w:val="ffffff"/>
                <w:sz w:val="19"/>
                <w:szCs w:val="19"/>
              </w:rPr>
              <w:t xml:space="preserve">Qué se hace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bCs/>
                <w:color w:val="ffffff"/>
                <w:sz w:val="19"/>
                <w:szCs w:val="19"/>
              </w:rPr>
              <w:t xml:space="preserve">Duración estimada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bCs/>
                <w:color w:val="ffffff"/>
                <w:sz w:val="19"/>
                <w:szCs w:val="19"/>
              </w:rPr>
              <w:t xml:space="preserve">Depende de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1. Comprensión del dominio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Este informe.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Cierre al aprobarse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Respuestas del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2. Comprensión de los datos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Listar tipos de alta y hospitales por año, comparar los hospitales con los 72 códigos identificados y con el catálogo de DEIS o FONASA, medir faltantes, duplicados y traslados entrantes, revisar el identificador del paciente, la edad y la distribución de estadía de 2019 a 2022, confirmar qué registran el servicio de ingreso, el sexo, la forma de ingreso y la marca de traslado, y recalcular la prevalencia.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2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Decisiones pendientes de la sección 19</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3. Preparación de los 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Capas Plata y Oro completas y reporte de la cascada.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2 semanas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Fase 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4. Modelado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Líneas base, modelos de mortalidad y estadía, optimización de hiperparámetros y recalibración con 2023.</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6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Fase 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5. Evaluación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Métricas en 2024, calibración, O/E por hospital, embudo.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3 semanas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Fase 4</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6. Despliegue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API, interfaz web, pruebas con usuarios y análisis final.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4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Fase 5</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Informe final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pBdr/>
              <w:spacing w:after="50" w:line="260" w:lineRule="auto"/>
              <w:ind/>
              <w:rPr/>
            </w:pPr>
            <w:r>
              <w:rPr>
                <w:rFonts w:ascii="Arial" w:hAnsi="Arial" w:eastAsia="Arial" w:cs="Arial"/>
                <w:b w:val="0"/>
                <w:bCs w:val="0"/>
                <w:sz w:val="19"/>
                <w:szCs w:val="19"/>
              </w:rPr>
              <w:t xml:space="preserve">Se escribe en paralelo a todas las fases.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pBdr/>
              <w:spacing w:after="50" w:line="260" w:lineRule="auto"/>
              <w:ind/>
              <w:rPr/>
            </w:pPr>
            <w:r>
              <w:rPr>
                <w:rFonts w:ascii="Arial" w:hAnsi="Arial" w:eastAsia="Arial" w:cs="Arial"/>
                <w:b w:val="0"/>
                <w:bCs w:val="0"/>
                <w:sz w:val="19"/>
                <w:szCs w:val="19"/>
              </w:rPr>
              <w:t xml:space="preserve">Todo el proyecto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pBdr/>
              <w:spacing w:after="50" w:line="260" w:lineRule="auto"/>
              <w:ind/>
              <w:rPr/>
            </w:pPr>
            <w:r>
              <w:rPr>
                <w:rFonts w:ascii="Arial" w:hAnsi="Arial" w:eastAsia="Arial" w:cs="Arial"/>
                <w:b w:val="0"/>
                <w:bCs w:val="0"/>
                <w:sz w:val="19"/>
                <w:szCs w:val="19"/>
              </w:rPr>
              <w:t xml:space="preserve">—</w:t>
            </w:r>
            <w:r/>
          </w:p>
        </w:tc>
      </w:tr>
    </w:tbl>
    <w:p>
      <w:pPr>
        <w:pStyle w:val="904"/>
        <w:keepNext w:val="true"/>
        <w:pBdr/>
        <w:spacing/>
        <w:ind/>
        <w:rPr/>
      </w:pPr>
      <w:r>
        <w:rPr>
          <w:rFonts w:ascii="Arial" w:hAnsi="Arial" w:eastAsia="Arial" w:cs="Arial"/>
          <w:lang w:val="es-ES"/>
        </w:rPr>
        <w:t xml:space="preserve">19. Decisiones del proyecto (consensuadas)</w:t>
      </w:r>
      <w:r>
        <w:rPr>
          <w:rFonts w:ascii="Arial" w:hAnsi="Arial" w:eastAsia="Arial" w:cs="Arial"/>
        </w:rPr>
        <w:t xml:space="preserve"/>
      </w:r>
      <w:r/>
    </w:p>
    <w:p>
      <w:pPr>
        <w:pBdr/>
        <w:spacing w:after="130" w:line="285" w:lineRule="auto"/>
        <w:ind/>
        <w:rPr/>
      </w:pPr>
      <w:r>
        <w:rPr>
          <w:rFonts w:ascii="Arial" w:hAnsi="Arial" w:eastAsia="Arial" w:cs="Arial"/>
        </w:rPr>
        <w:t xml:space="preserve">Cada fila tiene una propuesta final basada en la evidencia de la Fase 2. El semáforo indica cómo quedó la evidencia: verde = la respalda, amarillo = la respalda con matices, rojo = la contradice, gris = es una decisión metodológica o institucional. Versión 4: el profesor guía otorgó plena libertad al estudiante, por lo que estas propuestas se adoptan como decisiones del proyecto, con los ajustes de la sección 19.1. El análisis de sensibilidad de las cinco categorías de Elixhauser quedó retirado; el de 2020–2021 quedó planificado (sección 19.1).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0"/>
        <w:gridCol w:w="1800"/>
        <w:gridCol w:w="24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color w:val="ffffff"/>
                <w:sz w:val="19"/>
                <w:szCs w:val="19"/>
              </w:rPr>
              <w:t xml:space="preserve">N.º</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b/>
                <w:bCs/>
                <w:color w:val="ffffff"/>
                <w:sz w:val="19"/>
                <w:szCs w:val="19"/>
              </w:rPr>
              <w:t xml:space="preserve">Tema</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b/>
                <w:bCs/>
                <w:color w:val="ffffff"/>
                <w:sz w:val="19"/>
                <w:szCs w:val="19"/>
              </w:rPr>
              <w:t xml:space="preserve">Qué se propone</w:t>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b/>
                <w:bCs/>
                <w:color w:val="ffffff"/>
                <w:sz w:val="19"/>
                <w:szCs w:val="19"/>
              </w:rPr>
              <w:t xml:space="preserve">Propuesta final y evidencia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Historial de internación previa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Variables de hospitalización previa en 12 meses y días desde el último egreso.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Rojo. No usar. Se puede calcular (99,8 % en 2023) pero no aporta señal (AUC +0,000 y +0,003), y el identificador cambia de sistema entre 2020 y 2021.</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Variables condicionales (servicio, especialidad, derivado)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Evaluar si registran gravedad basal o capacidad del hospital.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Excluir especialidad, servicio de ingreso y derivado (asociación con el hospital de 0,17 a 0,56 y cambios grandes entre años). Incluir solo el nivel de cuidado al ingreso.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Variables de equidad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Provincia, comuna y Servicio de Salud fuera del modelo.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Verde. Mantener fuera: identifican al hospital (asociación 0,66 a 0,72).</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Etnia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Fuera del modelo; solo descripción.</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Gris. Mantener fuera: 15 categorías y codificación inestable.</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Población de estudio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Solo adultos (18 años o más).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Adoptar. Incluir menores y recién nacidos no cambia el O/E de los adultos (correlación 0,999); deja fuera 3 hospitales pediátricos (sección 9.6).</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Volumen mínimo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500 egresos y 10 muertes esperadas.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Adoptar: 65 de 68 hospitales cumplen en 2023.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Estadías largas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Corte para las estadías extremas.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Verde. Percentil 99 de 2019–2022 = 53 días, igual en observados y esperados; afecta al 0,96 % (sección 10.4).</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8</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Categorías de Elixhauser sospechosas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(Antes: análisis de sensibilidad sin cinco categorías.)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Gris. Retirada: no habrá análisis de sensibilidad. Se mantienen las 31 categorías (R3) y la limitación se declara.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9</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Meta O/E de estadía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Entre 0,95 y 1,05.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Mantener la meta y usar objetivo Tweedie (la varianza es 20 veces la media).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10</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Identificación visual de hospitales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Nombres institucionales o anonimización en el prototipo.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Gris. Usar códigos hasta que FONASA responda sobre las condiciones de publicación.</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Valores con forma de RUT</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Canalizar el hallazgo hacia FONASA.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Verde. 22 valores en dos columnas de 2019: se aíslan, no se guardan ni se reproducen; se descarta la comunicación a FONASA (decisión v4).</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12</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Validación clínica de reglas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Gobernanza médica de las definiciones.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Gris. Conseguir una contraparte clínica antes de la Fase 3.</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13</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Rastreo de traslados salientes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Reconstruir la trayectoria entre recintos.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Consensuada (v4): retirado del flujo principal. Es viable (46,7 % se enlaza en 30 días), pero el identificador cambia entre 2020 y 2021 y la cohorte quedaría definida distinto según el año. Se declara el sesgo de alta anticipada y se muestra la tasa de traslado saliente por hospital.</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14</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Severidad y riesgo de mortalidad del GRD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Prohibidos como predictores.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Verde. Fuera del modelo, sin excepciones (AUC 0,861 y 0,876 en 2023, sobre el umbral de fuga).</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15</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Estadías de cero días y actividad ambulatoria</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Tratamiento en mortalidad.</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Sacar la actividad ambulatoria. Las estadías de 0 días se conservan en mortalidad y se excluyen del modelo de estadía; su mortalidad relativa bajó de 0,30 a 0,22 en 2023, conviene revisarlo.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16</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Traslados entrantes</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Excluirlos de la evaluación central.</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Consensuada (v4): se incluyen en las cohortes y en el O/E, ajustados por TIPO_PROCEDENCIA (HOSPPROCEDENCIA no sirve: 89 % vacía y 31,5 % apunta al mismo hospital). Mueren 2,0 veces más; se informa la proporción de traslados entrantes por hospital.</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pBdr/>
              <w:spacing w:after="50" w:line="260" w:lineRule="auto"/>
              <w:ind/>
              <w:rPr/>
            </w:pPr>
            <w:r>
              <w:rPr>
                <w:rFonts w:ascii="Arial" w:hAnsi="Arial" w:eastAsia="Arial" w:cs="Arial"/>
                <w:b/>
                <w:bCs/>
                <w:sz w:val="19"/>
                <w:szCs w:val="19"/>
              </w:rPr>
              <w:t xml:space="preserve">17</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50" w:line="260" w:lineRule="auto"/>
              <w:ind/>
              <w:rPr/>
            </w:pPr>
            <w:r>
              <w:rPr>
                <w:rFonts w:ascii="Arial" w:hAnsi="Arial" w:eastAsia="Arial" w:cs="Arial"/>
                <w:sz w:val="19"/>
                <w:szCs w:val="19"/>
              </w:rPr>
              <w:t xml:space="preserve">Ventana de entrenamiento</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50" w:line="260" w:lineRule="auto"/>
              <w:ind/>
              <w:rPr/>
            </w:pPr>
            <w:r>
              <w:rPr>
                <w:rFonts w:ascii="Arial" w:hAnsi="Arial" w:eastAsia="Arial" w:cs="Arial"/>
                <w:sz w:val="19"/>
                <w:szCs w:val="19"/>
              </w:rPr>
              <w:t xml:space="preserve">Incluir o excluir el período pandémico (2020–2021).</w:t>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pBdr/>
              <w:spacing w:after="50" w:line="260" w:lineRule="auto"/>
              <w:ind/>
              <w:rPr/>
            </w:pPr>
            <w:r>
              <w:rPr>
                <w:rFonts w:ascii="Arial" w:hAnsi="Arial" w:eastAsia="Arial" w:cs="Arial"/>
                <w:sz w:val="19"/>
                <w:szCs w:val="19"/>
              </w:rPr>
              <w:t xml:space="preserve">Amarillo. Entrenar con 2019–2022 completo y recalibrar con 2023. La mortalidad de 2020–2022 fue 1,37 veces la de 2019. Sensibilidad sin 2020–2021 planificada: se entrena sin esos años y se compara en 2023 (no toca 2024); sin resultados todavía.</w:t>
            </w:r>
          </w:p>
        </w:tc>
      </w:tr>
    </w:tbl>
    <w:p>
      <w:pPr>
        <w:spacing w:after="60"/>
      </w:pP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Lo que depende del estudiante. </w:t>
      </w:r>
      <w:r>
        <w:rPr>
          <w:rFonts w:ascii="Arial" w:hAnsi="Arial" w:eastAsia="Arial" w:cs="Arial"/>
        </w:rPr>
        <w:t xml:space="preserve">Queda pendiente conseguir una contraparte clínica. Se descartó enviar cartas a FONASA y adjuntar una constancia del profesor guía; las condiciones de publicación se asumen académicas y con resultados agregados.</w:t>
      </w:r>
    </w:p>
    <w:p>
      <w:pPr>
        <w:pStyle w:val="905"/>
        <w:keepNext w:val="true"/>
        <w:pBdr/>
        <w:spacing/>
        <w:ind/>
        <w:rPr/>
      </w:pPr>
      <w:r>
        <w:rPr>
          <w:rFonts w:ascii="Arial" w:hAnsi="Arial" w:eastAsia="Arial" w:cs="Arial"/>
        </w:rPr>
        <w:t xml:space="preserve">19.1 Consenso entre las Fases 1 a 4 (cambios de la versión 4)</w:t>
      </w:r>
      <w:r/>
    </w:p>
    <w:p>
      <w:pPr>
        <w:pBdr/>
        <w:spacing w:after="130" w:line="285" w:lineRule="auto"/>
        <w:ind/>
        <w:rPr/>
      </w:pPr>
      <w:r>
        <w:rPr>
          <w:rFonts w:ascii="Arial" w:hAnsi="Arial" w:eastAsia="Arial" w:cs="Arial"/>
        </w:rPr>
        <w:t xml:space="preserve">Esta versión alinea la Fase 1 con lo que se ejecutó en las Fases 2, 3 y 4. El profesor guía otorgó plena libertad al estudiante; las decisiones de la tabla anterior quedan adoptadas, con los ajustes que se detallan a continuación. No se cambió ninguna cifra ni se repitió ningún cálculo.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800"/>
        <w:gridCol w:w="3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color w:val="ffffff"/>
                <w:sz w:val="19"/>
                <w:szCs w:val="19"/>
              </w:rPr>
              <w:t xml:space="preserve">Tema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bCs/>
                <w:color w:val="ffffff"/>
                <w:sz w:val="19"/>
                <w:szCs w:val="19"/>
              </w:rPr>
              <w:t xml:space="preserve">Decisión consensuada (v4)</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bCs/>
                <w:color w:val="ffffff"/>
                <w:sz w:val="19"/>
                <w:szCs w:val="19"/>
              </w:rPr>
              <w:t xml:space="preserve">Motivo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Traslados entrantes (decisión 16)</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Se incluyen en las cohortes D y E y en el O/E, ajustados por TIPO_PROCEDENCIA. Se informa su proporción por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Es lo que se ejecutó en las Fases 3 a 5. Excluirlos obligaría a rehacer cohortes y modelos y a repetir el examen de 2024. Mueren 2,0 veces más, diferencia que el ajuste por procedencia recoge.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Traslados salientes (decisión 13)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Sin rastreo: quedan censurados. Se declara el sesgo de alta anticipada y se muestra la tasa de traslado saliente por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El identificador cambia de sistema entre 2020 y 2021: el rastreo solo serviría desde 2021 y la cohorte quedaría definida distinto según el año.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Sensibilidad sin 2020–2021 (decisión 17)</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Planificada: entrenar sin 2020–2021 y comparar en 2023. No usa 2024. Sin resultados todavía.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La prometió el informe de seminario; es de bajo costo y no compromete el examen final.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Sensibilidad de 5 categorías de Elixhauser (decisión 8)</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Retirada; se declara como limitación.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Sin cambios respecto de la versión 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Volumen mínimo (decisión 6)</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Se define con 500 egresos y 10 muertes esperadas en todas las fases.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La Fase 3 marcó el volumen con muertes observadas; ver su informe v4.</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pBdr/>
              <w:spacing w:after="50" w:line="260" w:lineRule="auto"/>
              <w:ind/>
              <w:rPr/>
            </w:pPr>
            <w:r>
              <w:rPr>
                <w:rFonts w:ascii="Arial" w:hAnsi="Arial" w:eastAsia="Arial" w:cs="Arial"/>
                <w:b/>
                <w:bCs/>
                <w:sz w:val="19"/>
                <w:szCs w:val="19"/>
              </w:rPr>
              <w:t xml:space="preserve">Referencias cruzadas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pBdr/>
              <w:spacing w:after="50" w:line="260" w:lineRule="auto"/>
              <w:ind/>
              <w:rPr/>
            </w:pPr>
            <w:r>
              <w:rPr>
                <w:rFonts w:ascii="Arial" w:hAnsi="Arial" w:eastAsia="Arial" w:cs="Arial"/>
                <w:b w:val="0"/>
                <w:bCs w:val="0"/>
                <w:sz w:val="19"/>
                <w:szCs w:val="19"/>
              </w:rPr>
              <w:t xml:space="preserve">Corregidas (regla R5, secciones 11.3 y 14.2).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pBdr/>
              <w:spacing w:after="50" w:line="260" w:lineRule="auto"/>
              <w:ind/>
              <w:rPr/>
            </w:pPr>
            <w:r>
              <w:rPr>
                <w:rFonts w:ascii="Arial" w:hAnsi="Arial" w:eastAsia="Arial" w:cs="Arial"/>
                <w:b w:val="0"/>
                <w:bCs w:val="0"/>
                <w:sz w:val="19"/>
                <w:szCs w:val="19"/>
              </w:rPr>
              <w:t xml:space="preserve">Errores de numeración de la versión 3.</w:t>
            </w:r>
            <w:r/>
          </w:p>
        </w:tc>
      </w:tr>
    </w:tbl>
    <w:p>
      <w:pPr>
        <w:pStyle w:val="904"/>
        <w:keepNext w:val="true"/>
        <w:pBdr/>
        <w:spacing/>
        <w:ind/>
        <w:rPr/>
      </w:pPr>
      <w:r>
        <w:rPr>
          <w:rFonts w:ascii="Arial" w:hAnsi="Arial" w:eastAsia="Arial" w:cs="Arial"/>
        </w:rPr>
        <w:t xml:space="preserve">2</w:t>
      </w:r>
      <w:r>
        <w:rPr>
          <w:rFonts w:ascii="Arial" w:hAnsi="Arial" w:eastAsia="Arial" w:cs="Arial"/>
          <w:lang w:val="es-ES"/>
        </w:rPr>
        <w:t xml:space="preserve">0</w:t>
      </w:r>
      <w:r>
        <w:rPr>
          <w:rFonts w:ascii="Arial" w:hAnsi="Arial" w:eastAsia="Arial" w:cs="Arial"/>
        </w:rPr>
        <w:t xml:space="preserve">. Glosario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color w:val="ffffff"/>
                <w:sz w:val="19"/>
                <w:szCs w:val="19"/>
              </w:rPr>
              <w:t xml:space="preserve">Término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bCs/>
                <w:color w:val="ffffff"/>
                <w:sz w:val="19"/>
                <w:szCs w:val="19"/>
              </w:rPr>
              <w:t xml:space="preserve">Definición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GRD (Grupos Relacionados por Diagnóstico)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Sistema que agrupa hospitalizaciones con características clínicas parecidas y consumo de recursos comparable.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Razón O/E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Cociente entre los eventos reales de un hospital y los que el modelo esperaba para sus pacientes. El valor 1,0 indica lo esperado.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Índice de Elixhauser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Medida estándar que resume las enfermedades previas de un paciente en 31 categorías de sí o no, sacadas de los diagnósticos secundarios.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Score de van Walraven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Suma ponderada de las categorías de Elixhauser, donde cada una pesa según su relación histórica con la mortalidad.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Presente al ingreso (POA)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Marcador que indica si un diagnóstico ya existía al entrar al hospital. Los datos de FONASA no lo traen.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Dato censurado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Episodio cuyo resultado final se desconoce, que aquí son principalmente los traslados a otro hospital.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Fuga de información (data leakage)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Error que ocurre cuando el modelo usa información del futuro para predecir el presente. Hace que los resultados parezcan mejores de lo que son.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Partición temporal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División de los datos por período: los años antiguos entrenan y los recientes evalúan.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Qué tan parecidas son las probabilidades que predice el modelo a la frecuencia real de los eventos.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Brier Score y Brier Skill Score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El Brier Score mide el error de las probabilidades. El Skill Score lo compara con un modelo que solo usa la prevalencia, y si es mayor que cero lo supera.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Pendiente de 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Número que indica si las probabilidades del modelo son demasiado extremas o demasiado tímidas. El valor ideal es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PR AUC</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Métrica que combina precisión y sensibilidad, útil cuando el evento es poco frecuente.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Gráfico de embudo (funnel plot)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Gráfico que muestra el O/E de cada hospital con límites de control que separan variaciones reales de las que explica el azar.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Sobredispersión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Situación en que los hospitales varían más entre sí de lo que explicaría el azar de muestreo.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Upcoding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Registrar más enfermedades o más graves de las reales, lo que sube el riesgo esperado y baja el O/E.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Alta anticipada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Dar de alta o trasladar a un paciente grave antes de que fallezca, de modo que la muerte no quede en las estadísticas del hospital.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Parquet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Formato de archivo por columnas, mucho más rápido de leer en análisis que el texto plano.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Arquitectura medallón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b w:val="0"/>
                <w:bCs w:val="0"/>
                <w:sz w:val="19"/>
                <w:szCs w:val="19"/>
              </w:rPr>
              <w:t xml:space="preserve">Organización de los datos en capas, de Cruda a Oro, donde cada una agrega calidad sobre la anterior.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MDC (Categoría Diagnóstica Mayor)</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sz w:val="19"/>
                <w:szCs w:val="19"/>
              </w:rPr>
              <w:t xml:space="preserve">Los dos primeros dígitos del código GRD. Agrupan los episodios por sistema del cuerpo; por ejemplo, el MDC 15 son los recién nacidos y el MDC 14, el embarazo y el parto.</w:t>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pBdr/>
              <w:spacing w:after="50" w:line="260" w:lineRule="auto"/>
              <w:ind/>
              <w:rPr/>
            </w:pPr>
            <w:r>
              <w:rPr>
                <w:rFonts w:ascii="Arial" w:hAnsi="Arial" w:eastAsia="Arial" w:cs="Arial"/>
                <w:b/>
                <w:bCs/>
                <w:sz w:val="19"/>
                <w:szCs w:val="19"/>
              </w:rPr>
              <w:t xml:space="preserve">Percentil 99</w:t>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pBdr/>
              <w:spacing w:after="50" w:line="260" w:lineRule="auto"/>
              <w:ind/>
              <w:rPr/>
            </w:pPr>
            <w:r>
              <w:rPr>
                <w:rFonts w:ascii="Arial" w:hAnsi="Arial" w:eastAsia="Arial" w:cs="Arial"/>
                <w:sz w:val="19"/>
                <w:szCs w:val="19"/>
              </w:rPr>
              <w:t xml:space="preserve">El valor que deja al 99 % de los casos por debajo. Aquí se usa para cortar las estadías extremas (53 días).</w:t>
            </w:r>
          </w:p>
        </w:tc>
      </w:tr>
    </w:tbl>
    <w:p>
      <w:pPr>
        <w:pStyle w:val="904"/>
        <w:keepNext w:val="true"/>
        <w:pBdr/>
        <w:spacing/>
        <w:ind/>
        <w:rPr/>
      </w:pPr>
      <w:r>
        <w:rPr>
          <w:rFonts w:ascii="Arial" w:hAnsi="Arial" w:eastAsia="Arial" w:cs="Arial"/>
        </w:rPr>
        <w:t xml:space="preserve">21. Referencias</w:t>
      </w:r>
    </w:p>
    <w:p>
      <w:pPr>
        <w:pBdr/>
        <w:spacing w:after="90" w:line="260" w:lineRule="auto"/>
        <w:ind w:hanging="480" w:left="480"/>
        <w:rPr/>
      </w:pPr>
      <w:r>
        <w:rPr>
          <w:rFonts w:ascii="Arial" w:hAnsi="Arial" w:eastAsia="Arial" w:cs="Arial"/>
          <w:sz w:val="19"/>
          <w:szCs w:val="19"/>
        </w:rPr>
        <w:t xml:space="preserve">Chen, T. y Guestrin, C. (2016). XGBoost: A scalable tree boosting system. Proceedings of the 22nd ACM SIGKDD International Conference on Knowledge Discovery and Data Mining.</w:t>
      </w:r>
      <w:r/>
    </w:p>
    <w:p>
      <w:pPr>
        <w:pBdr/>
        <w:spacing w:after="90" w:line="260" w:lineRule="auto"/>
        <w:ind w:hanging="480" w:left="480"/>
        <w:rPr/>
      </w:pPr>
      <w:r>
        <w:rPr>
          <w:rFonts w:ascii="Arial" w:hAnsi="Arial" w:eastAsia="Arial" w:cs="Arial"/>
          <w:sz w:val="19"/>
          <w:szCs w:val="19"/>
        </w:rPr>
        <w:t xml:space="preserve">Cid, C., Dawson, N., Medina, C., Espinoza, A. y Bastías, G. (2024). Lecciones y desafíos del uso de los Grupos Relacionados por el Diagnóstico en Chile. Revista Panamericana de Salud Pública, 48, e67. doi: 10.26633/RPSP.2024.67</w:t>
      </w:r>
      <w:r/>
    </w:p>
    <w:p>
      <w:pPr>
        <w:pBdr/>
        <w:spacing w:after="90" w:line="260" w:lineRule="auto"/>
        <w:ind w:hanging="480" w:left="480"/>
        <w:rPr/>
      </w:pPr>
      <w:r>
        <w:rPr>
          <w:rFonts w:ascii="Arial" w:hAnsi="Arial" w:eastAsia="Arial" w:cs="Arial"/>
          <w:sz w:val="19"/>
          <w:szCs w:val="19"/>
        </w:rPr>
        <w:t xml:space="preserve">Congreso Nacional de Chile. (2008). Ley 20.285 sobre acceso a la información pública. https://www.bcn.cl/leychile/navegar?idNorma=276363</w:t>
      </w:r>
      <w:r/>
    </w:p>
    <w:p>
      <w:pPr>
        <w:pBdr/>
        <w:spacing w:after="90" w:line="260" w:lineRule="auto"/>
        <w:ind w:hanging="480" w:left="480"/>
        <w:rPr/>
      </w:pPr>
      <w:r>
        <w:rPr>
          <w:rFonts w:ascii="Arial" w:hAnsi="Arial" w:eastAsia="Arial" w:cs="Arial"/>
          <w:sz w:val="19"/>
          <w:szCs w:val="19"/>
        </w:rPr>
        <w:t xml:space="preserve">Elixhauser, A., Steiner, C., Harris, D. R. y Coffey, R. M. (1998). Comorbidity measures for use with administrative data. Medical Care, 36(1), 8-27.</w:t>
      </w:r>
      <w:r/>
    </w:p>
    <w:p>
      <w:pPr>
        <w:pBdr/>
        <w:spacing w:after="90" w:line="260" w:lineRule="auto"/>
        <w:ind w:hanging="480" w:left="480"/>
        <w:rPr/>
      </w:pPr>
      <w:r>
        <w:rPr>
          <w:rFonts w:ascii="Arial" w:hAnsi="Arial" w:eastAsia="Arial" w:cs="Arial"/>
          <w:sz w:val="19"/>
          <w:szCs w:val="19"/>
        </w:rPr>
        <w:t xml:space="preserve">Fung, C. H., Lim, Y.-W., Mattke, S., Damberg, C. y Shekelle, P. G. (2008). Systematic review: the evidence that publishing patient care performance data improves quality of care. Annals of Internal Medicine, 148(2), 111-123. doi: 10.7326/0003-4819-148-2-200801150-00006</w:t>
      </w:r>
      <w:r/>
    </w:p>
    <w:p>
      <w:pPr>
        <w:pBdr/>
        <w:spacing w:after="90" w:line="260" w:lineRule="auto"/>
        <w:ind w:hanging="480" w:left="480"/>
        <w:rPr/>
      </w:pPr>
      <w:r>
        <w:rPr>
          <w:rFonts w:ascii="Arial" w:hAnsi="Arial" w:eastAsia="Arial" w:cs="Arial"/>
          <w:sz w:val="19"/>
          <w:szCs w:val="19"/>
        </w:rPr>
        <w:t xml:space="preserve">Ke, G., Meng, Q., Finley, T., Wang, T., Chen, W., Ma, W., Ye, Q. y Liu, T.-Y. (2017). LightGBM: A highly efficient gradient boosting decision tree. Advances in Neural Information Processing Systems, 30.</w:t>
      </w:r>
      <w:r/>
    </w:p>
    <w:p>
      <w:pPr>
        <w:pBdr/>
        <w:spacing w:after="90" w:line="260" w:lineRule="auto"/>
        <w:ind w:hanging="480" w:left="480"/>
        <w:rPr/>
      </w:pPr>
      <w:r>
        <w:rPr>
          <w:rFonts w:ascii="Arial" w:hAnsi="Arial" w:eastAsia="Arial" w:cs="Arial"/>
          <w:sz w:val="19"/>
          <w:szCs w:val="19"/>
        </w:rPr>
        <w:t xml:space="preserve">Lundberg, S. M., Erion, G., Chen, H., DeGrave, A., Prutkin, J. M., Nair, B., ... Lee, S.-I. (2020). From local explanations to global understanding with explainable AI for trees. Nature Machine Intelligence, 2, 56-67. doi: 10.1038/s42256-019-0138-9</w:t>
      </w:r>
      <w:r/>
    </w:p>
    <w:p>
      <w:pPr>
        <w:pBdr/>
        <w:spacing w:after="90" w:line="260" w:lineRule="auto"/>
        <w:ind w:hanging="480" w:left="480"/>
        <w:rPr/>
      </w:pPr>
      <w:r>
        <w:rPr>
          <w:rFonts w:ascii="Arial" w:hAnsi="Arial" w:eastAsia="Arial" w:cs="Arial"/>
          <w:sz w:val="19"/>
          <w:szCs w:val="19"/>
        </w:rPr>
        <w:t xml:space="preserve">Moons, K. G. M., Altman, D. G., Reitsma, J. B., Ioannidis, J. P. A., Macaskill, P., Steyerberg, E. W., ... Collins, G. S. (2015). Transparent reporting of a multivariable prediction model for individual prognosis or diagnosis (TRIPOD): explanation and elaboration. Annals of Internal Medicine, 162(1), W1-W73. doi: 10.7326/M14-0698</w:t>
      </w:r>
      <w:r/>
    </w:p>
    <w:p>
      <w:pPr>
        <w:pBdr/>
        <w:spacing w:after="90" w:line="260" w:lineRule="auto"/>
        <w:ind w:hanging="480" w:left="480"/>
        <w:rPr/>
      </w:pPr>
      <w:r>
        <w:rPr>
          <w:rFonts w:ascii="Arial" w:hAnsi="Arial" w:eastAsia="Arial" w:cs="Arial"/>
          <w:sz w:val="19"/>
          <w:szCs w:val="19"/>
        </w:rPr>
        <w:t xml:space="preserve">Quan, H., Sundararajan, V., Halfon, P., Fong, A., Burnand, B., Luthi, J.-C., ... Ghali, W. A. (2005). Coding algorithms for defining comorbidities in ICD-9-CM and ICD-10 administrative data. Medical Care, 43(11), 1130-1139.</w:t>
      </w:r>
      <w:r/>
    </w:p>
    <w:p>
      <w:pPr>
        <w:pBdr/>
        <w:spacing w:after="90" w:line="260" w:lineRule="auto"/>
        <w:ind w:hanging="480" w:left="480"/>
        <w:rPr/>
      </w:pPr>
      <w:r>
        <w:rPr>
          <w:rFonts w:ascii="Arial" w:hAnsi="Arial" w:eastAsia="Arial" w:cs="Arial"/>
          <w:sz w:val="19"/>
          <w:szCs w:val="19"/>
        </w:rPr>
        <w:t xml:space="preserve">Schröer, C., Kruse, F. y Marx Gómez, J. (2021). A systematic literature review on applying CRISP-DM process model. Procedia Computer Science, 181, 526-534. doi: 10.1016/j.procs.2021.01.199</w:t>
      </w:r>
      <w:r/>
    </w:p>
    <w:p>
      <w:pPr>
        <w:pBdr/>
        <w:spacing w:after="90" w:line="260" w:lineRule="auto"/>
        <w:ind w:hanging="480" w:left="480"/>
        <w:rPr/>
      </w:pPr>
      <w:r>
        <w:rPr>
          <w:rFonts w:ascii="Arial" w:hAnsi="Arial" w:eastAsia="Arial" w:cs="Arial"/>
          <w:sz w:val="19"/>
          <w:szCs w:val="19"/>
        </w:rPr>
        <w:t xml:space="preserve">Shahian, D. M., Wolf, R. E., Iezzoni, L. I., Kirle, L. y Normand, S.-L. T. (2010). Variability in the measurement of hospital-wide mortality rates. New England Journal of Medicine, 363(26), 2530-2539. doi: 10.1056/NEJMsa1006396</w:t>
      </w:r>
      <w:r/>
    </w:p>
    <w:p>
      <w:pPr>
        <w:pBdr/>
        <w:spacing w:after="90" w:line="260" w:lineRule="auto"/>
        <w:ind w:hanging="480" w:left="480"/>
        <w:rPr/>
      </w:pPr>
      <w:r>
        <w:rPr>
          <w:rFonts w:ascii="Arial" w:hAnsi="Arial" w:eastAsia="Arial" w:cs="Arial"/>
          <w:sz w:val="19"/>
          <w:szCs w:val="19"/>
        </w:rPr>
        <w:t xml:space="preserve">Spiegelhalter, D. J. (2005). Funnel plots for comparing institutional performance. Statistics in Medicine, 24(8), 1185-1202. doi: 10.1002/sim.1970</w:t>
      </w:r>
      <w:r/>
    </w:p>
    <w:p>
      <w:pPr>
        <w:pBdr/>
        <w:spacing w:after="90" w:line="260" w:lineRule="auto"/>
        <w:ind w:hanging="480" w:left="480"/>
        <w:rPr/>
      </w:pPr>
      <w:r>
        <w:rPr>
          <w:rFonts w:ascii="Arial" w:hAnsi="Arial" w:eastAsia="Arial" w:cs="Arial"/>
          <w:sz w:val="19"/>
          <w:szCs w:val="19"/>
        </w:rPr>
        <w:t xml:space="preserve">Steyerberg, E. W., Vickers, A. J., Cook, N. R., Gerds, T., Gonen, M., Obuchowski, N., ... Kattan, M. W. (2010). Assessing the performance of prediction models: a framework for traditional and novel measures. Epidemiology, 21(1), 128. doi: 10.1097/EDE.0b013e3181c30fb2</w:t>
      </w:r>
      <w:r/>
    </w:p>
    <w:p>
      <w:pPr>
        <w:pBdr/>
        <w:spacing w:after="90" w:line="260" w:lineRule="auto"/>
        <w:ind w:hanging="480" w:left="480"/>
        <w:rPr/>
      </w:pPr>
      <w:r>
        <w:rPr>
          <w:rFonts w:ascii="Arial" w:hAnsi="Arial" w:eastAsia="Arial" w:cs="Arial"/>
          <w:sz w:val="19"/>
          <w:szCs w:val="19"/>
        </w:rPr>
        <w:t xml:space="preserve">Van Calster, B., McLernon, D. J., van Smeden, M., Wynants, L. y Steyerberg, E. W. (2019). Calibration: the Achilles heel of predictive analytics. BMC Medicine, 17(1), 230. doi: 10.1186/s12916-019-1466-7</w:t>
      </w:r>
      <w:r/>
    </w:p>
    <w:p>
      <w:pPr>
        <w:pBdr/>
        <w:spacing w:after="90" w:line="260" w:lineRule="auto"/>
        <w:ind w:hanging="480" w:left="480"/>
        <w:rPr/>
      </w:pPr>
      <w:r>
        <w:rPr>
          <w:rFonts w:ascii="Arial" w:hAnsi="Arial" w:eastAsia="Arial" w:cs="Arial"/>
          <w:sz w:val="19"/>
          <w:szCs w:val="19"/>
        </w:rPr>
        <w:t xml:space="preserve">van Walraven, C., Austin, P. C., Jennings, A., Quan, H. y Forster, A. J. (2009). A modification of the Elixhauser comorbidity measures into a point system for hospital death using administrative data. Medical Care, 47(6), 626-633.</w:t>
      </w:r>
      <w:r/>
    </w:p>
    <w:sectPr>
      <w:footerReference w:type="default" r:id="rId9"/>
      <w:footnotePr/>
      <w:endnotePr/>
      <w:type w:val="nextPage"/>
      <w:pgSz w:h="15840" w:orient="portrait" w:w="12240"/>
      <w:pgMar w:top="144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7f7f7f"/>
        <w:sz w:val="17"/>
        <w:szCs w:val="17"/>
      </w:rPr>
      <w:t xml:space="preserve">Informe Técnico Fase 1 (Versión 4)  |  Página </w:t>
    </w:r>
    <w:r>
      <w:rPr>
        <w:rFonts w:ascii="Arial" w:hAnsi="Arial" w:eastAsia="Arial" w:cs="Arial"/>
        <w:color w:val="7f7f7f"/>
        <w:sz w:val="17"/>
        <w:szCs w:val="17"/>
      </w:rPr>
      <w:fldChar w:fldCharType="begin"/>
      <w:instrText xml:space="preserve">PAGE</w:instrText>
      <w:fldChar w:fldCharType="separate"/>
      <w:fldChar w:fldCharType="end"/>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w:basedOn w:val="71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7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7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7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7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7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7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7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7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7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7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7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7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7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7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7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7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7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7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7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7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7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7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7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7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7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7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7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7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7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7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7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7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7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7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7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7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7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7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7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7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7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7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7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7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7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7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7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7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7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7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7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7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7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7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7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7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7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7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7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7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7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7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7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7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7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7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7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7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7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7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7">
    <w:name w:val="List Table 7 Colorful - Accent 2"/>
    <w:basedOn w:val="7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8">
    <w:name w:val="List Table 7 Colorful - Accent 3"/>
    <w:basedOn w:val="7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9">
    <w:name w:val="List Table 7 Colorful - Accent 4"/>
    <w:basedOn w:val="7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0">
    <w:name w:val="List Table 7 Colorful - Accent 5"/>
    <w:basedOn w:val="7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1">
    <w:name w:val="List Table 7 Colorful - Accent 6"/>
    <w:basedOn w:val="7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2">
    <w:name w:val="Lined - Accent"/>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7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7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7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7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7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7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7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7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7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7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7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7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7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7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default="1">
    <w:name w:val="Normal"/>
    <w:qFormat/>
    <w:pPr>
      <w:pBdr/>
      <w:spacing/>
      <w:ind/>
    </w:pPr>
  </w:style>
  <w:style w:type="paragraph" w:styleId="844">
    <w:name w:val="Heading 7"/>
    <w:basedOn w:val="843"/>
    <w:next w:val="843"/>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43"/>
    <w:next w:val="843"/>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43"/>
    <w:next w:val="843"/>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default="1">
    <w:name w:val="Default Paragraph Font"/>
    <w:uiPriority w:val="1"/>
    <w:semiHidden/>
    <w:unhideWhenUsed/>
    <w:pPr>
      <w:pBdr/>
      <w:spacing/>
      <w:ind/>
    </w:pPr>
  </w:style>
  <w:style w:type="numbering" w:styleId="848" w:default="1">
    <w:name w:val="No List"/>
    <w:uiPriority w:val="99"/>
    <w:semiHidden/>
    <w:unhideWhenUsed/>
    <w:pPr>
      <w:pBdr/>
      <w:spacing/>
      <w:ind/>
    </w:pPr>
  </w:style>
  <w:style w:type="character" w:styleId="849">
    <w:name w:val="Heading 1 Char"/>
    <w:basedOn w:val="847"/>
    <w:link w:val="904"/>
    <w:uiPriority w:val="9"/>
    <w:pPr>
      <w:pBdr/>
      <w:spacing/>
      <w:ind/>
    </w:pPr>
    <w:rPr>
      <w:rFonts w:ascii="Arial" w:hAnsi="Arial" w:eastAsia="Arial" w:cs="Arial"/>
      <w:color w:val="0f4761" w:themeColor="accent1" w:themeShade="BF"/>
      <w:sz w:val="40"/>
      <w:szCs w:val="40"/>
    </w:rPr>
  </w:style>
  <w:style w:type="character" w:styleId="850">
    <w:name w:val="Heading 2 Char"/>
    <w:basedOn w:val="847"/>
    <w:link w:val="905"/>
    <w:uiPriority w:val="9"/>
    <w:pPr>
      <w:pBdr/>
      <w:spacing/>
      <w:ind/>
    </w:pPr>
    <w:rPr>
      <w:rFonts w:ascii="Arial" w:hAnsi="Arial" w:eastAsia="Arial" w:cs="Arial"/>
      <w:color w:val="0f4761" w:themeColor="accent1" w:themeShade="BF"/>
      <w:sz w:val="32"/>
      <w:szCs w:val="32"/>
    </w:rPr>
  </w:style>
  <w:style w:type="character" w:styleId="851">
    <w:name w:val="Heading 3 Char"/>
    <w:basedOn w:val="847"/>
    <w:link w:val="891"/>
    <w:uiPriority w:val="9"/>
    <w:pPr>
      <w:pBdr/>
      <w:spacing/>
      <w:ind/>
    </w:pPr>
    <w:rPr>
      <w:rFonts w:ascii="Arial" w:hAnsi="Arial" w:eastAsia="Arial" w:cs="Arial"/>
      <w:color w:val="0f4761" w:themeColor="accent1" w:themeShade="BF"/>
      <w:sz w:val="28"/>
      <w:szCs w:val="28"/>
    </w:rPr>
  </w:style>
  <w:style w:type="character" w:styleId="852">
    <w:name w:val="Heading 4 Char"/>
    <w:basedOn w:val="847"/>
    <w:link w:val="892"/>
    <w:uiPriority w:val="9"/>
    <w:pPr>
      <w:pBdr/>
      <w:spacing/>
      <w:ind/>
    </w:pPr>
    <w:rPr>
      <w:rFonts w:ascii="Arial" w:hAnsi="Arial" w:eastAsia="Arial" w:cs="Arial"/>
      <w:i/>
      <w:iCs/>
      <w:color w:val="0f4761" w:themeColor="accent1" w:themeShade="BF"/>
    </w:rPr>
  </w:style>
  <w:style w:type="character" w:styleId="853">
    <w:name w:val="Heading 5 Char"/>
    <w:basedOn w:val="847"/>
    <w:link w:val="893"/>
    <w:uiPriority w:val="9"/>
    <w:pPr>
      <w:pBdr/>
      <w:spacing/>
      <w:ind/>
    </w:pPr>
    <w:rPr>
      <w:rFonts w:ascii="Arial" w:hAnsi="Arial" w:eastAsia="Arial" w:cs="Arial"/>
      <w:color w:val="0f4761" w:themeColor="accent1" w:themeShade="BF"/>
    </w:rPr>
  </w:style>
  <w:style w:type="character" w:styleId="854">
    <w:name w:val="Heading 6 Char"/>
    <w:basedOn w:val="847"/>
    <w:link w:val="894"/>
    <w:uiPriority w:val="9"/>
    <w:pPr>
      <w:pBdr/>
      <w:spacing/>
      <w:ind/>
    </w:pPr>
    <w:rPr>
      <w:rFonts w:ascii="Arial" w:hAnsi="Arial" w:eastAsia="Arial" w:cs="Arial"/>
      <w:i/>
      <w:iCs/>
      <w:color w:val="595959" w:themeColor="text1" w:themeTint="A6"/>
    </w:rPr>
  </w:style>
  <w:style w:type="character" w:styleId="855">
    <w:name w:val="Heading 7 Char"/>
    <w:basedOn w:val="847"/>
    <w:link w:val="844"/>
    <w:uiPriority w:val="9"/>
    <w:pPr>
      <w:pBdr/>
      <w:spacing/>
      <w:ind/>
    </w:pPr>
    <w:rPr>
      <w:rFonts w:ascii="Arial" w:hAnsi="Arial" w:eastAsia="Arial" w:cs="Arial"/>
      <w:color w:val="595959" w:themeColor="text1" w:themeTint="A6"/>
    </w:rPr>
  </w:style>
  <w:style w:type="character" w:styleId="856">
    <w:name w:val="Heading 8 Char"/>
    <w:basedOn w:val="847"/>
    <w:link w:val="845"/>
    <w:uiPriority w:val="9"/>
    <w:pPr>
      <w:pBdr/>
      <w:spacing/>
      <w:ind/>
    </w:pPr>
    <w:rPr>
      <w:rFonts w:ascii="Arial" w:hAnsi="Arial" w:eastAsia="Arial" w:cs="Arial"/>
      <w:i/>
      <w:iCs/>
      <w:color w:val="272727" w:themeColor="text1" w:themeTint="D8"/>
    </w:rPr>
  </w:style>
  <w:style w:type="character" w:styleId="857">
    <w:name w:val="Heading 9 Char"/>
    <w:basedOn w:val="847"/>
    <w:link w:val="846"/>
    <w:uiPriority w:val="9"/>
    <w:pPr>
      <w:pBdr/>
      <w:spacing/>
      <w:ind/>
    </w:pPr>
    <w:rPr>
      <w:rFonts w:ascii="Arial" w:hAnsi="Arial" w:eastAsia="Arial" w:cs="Arial"/>
      <w:i/>
      <w:iCs/>
      <w:color w:val="272727" w:themeColor="text1" w:themeTint="D8"/>
    </w:rPr>
  </w:style>
  <w:style w:type="character" w:styleId="858">
    <w:name w:val="Title Char"/>
    <w:basedOn w:val="847"/>
    <w:link w:val="890"/>
    <w:uiPriority w:val="10"/>
    <w:pPr>
      <w:pBdr/>
      <w:spacing/>
      <w:ind/>
    </w:pPr>
    <w:rPr>
      <w:rFonts w:ascii="Arial" w:hAnsi="Arial" w:eastAsia="Arial" w:cs="Arial"/>
      <w:spacing w:val="-10"/>
      <w:sz w:val="56"/>
      <w:szCs w:val="56"/>
    </w:rPr>
  </w:style>
  <w:style w:type="paragraph" w:styleId="859">
    <w:name w:val="Subtitle"/>
    <w:basedOn w:val="843"/>
    <w:next w:val="843"/>
    <w:link w:val="860"/>
    <w:uiPriority w:val="11"/>
    <w:qFormat/>
    <w:pPr>
      <w:numPr>
        <w:ilvl w:val="1"/>
      </w:numPr>
      <w:pBdr/>
      <w:spacing/>
      <w:ind/>
    </w:pPr>
    <w:rPr>
      <w:color w:val="595959" w:themeColor="text1" w:themeTint="A6"/>
      <w:spacing w:val="15"/>
      <w:sz w:val="28"/>
      <w:szCs w:val="28"/>
    </w:rPr>
  </w:style>
  <w:style w:type="character" w:styleId="860">
    <w:name w:val="Subtitle Char"/>
    <w:basedOn w:val="847"/>
    <w:link w:val="859"/>
    <w:uiPriority w:val="11"/>
    <w:pPr>
      <w:pBdr/>
      <w:spacing/>
      <w:ind/>
    </w:pPr>
    <w:rPr>
      <w:color w:val="595959" w:themeColor="text1" w:themeTint="A6"/>
      <w:spacing w:val="15"/>
      <w:sz w:val="28"/>
      <w:szCs w:val="28"/>
    </w:rPr>
  </w:style>
  <w:style w:type="paragraph" w:styleId="861">
    <w:name w:val="Quote"/>
    <w:basedOn w:val="843"/>
    <w:next w:val="843"/>
    <w:link w:val="862"/>
    <w:uiPriority w:val="29"/>
    <w:qFormat/>
    <w:pPr>
      <w:pBdr/>
      <w:spacing w:before="160"/>
      <w:ind/>
      <w:jc w:val="center"/>
    </w:pPr>
    <w:rPr>
      <w:i/>
      <w:iCs/>
      <w:color w:val="404040" w:themeColor="text1" w:themeTint="BF"/>
    </w:rPr>
  </w:style>
  <w:style w:type="character" w:styleId="862">
    <w:name w:val="Quote Char"/>
    <w:basedOn w:val="847"/>
    <w:link w:val="861"/>
    <w:uiPriority w:val="29"/>
    <w:pPr>
      <w:pBdr/>
      <w:spacing/>
      <w:ind/>
    </w:pPr>
    <w:rPr>
      <w:i/>
      <w:iCs/>
      <w:color w:val="404040" w:themeColor="text1" w:themeTint="BF"/>
    </w:rPr>
  </w:style>
  <w:style w:type="character" w:styleId="863">
    <w:name w:val="Intense Emphasis"/>
    <w:basedOn w:val="847"/>
    <w:uiPriority w:val="21"/>
    <w:qFormat/>
    <w:pPr>
      <w:pBdr/>
      <w:spacing/>
      <w:ind/>
    </w:pPr>
    <w:rPr>
      <w:i/>
      <w:iCs/>
      <w:color w:val="0f4761" w:themeColor="accent1" w:themeShade="BF"/>
    </w:rPr>
  </w:style>
  <w:style w:type="paragraph" w:styleId="864">
    <w:name w:val="Intense Quote"/>
    <w:basedOn w:val="843"/>
    <w:next w:val="843"/>
    <w:link w:val="8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5">
    <w:name w:val="Intense Quote Char"/>
    <w:basedOn w:val="847"/>
    <w:link w:val="864"/>
    <w:uiPriority w:val="30"/>
    <w:pPr>
      <w:pBdr/>
      <w:spacing/>
      <w:ind/>
    </w:pPr>
    <w:rPr>
      <w:i/>
      <w:iCs/>
      <w:color w:val="0f4761" w:themeColor="accent1" w:themeShade="BF"/>
    </w:rPr>
  </w:style>
  <w:style w:type="character" w:styleId="866">
    <w:name w:val="Intense Reference"/>
    <w:basedOn w:val="847"/>
    <w:uiPriority w:val="32"/>
    <w:qFormat/>
    <w:pPr>
      <w:pBdr/>
      <w:spacing/>
      <w:ind/>
    </w:pPr>
    <w:rPr>
      <w:b/>
      <w:bCs/>
      <w:smallCaps/>
      <w:color w:val="0f4761" w:themeColor="accent1" w:themeShade="BF"/>
      <w:spacing w:val="5"/>
    </w:rPr>
  </w:style>
  <w:style w:type="paragraph" w:styleId="867">
    <w:name w:val="No Spacing"/>
    <w:basedOn w:val="843"/>
    <w:uiPriority w:val="1"/>
    <w:qFormat/>
    <w:pPr>
      <w:pBdr/>
      <w:spacing w:after="0" w:line="240" w:lineRule="auto"/>
      <w:ind/>
    </w:pPr>
  </w:style>
  <w:style w:type="character" w:styleId="868">
    <w:name w:val="Subtle Emphasis"/>
    <w:basedOn w:val="847"/>
    <w:uiPriority w:val="19"/>
    <w:qFormat/>
    <w:pPr>
      <w:pBdr/>
      <w:spacing/>
      <w:ind/>
    </w:pPr>
    <w:rPr>
      <w:i/>
      <w:iCs/>
      <w:color w:val="404040" w:themeColor="text1" w:themeTint="BF"/>
    </w:rPr>
  </w:style>
  <w:style w:type="character" w:styleId="869">
    <w:name w:val="Emphasis"/>
    <w:basedOn w:val="847"/>
    <w:uiPriority w:val="20"/>
    <w:qFormat/>
    <w:pPr>
      <w:pBdr/>
      <w:spacing/>
      <w:ind/>
    </w:pPr>
    <w:rPr>
      <w:i/>
      <w:iCs/>
    </w:rPr>
  </w:style>
  <w:style w:type="character" w:styleId="870">
    <w:name w:val="Subtle Reference"/>
    <w:basedOn w:val="847"/>
    <w:uiPriority w:val="31"/>
    <w:qFormat/>
    <w:pPr>
      <w:pBdr/>
      <w:spacing/>
      <w:ind/>
    </w:pPr>
    <w:rPr>
      <w:smallCaps/>
      <w:color w:val="5a5a5a" w:themeColor="text1" w:themeTint="A5"/>
    </w:rPr>
  </w:style>
  <w:style w:type="character" w:styleId="871">
    <w:name w:val="Book Title"/>
    <w:basedOn w:val="847"/>
    <w:uiPriority w:val="33"/>
    <w:qFormat/>
    <w:pPr>
      <w:pBdr/>
      <w:spacing/>
      <w:ind/>
    </w:pPr>
    <w:rPr>
      <w:b/>
      <w:bCs/>
      <w:i/>
      <w:iCs/>
      <w:spacing w:val="5"/>
    </w:rPr>
  </w:style>
  <w:style w:type="paragraph" w:styleId="872">
    <w:name w:val="Header"/>
    <w:basedOn w:val="843"/>
    <w:link w:val="873"/>
    <w:uiPriority w:val="99"/>
    <w:unhideWhenUsed/>
    <w:pPr>
      <w:pBdr/>
      <w:tabs>
        <w:tab w:val="center" w:leader="none" w:pos="4844"/>
        <w:tab w:val="right" w:leader="none" w:pos="9689"/>
      </w:tabs>
      <w:spacing w:after="0" w:line="240" w:lineRule="auto"/>
      <w:ind/>
    </w:pPr>
  </w:style>
  <w:style w:type="character" w:styleId="873">
    <w:name w:val="Header Char"/>
    <w:basedOn w:val="847"/>
    <w:link w:val="872"/>
    <w:uiPriority w:val="99"/>
    <w:pPr>
      <w:pBdr/>
      <w:spacing/>
      <w:ind/>
    </w:pPr>
  </w:style>
  <w:style w:type="paragraph" w:styleId="874">
    <w:name w:val="Footer"/>
    <w:basedOn w:val="843"/>
    <w:link w:val="875"/>
    <w:uiPriority w:val="99"/>
    <w:unhideWhenUsed/>
    <w:pPr>
      <w:pBdr/>
      <w:tabs>
        <w:tab w:val="center" w:leader="none" w:pos="4844"/>
        <w:tab w:val="right" w:leader="none" w:pos="9689"/>
      </w:tabs>
      <w:spacing w:after="0" w:line="240" w:lineRule="auto"/>
      <w:ind/>
    </w:pPr>
  </w:style>
  <w:style w:type="character" w:styleId="875">
    <w:name w:val="Footer Char"/>
    <w:basedOn w:val="847"/>
    <w:link w:val="874"/>
    <w:uiPriority w:val="99"/>
    <w:pPr>
      <w:pBdr/>
      <w:spacing/>
      <w:ind/>
    </w:pPr>
  </w:style>
  <w:style w:type="paragraph" w:styleId="876">
    <w:name w:val="Caption"/>
    <w:basedOn w:val="843"/>
    <w:next w:val="843"/>
    <w:uiPriority w:val="35"/>
    <w:unhideWhenUsed/>
    <w:qFormat/>
    <w:pPr>
      <w:pBdr/>
      <w:spacing w:after="200" w:line="240" w:lineRule="auto"/>
      <w:ind/>
    </w:pPr>
    <w:rPr>
      <w:i/>
      <w:iCs/>
      <w:color w:val="0e2841" w:themeColor="text2"/>
      <w:sz w:val="18"/>
      <w:szCs w:val="18"/>
    </w:rPr>
  </w:style>
  <w:style w:type="character" w:styleId="877">
    <w:name w:val="FollowedHyperlink"/>
    <w:basedOn w:val="847"/>
    <w:uiPriority w:val="99"/>
    <w:semiHidden/>
    <w:unhideWhenUsed/>
    <w:pPr>
      <w:pBdr/>
      <w:spacing/>
      <w:ind/>
    </w:pPr>
    <w:rPr>
      <w:color w:val="954f72" w:themeColor="followedHyperlink"/>
      <w:u w:val="single"/>
    </w:rPr>
  </w:style>
  <w:style w:type="paragraph" w:styleId="878">
    <w:name w:val="toc 1"/>
    <w:basedOn w:val="843"/>
    <w:next w:val="843"/>
    <w:uiPriority w:val="39"/>
    <w:unhideWhenUsed/>
    <w:pPr>
      <w:pBdr/>
      <w:spacing w:after="100"/>
      <w:ind/>
    </w:pPr>
  </w:style>
  <w:style w:type="paragraph" w:styleId="879">
    <w:name w:val="toc 2"/>
    <w:basedOn w:val="843"/>
    <w:next w:val="843"/>
    <w:uiPriority w:val="39"/>
    <w:unhideWhenUsed/>
    <w:pPr>
      <w:pBdr/>
      <w:spacing w:after="100"/>
      <w:ind w:left="220"/>
    </w:pPr>
  </w:style>
  <w:style w:type="paragraph" w:styleId="880">
    <w:name w:val="toc 3"/>
    <w:basedOn w:val="843"/>
    <w:next w:val="843"/>
    <w:uiPriority w:val="39"/>
    <w:unhideWhenUsed/>
    <w:pPr>
      <w:pBdr/>
      <w:spacing w:after="100"/>
      <w:ind w:left="440"/>
    </w:pPr>
  </w:style>
  <w:style w:type="paragraph" w:styleId="881">
    <w:name w:val="toc 4"/>
    <w:basedOn w:val="843"/>
    <w:next w:val="843"/>
    <w:uiPriority w:val="39"/>
    <w:unhideWhenUsed/>
    <w:pPr>
      <w:pBdr/>
      <w:spacing w:after="100"/>
      <w:ind w:left="660"/>
    </w:pPr>
  </w:style>
  <w:style w:type="paragraph" w:styleId="882">
    <w:name w:val="toc 5"/>
    <w:basedOn w:val="843"/>
    <w:next w:val="843"/>
    <w:uiPriority w:val="39"/>
    <w:unhideWhenUsed/>
    <w:pPr>
      <w:pBdr/>
      <w:spacing w:after="100"/>
      <w:ind w:left="880"/>
    </w:pPr>
  </w:style>
  <w:style w:type="paragraph" w:styleId="883">
    <w:name w:val="toc 6"/>
    <w:basedOn w:val="843"/>
    <w:next w:val="843"/>
    <w:uiPriority w:val="39"/>
    <w:unhideWhenUsed/>
    <w:pPr>
      <w:pBdr/>
      <w:spacing w:after="100"/>
      <w:ind w:left="1100"/>
    </w:pPr>
  </w:style>
  <w:style w:type="paragraph" w:styleId="884">
    <w:name w:val="toc 7"/>
    <w:basedOn w:val="843"/>
    <w:next w:val="843"/>
    <w:uiPriority w:val="39"/>
    <w:unhideWhenUsed/>
    <w:pPr>
      <w:pBdr/>
      <w:spacing w:after="100"/>
      <w:ind w:left="1320"/>
    </w:pPr>
  </w:style>
  <w:style w:type="paragraph" w:styleId="885">
    <w:name w:val="toc 8"/>
    <w:basedOn w:val="843"/>
    <w:next w:val="843"/>
    <w:uiPriority w:val="39"/>
    <w:unhideWhenUsed/>
    <w:pPr>
      <w:pBdr/>
      <w:spacing w:after="100"/>
      <w:ind w:left="1540"/>
    </w:pPr>
  </w:style>
  <w:style w:type="paragraph" w:styleId="886">
    <w:name w:val="toc 9"/>
    <w:basedOn w:val="843"/>
    <w:next w:val="843"/>
    <w:uiPriority w:val="39"/>
    <w:unhideWhenUsed/>
    <w:pPr>
      <w:pBdr/>
      <w:spacing w:after="100"/>
      <w:ind w:left="1760"/>
    </w:pPr>
  </w:style>
  <w:style w:type="character" w:styleId="887">
    <w:name w:val="Placeholder Text"/>
    <w:basedOn w:val="847"/>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43"/>
    <w:next w:val="843"/>
    <w:uiPriority w:val="99"/>
    <w:unhideWhenUsed/>
    <w:pPr>
      <w:pBdr/>
      <w:spacing w:after="0" w:afterAutospacing="0"/>
      <w:ind/>
    </w:pPr>
  </w:style>
  <w:style w:type="paragraph" w:styleId="890">
    <w:name w:val="Title"/>
    <w:qFormat/>
    <w:pPr>
      <w:pBdr/>
      <w:spacing/>
      <w:ind/>
    </w:pPr>
    <w:rPr>
      <w:sz w:val="56"/>
      <w:szCs w:val="56"/>
    </w:rPr>
  </w:style>
  <w:style w:type="paragraph" w:styleId="891">
    <w:name w:val="Heading 3"/>
    <w:qFormat/>
    <w:pPr>
      <w:pBdr/>
      <w:spacing/>
      <w:ind/>
    </w:pPr>
    <w:rPr>
      <w:color w:val="1f4d78"/>
      <w:sz w:val="24"/>
      <w:szCs w:val="24"/>
    </w:rPr>
  </w:style>
  <w:style w:type="paragraph" w:styleId="892">
    <w:name w:val="Heading 4"/>
    <w:qFormat/>
    <w:pPr>
      <w:pBdr/>
      <w:spacing/>
      <w:ind/>
    </w:pPr>
    <w:rPr>
      <w:i/>
      <w:iCs/>
      <w:color w:val="2e74b5"/>
    </w:rPr>
  </w:style>
  <w:style w:type="paragraph" w:styleId="893">
    <w:name w:val="Heading 5"/>
    <w:qFormat/>
    <w:pPr>
      <w:pBdr/>
      <w:spacing/>
      <w:ind/>
    </w:pPr>
    <w:rPr>
      <w:color w:val="2e74b5"/>
    </w:rPr>
  </w:style>
  <w:style w:type="paragraph" w:styleId="894">
    <w:name w:val="Heading 6"/>
    <w:qFormat/>
    <w:pPr>
      <w:pBdr/>
      <w:spacing/>
      <w:ind/>
    </w:pPr>
    <w:rPr>
      <w:color w:val="1f4d78"/>
    </w:rPr>
  </w:style>
  <w:style w:type="paragraph" w:styleId="895">
    <w:name w:val="Strong"/>
    <w:qFormat/>
    <w:pPr>
      <w:pBdr/>
      <w:spacing/>
      <w:ind/>
    </w:pPr>
    <w:rPr>
      <w:b/>
      <w:bCs/>
    </w:rPr>
  </w:style>
  <w:style w:type="paragraph" w:styleId="896">
    <w:name w:val="List Paragraph"/>
    <w:qFormat/>
    <w:pPr>
      <w:pBdr/>
      <w:spacing/>
      <w:ind/>
    </w:pPr>
  </w:style>
  <w:style w:type="character" w:styleId="897">
    <w:name w:val="Hyperlink"/>
    <w:uiPriority w:val="99"/>
    <w:unhideWhenUsed/>
    <w:pPr>
      <w:pBdr/>
      <w:spacing/>
      <w:ind/>
    </w:pPr>
    <w:rPr>
      <w:color w:val="0563c1"/>
      <w:u w:val="single"/>
    </w:rPr>
  </w:style>
  <w:style w:type="character" w:styleId="898">
    <w:name w:val="footnote reference"/>
    <w:uiPriority w:val="99"/>
    <w:semiHidden/>
    <w:unhideWhenUsed/>
    <w:pPr>
      <w:pBdr/>
      <w:spacing/>
      <w:ind/>
    </w:pPr>
    <w:rPr>
      <w:vertAlign w:val="superscript"/>
    </w:rPr>
  </w:style>
  <w:style w:type="paragraph" w:styleId="899">
    <w:name w:val="footnote text"/>
    <w:link w:val="900"/>
    <w:uiPriority w:val="99"/>
    <w:semiHidden/>
    <w:unhideWhenUsed/>
    <w:pPr>
      <w:pBdr/>
      <w:spacing w:after="0" w:line="240" w:lineRule="auto"/>
      <w:ind/>
    </w:pPr>
    <w:rPr>
      <w:sz w:val="20"/>
      <w:szCs w:val="20"/>
    </w:rPr>
  </w:style>
  <w:style w:type="character" w:styleId="900">
    <w:name w:val="Footnote Text Char"/>
    <w:link w:val="899"/>
    <w:uiPriority w:val="99"/>
    <w:semiHidden/>
    <w:unhideWhenUsed/>
    <w:pPr>
      <w:pBdr/>
      <w:spacing/>
      <w:ind/>
    </w:pPr>
    <w:rPr>
      <w:sz w:val="20"/>
      <w:szCs w:val="20"/>
    </w:rPr>
  </w:style>
  <w:style w:type="character" w:styleId="901">
    <w:name w:val="endnote reference"/>
    <w:uiPriority w:val="99"/>
    <w:semiHidden/>
    <w:unhideWhenUsed/>
    <w:pPr>
      <w:pBdr/>
      <w:spacing/>
      <w:ind/>
    </w:pPr>
    <w:rPr>
      <w:vertAlign w:val="superscript"/>
    </w:rPr>
  </w:style>
  <w:style w:type="paragraph" w:styleId="902">
    <w:name w:val="endnote text"/>
    <w:link w:val="903"/>
    <w:uiPriority w:val="99"/>
    <w:semiHidden/>
    <w:unhideWhenUsed/>
    <w:pPr>
      <w:pBdr/>
      <w:spacing w:after="0" w:line="240" w:lineRule="auto"/>
      <w:ind/>
    </w:pPr>
    <w:rPr>
      <w:sz w:val="20"/>
      <w:szCs w:val="20"/>
    </w:rPr>
  </w:style>
  <w:style w:type="character" w:styleId="903">
    <w:name w:val="Endnote Text Char"/>
    <w:link w:val="902"/>
    <w:uiPriority w:val="99"/>
    <w:semiHidden/>
    <w:unhideWhenUsed/>
    <w:pPr>
      <w:pBdr/>
      <w:spacing/>
      <w:ind/>
    </w:pPr>
    <w:rPr>
      <w:sz w:val="20"/>
      <w:szCs w:val="20"/>
    </w:rPr>
  </w:style>
  <w:style w:type="paragraph" w:styleId="904">
    <w:name w:val="Heading 1"/>
    <w:qFormat/>
    <w:pPr>
      <w:pBdr/>
      <w:spacing w:after="140" w:before="380"/>
      <w:ind/>
      <w:outlineLvl w:val="0"/>
    </w:pPr>
    <w:rPr>
      <w:rFonts w:ascii="Arial" w:hAnsi="Arial" w:eastAsia="Arial" w:cs="Arial"/>
      <w:b/>
      <w:bCs/>
      <w:color w:val="1f3864"/>
      <w:sz w:val="30"/>
      <w:szCs w:val="30"/>
    </w:rPr>
  </w:style>
  <w:style w:type="paragraph" w:styleId="905">
    <w:name w:val="Heading 2"/>
    <w:qFormat/>
    <w:pPr>
      <w:pBdr/>
      <w:spacing w:after="100" w:before="240"/>
      <w:ind/>
      <w:outlineLvl w:val="1"/>
    </w:pPr>
    <w:rPr>
      <w:rFonts w:ascii="Arial" w:hAnsi="Arial" w:eastAsia="Arial" w:cs="Arial"/>
      <w:b/>
      <w:bCs/>
      <w:color w:val="2e5597"/>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1 — Versión 2</dc:title>
  <dc:creator>Felipe Baeza Muñoz</dc:creator>
  <cp:revision>5</cp:revision>
  <dcterms:created xsi:type="dcterms:W3CDTF">2026-10-05T01:28:26Z</dcterms:created>
  <dcterms:modified xsi:type="dcterms:W3CDTF">2026-10-15T21:13:18Z</dcterms:modified>
</cp:coreProperties>
</file>