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UNIVERSIDAD DE SANTIAGO DE CHILE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FACULTAD DE INGENIERÍA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DEPARTAMENTO DE INGENIERÍA INFORMÁTICA</w:t>
      </w:r>
    </w:p>
    <w:p>
      <w:pPr>
        <w:spacing w:after="40" w:before="19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INFORME DE EJECUCIÓN — FASE 3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PREPARACIÓN DE LOS DATOS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Qué se hizo, por qué y qué resultó, explicado paso a paso</w:t>
      </w:r>
    </w:p>
    <w:p>
      <w:pPr>
        <w:spacing w:after="60" w:before="17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 de Tesis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de evaluación del desempeño hospitalario</w:t>
      </w:r>
    </w:p>
    <w:p>
      <w:pPr>
        <w:spacing w:after="17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Felipe Ignacio Baeza Muñoz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Profesor guía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Villalobos Cid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Carrera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Octubre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Resumen: qué se hizo y qué resultó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Fase 3 de CRISP-DM, Preparación de los datos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toma los seis archivos de texto que entrega FONASA (egresos hospitalarios 2019 a 2024) y los transforma en tablas ordenadas y confiables con las que se entrenarán los modelos de la siguiente fase. Este documento explica, para alguien que lo lee por primera vez,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se hizo en cada paso, por qué se hizo así y qué se encontró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hace falta saber programación para seguirlo.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5.808.535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egresos leídos y conservados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(ninguno se perdió)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3 capas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Bronce, Plata y Oro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más las cohortes A a 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 de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puertas de calidad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aprobadas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de proceso, con un pico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de 3 GB de memoria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El resultado en pocas líneas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Los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5.808.535 egresos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de los seis años pasaron por las tres capas y en cada paso las filas de entrada son iguales a las de salida más las excluidas con su motivo.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La cascada de cohortes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reproduce exactamente las 79 cifras de la Fase 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: cohorte de mortalidad (D) con 2.640.061 egresos entre 2019 y 2023 y cohorte de estadía (E) con 2.396.356.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Se construyeron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dos matrices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para modelar: mortalidad y estadía hospitalaria, con los años 2019–2022 para entrenar y 2023 para calibrar.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El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desenlace de 2024 quedó sellado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: nadie lo leyó, y el sistema lo verifica y lo registra.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Dos corridas completas dieron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archivos idénticos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(41 de 41 por huella SHA-256) y las 53 pruebas automáticas pasan.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Lo que esta fase no hizo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No se ejecutó la lectura enmascarada del tipo de alta de 2024 para anticipar el tamaño de la cohorte D de 2024: sigue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pendiente de aprobación expresa del profesor guía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No se envió ninguna carta a FONASA ni se consultó a la contraparte clínica; esas gestiones dependen del estudiante.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No se creó la base PostgreSQL: se entrega el script SQL del catálogo de hospitales, sin ejecutarlo.</w:t>
      </w:r>
    </w:p>
    <w:p>
      <w:r>
        <w:br w:type="page"/>
      </w:r>
    </w:p>
    <w:p>
      <w:pPr>
        <w:pStyle w:val="Heading1"/>
        <w:keepNext/>
      </w:pPr>
      <w:r>
        <w:t xml:space="preserve">2. Conceptos básicos antes de empezar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Para que el resto del documento se entienda, estas son las ideas que se usan todo el tiempo.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2"/>
        <w:gridCol w:w="7238"/>
      </w:tblGrid>
      <w:tr>
        <w:trPr>
          <w:cantSplit/>
          <w:tblHeader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significa en este proyecto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Egreso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Una fila de la base: una hospitalización terminada (el paciente salió del hospital por alta, traslado o fallecimiento). Hay 5,8 millones entre 2019 y 2024.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GRD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Grupo Relacionado por el Diagnóstico: una forma de clasificar los egresos según su diagnóstico y los procedimientos realizados, que usa FONASA.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Desenlace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 que se quiere predecir: si el paciente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falleció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en el hospital (modelo de mortalidad) 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cuántos días estuvo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hospitalizado (modelo de estadía).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Predictor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Dato que el modelo puede usar para predecir el desenlace y que se conoce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al ingresar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el paciente: edad, sexo, diagnóstico principal, comorbilidades, etc.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Fuga de información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Error grave: que un predictor contenga, sin querer, información del desenlace o del futuro. El modelo parece excelente en las pruebas y fracasa en la realidad. Gran parte de esta fase existe para evitarla.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Parquet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Formato de archivo para tablas grandes: ocupa cinco veces menos que el texto original y se lee por columnas, mucho más rápido.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Capas Bronce, Plata y Oro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Tres etapas de limpieza. Bronce es una copia fiel; Plata es la versión limpia y ordenada; Oro es la versión final lista para modelar.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Subconjunto de egresos que cumple ciertas condiciones. Por ejemplo, la cohorte C son los adultos hospitalizados.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Elixhauser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31 enfermedades crónicas (diabetes, insuficiencia cardíaca, cáncer…) que se detectan en los diagnósticos secundarios y miden cuán complejo era el paciente.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Calibración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Ajuste final del modelo para que sus probabilidades coincidan con lo observado. Se hace con 2023, un año que el modelo no usó para aprender.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Sellado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año 2024 es el examen final del modelo. Para que sea honesto, su desenlace se guarda en una carpeta aparte y se prohíbe abrirlo hasta la Fase 5.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2.1 Las reglas que la fase respeta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R1. El año 2024 no se toca.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Sus variables se preparan, pero su desenlace queda sellado.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R2. Lo que se aprende de los datos se aprende solo con 2019–2022.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Las categorías aceptadas y el tope de estadía no usan 2023 ni 2024.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R3. Nada desaparece sin explicación.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Cada exclusión tiene un motivo y un conteo.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R4. No se inventan datos.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Un valor imposible (por ejemplo una edad de 200 años) se deja vacío y se cuenta; nunca se rellena con un promedio.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R5. Privacidad.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Ninguna salida contiene RUT, fechas completas ni celdas con 1 a 9 casos.</w:t>
      </w:r>
    </w:p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 xml:space="preserve">3. Cómo está organizada la carpeta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314575"/>
            <wp:effectExtent t="0" r="0" b="0" l="0"/>
            <wp:docPr id="1" name="f3_flujo_capas.png" descr="Flujo de la Fase 3. Los archivos de FONASA pasan por tres capas y se separan en entrenamiento, calibración y el año 2024 sellado. El catálogo de hospitales guarda solo conteos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1.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Flujo de la Fase 3.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Los archivos de FONASA pasan por tres capas y se separan en entrenamiento, calibración y el año 2024 sellado. El catálogo de hospitales guarda solo conteos.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Igual que la Fase 2, todo está en una carpeta propia,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fase3_preparacion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Carpeta o archivo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contiene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prep/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código, un módulo por tarea: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bronce.py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plata.py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cohortes.py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oro.py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sellado.py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catalogo.py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privacidad.py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verificacion.py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config/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Parámetros congelados (edad mínima de adulto, tope de percentil, tamaño mínimo de celda) y las tablas de referencia: categorías de Elixhauser, roles del tipo de alta y las cifras de la Fase 2 con que se compara.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tests/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 pruebas automáticas con datos sintéticos (inventados) que comprueban cada regla.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salidas/tablas/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Todas las tablas de resultados de esta fase (CSV), incluida la tabla de las 8 puertas de calidad.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salidas/figuras/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gráficos de este documento.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run_fase3.py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botón de partida: un solo comando ejecuta todo en orden.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generar_figuras.py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Regenera los gráficos a partir de las tablas.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Las capas en sí (Bronce, Plata, Oro y el archivo sellado de 2024) pesan unos 800 MB y viven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fuera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la carpeta del proyecto, en el disco de trabajo; se pueden regenerar en 8 minutos con el comando anterior.</w:t>
      </w:r>
    </w:p>
    <w:p>
      <w:r>
        <w:br w:type="page"/>
      </w:r>
    </w:p>
    <w:p>
      <w:pPr>
        <w:pStyle w:val="Heading1"/>
        <w:keepNext/>
      </w:pPr>
      <w:r>
        <w:t xml:space="preserve">4. Paso a paso: qué ocurrió en cada capa</w:t>
      </w:r>
    </w:p>
    <w:p>
      <w:pPr>
        <w:pStyle w:val="Heading2"/>
        <w:keepNext/>
      </w:pPr>
      <w:r>
        <w:t xml:space="preserve">4.1 Bronce: copiar los archivos sin cambiar nada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hace.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Lee cada archivo de FONASA y lo guarda como Parquet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sin modificar ningún valor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(todo se guarda como texto). Agrega tres columnas: el año, el número de línea del archivo original y un identificador único del egreso. Así siempre es posible volver al archivo original para revisar un caso.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Por qué.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Si algo sale mal más adelante, Bronce es el punto de partida confiable. Separar «copiar» de «limpiar» evita mezclar errores.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se comprobó.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Que las 129 columnas esperadas estuvieran en cada archivo y que las filas leídas coincidieran con las líneas del archivo.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3"/>
        <w:gridCol w:w="2122"/>
        <w:gridCol w:w="2122"/>
        <w:gridCol w:w="2122"/>
        <w:gridCol w:w="1621"/>
      </w:tblGrid>
      <w:tr>
        <w:trPr>
          <w:cantSplit/>
          <w:tblHeader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Año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Líneas de datos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Filas leídas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Líneas defectuosas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Filas repetidas exactas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1.151.475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1.151.475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159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781.912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781.912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2.818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816.909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816.909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279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932.840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932.839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1.039.587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1.039.587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169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1.085.813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1.085.813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5.808.536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5.808.535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3.818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Dos hallazgos que conviene recordar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1. Una línea defectuosa en 2022.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Esa línea tenía un número de campos distinto del esperado, así que se apartó en lugar de adivinar. Por eso el archivo tiene 5.808.536 líneas y la base 5.808.535 egresos, que es la cifra que usan las fases anteriores.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2. 3.818 filas repetidas exactas.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Son idénticas en las 129 columnas. No se eliminaron: pueden ser dos egresos reales muy parecidos y borrarlos sería una decisión sin respaldo. Quedan documentadas.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3. Valores con forma de RUT.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Se encontraron en dos columnas de 2019 (USOSPABELLON y FECHAPROCEDIMIENTO1). Se cuentan, pero su contenido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nunca se guarda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; esas dos columnas no pasan a las capas siguientes.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676775" cy="1847850"/>
            <wp:effectExtent t="0" r="0" b="0" l="0"/>
            <wp:docPr id="1" name="f3_filas_bronce_plata.png" descr="Filas por año en Bronce y Plata. Son idénticas: la limpieza no pierde ningún egres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2.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Filas por año en Bronce y Plata.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Son idénticas: la limpieza no pierde ningún egreso.</w:t>
      </w:r>
    </w:p>
    <w:p>
      <w:pPr>
        <w:pStyle w:val="Heading2"/>
        <w:keepNext/>
      </w:pPr>
      <w:r>
        <w:t xml:space="preserve">4.2 Plata: limpiar y ordenar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hace.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Convierte el texto en tipos útiles (fechas, números, categorías) y estandariza lo que venía escrito de distintas formas. Reduce las 130 columnas a 62 que se necesitan. Entre otras cosas: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Une los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dos formatos de fecha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que usa la base (2020-03-02 y 02-03-2020) en uno solo.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Calcula 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edad en años cumplidos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al ingreso. Si la edad es imposible (negativa o sobre 110) la deja vacía.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Limpia los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códigos de diagnóstico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(mayúsculas, sin espacios ni puntos).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Calcula 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estadía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(fecha de alta menos fecha de ingreso); si resulta negativa la deja vacía.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Clasifica el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tipo de alta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en cuatro roles: evento (falleció), no evento (se fue de alta), censurado (traslado u otro: no se sabe qué pasó después) y sin dato.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Reemplaza columnas muy detalladas (procedimientos, traslados internos) por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cuentas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sin guardar los textos.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pasan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Plata las columnas prohibidas: severidad, peso y riesgo de mortalidad del GRD, el médico y el peso del recién nacido.</w:t>
      </w:r>
    </w:p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Por qué.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Los modelos necesitan números y categorías limpias. Anular un valor imposible es más honesto que rellenarlo: el egreso se conserva y el vacío queda contado.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2"/>
        <w:gridCol w:w="985"/>
        <w:gridCol w:w="985"/>
        <w:gridCol w:w="985"/>
        <w:gridCol w:w="985"/>
        <w:gridCol w:w="985"/>
        <w:gridCol w:w="1233"/>
      </w:tblGrid>
      <w:tr>
        <w:trPr>
          <w:cantSplit/>
          <w:tblHeader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anulado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2019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</w:tr>
      <w:tr>
        <w:trPr>
          <w:cantSplit/>
          <w:tblHeader w:val="false"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Identificador de paciente atípico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15.747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7.497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2.949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1.635</w:t>
            </w:r>
          </w:p>
        </w:tc>
        <w:tc>
          <w:tcPr>
            <w:tcW w:type="dxa" w:w="1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1.037</w:t>
            </w:r>
          </w:p>
        </w:tc>
      </w:tr>
      <w:tr>
        <w:trPr>
          <w:cantSplit/>
          <w:tblHeader w:val="false"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Estadía negativa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calcula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identificador atípico (demasiado corto o no numérico) no se usa para enlazar pacientes; el egreso sigue en la base. Las demás reglas (edades imposibles, fechas ilegibles) anularon menos de 20 valores por año cada una. Los conteos de 1 a 9 se muestran como «&lt;10» por la regla de privacidad.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676775" cy="2057400"/>
            <wp:effectExtent t="0" r="0" b="0" l="0"/>
            <wp:docPr id="1" name="f3_faltantes.png" descr="Datos faltantes, como máximo anual de cada columna. Ninguno se imputó. La columna HOSPPROCEDENCIA (87 % a 91 % vacía) no se muestra porque no se usa: los traslados entrantes se detectan con TIPO_PROCEDENCIA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3.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Datos faltantes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, como máximo anual de cada columna. Ninguno se imputó. La columna HOSPPROCEDENCIA (87 % a 91 % vacía) no se muestra porque no se usa: los traslados entrantes se detectan con TIPO_PROCEDENCIA.</w:t>
      </w:r>
    </w:p>
    <w:p>
      <w:pPr>
        <w:pStyle w:val="Heading2"/>
        <w:keepNext/>
      </w:pPr>
      <w:r>
        <w:t xml:space="preserve">4.3 Cohortes: quién entra a cada modelo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hace.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Aplica, en orden, ocho exclusiones. Cada una descarta egresos que no sirven para el modelo, y después de cada una queda una cohorte con nombre (A a E). El resultado se ve como un embudo.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209925"/>
            <wp:effectExtent t="0" r="0" b="0" l="0"/>
            <wp:docPr id="1" name="f3_cascada.png" descr="Cascada de cohortes, 2019–2023. Las barras anaranjadas son egresos excluidos y las azules las cohortes que quedan. 2024 llega solo hasta la cohorte C porque su desenlace está sellado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4.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Cascada de cohortes, 2019–2023.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Las barras anaranjadas son egresos excluidos y las azules las cohortes que quedan. 2024 llega solo hasta la cohorte C porque su desenlace está sellado.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4368"/>
        <w:gridCol w:w="3994"/>
      </w:tblGrid>
      <w:tr>
        <w:trPr>
          <w:cantSplit/>
          <w:tblHeader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se excluye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EX01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GRD no agrupable (sin código, centinela o formato inválido)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 GRD no se puede comparar con casos similares.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EX02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Recién nacidos (MDC 15)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 riesgo se mide de otra forma.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EX03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Obstétricos sin comorbilidades (MDC 14)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Partos sin complicaciones casi no tienen mortalidad y distorsionan.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 dura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EX04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Menores de 18 años o edad desconocida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Decisión 5: solo adultos.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Adultos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EX05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Actividad distinta de hospitalización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evalúa solo la estadía hospitalaria.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Adultos hospitalizados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Única cohorte que existe también en 2024 (665.450).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EX06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Censurados por tipo de alta o sin dato de desenlace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sabe si fallecieron.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 del modelo de mortalidad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2.640.061 en 2019–2023.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EX07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Fallecidos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Salen del modelo de estadía.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EX08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Sobrevivientes con estadía de 0 días o desconocida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hay estadía que modelar.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 del modelo de estadía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2.396.356 en 2019–2023.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La prueba de que la cascada es correcta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La Fase 3 volvió a construir toda la cascada desde cero y la comparó con las cifras de la Fase 2: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79 cifras comparadas, 0 diferencias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. Además, en cada año se verificó que las exclusiones suman exactamente el total de egresos.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6"/>
        <w:gridCol w:w="1123"/>
        <w:gridCol w:w="1123"/>
        <w:gridCol w:w="1123"/>
        <w:gridCol w:w="1123"/>
        <w:gridCol w:w="1123"/>
        <w:gridCol w:w="999"/>
      </w:tblGrid>
      <w:tr>
        <w:trPr>
          <w:cantSplit/>
          <w:tblHeader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Cohorte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2019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2020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</w:tr>
      <w:tr>
        <w:trPr>
          <w:cantSplit/>
          <w:tblHeader w:val="false"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Egresos leídos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1.151.475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781.912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816.909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932.839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1.039.587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1.085.813</w:t>
            </w:r>
          </w:p>
        </w:tc>
      </w:tr>
      <w:tr>
        <w:trPr>
          <w:cantSplit/>
          <w:tblHeader w:val="false"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C: adultos hospitalizados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616.159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514.825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539.276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568.017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623.137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665.450</w:t>
            </w:r>
          </w:p>
        </w:tc>
      </w:tr>
      <w:tr>
        <w:trPr>
          <w:cantSplit/>
          <w:tblHeader w:val="false"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D: mortalidad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585.631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474.341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488.799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522.553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568.737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sellado</w:t>
            </w:r>
          </w:p>
        </w:tc>
      </w:tr>
      <w:tr>
        <w:trPr>
          <w:cantSplit/>
          <w:tblHeader w:val="false"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E: estadía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538.814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426.076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437.842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473.791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519.833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sellado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keepNext/>
      </w:pPr>
      <w:r>
        <w:t xml:space="preserve">4.4 Oro: las variables finales para modelar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hace.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Arma, para las cohortes D y E, las tablas definitivas: una fila por egreso, con los predictores, y por separado el desenlace. Los predictores son: edad, sexo, fin de semana, tipo de ingreso, procedencia, nivel de cuidado al ingreso, diagnóstico principal (3 caracteres), grupo clínico y los 31 indicadores de Elixhauser. En total, 52 columnas documentadas en el diccionario de variables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diccionario_oro.csv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Tres decisiones importantes.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Predictores y desenlace van en archivos distintos.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Así es imposible que el desenlace se cuele entre las variables por accidente.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Las categorías raras se agrupan.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Un diagnóstico con menos de 100 egresos en 2019–2022 pasa a la categoría «RARO». El diagnóstico principal queda con 824 categorías. Esta lista se calcula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solo con el entrenamiento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si en 2023 o 2024 aparece una categoría nueva, también va a «RARO».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Los agregados de comorbilidad están aparte.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El número de enfermedades y el puntaje de van Walraven son combinaciones exactas de los 31 indicadores; ponerlos juntos duplicaría información. Quedan en una tabla de línea base.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400675" cy="1323975"/>
            <wp:effectExtent t="0" r="0" b="0" l="0"/>
            <wp:docPr id="1" name="f3_particion.png" descr="Partición por año. La asignación a entrenamiento, calibración o prueba depende solo del año del egreso, nunca de los datos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5.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Partición por año.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La asignación a entrenamiento, calibración o prueba depende solo del año del egreso, nunca de los datos.</w:t>
      </w:r>
    </w:p>
    <w:p>
      <w:pPr>
        <w:pStyle w:val="Heading3"/>
        <w:keepNext/>
      </w:pPr>
      <w:r>
        <w:t xml:space="preserve">El tope de estadía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Hay hospitalizaciones muy largas (el máximo es 3.146 días). Para que no dominen al modelo, la estadía se recorta en el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percentil 99 del entrenamiento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53 días. Afecta a 17.995 egresos de 1.876.523 (0,96 %). Nadie sale de la cohorte: solo cambia el valor que cuenta.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038725" cy="2228850"/>
            <wp:effectExtent t="0" r="0" b="0" l="0"/>
            <wp:docPr id="1" name="f3_estadia_tope.png" descr="Distribución de la estadía de los sobrevivientes de 2019–2022 (escala logarítmica). Lo anaranjado se recorta a 53 días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6.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Distribución de la estadía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de los sobrevivientes de 2019–2022 (escala logarítmica). Lo anaranjado se recorta a 53 días.</w:t>
      </w:r>
    </w:p>
    <w:p>
      <w:pPr>
        <w:pStyle w:val="Heading3"/>
        <w:keepNext/>
      </w:pPr>
      <w:r>
        <w:t xml:space="preserve">Mortalidad por año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mortalidad hospitalaria de la cohorte D fue 5,34 % en el entrenamiento y 4,26 % en 2023, y 5,11 % en 2019–2023 en conjunto, igual que lo medido en la Fase 2. Fue más alta en 2020 (6,13 %) y 2021 (6,37 %), años que coinciden con la pandemia.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676775" cy="2000250"/>
            <wp:effectExtent t="0" r="0" b="0" l="0"/>
            <wp:docPr id="1" name="f3_mortalidad.png" descr="Mortalidad hospitalaria por año en la cohorte D. El año 2024 no se calcula: está sellado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7.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Mortalidad hospitalaria por año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en la cohorte D. El año 2024 no se calcula: está sellado.</w:t>
      </w:r>
    </w:p>
    <w:p>
      <w:pPr>
        <w:pStyle w:val="Heading3"/>
        <w:keepNext/>
      </w:pPr>
      <w:r>
        <w:t xml:space="preserve">Las comorbilidades y el cambio en la codificación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Los indicadores de Elixhauser aparecen más a menudo con los años. Por ejemplo, la hipertensión pasó de 36,5 % de los egresos en 2019 a 40,4 % en 2024 y la obesidad de 11,1 % a 15,9 %. Una parte importante del aumento viene de que los hospitales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codifican más diagnósticos por egreso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no solo de pacientes más enfermos. Por eso la prevalencia por año se reporta y se vigilará en la Fase 4.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00675" cy="2457450"/>
            <wp:effectExtent t="0" r="0" b="0" l="0"/>
            <wp:docPr id="1" name="f3_elixhauser_anio.png" descr="Prevalencia anual de las diez condiciones de Elixhauser más frecuentes en 2023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8.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Prevalencia anual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de las diez condiciones de Elixhauser más frecuentes en 2023.</w:t>
      </w:r>
    </w:p>
    <w:p>
      <w:pPr>
        <w:pStyle w:val="Heading2"/>
        <w:keepNext/>
      </w:pPr>
      <w:r>
        <w:t xml:space="preserve">4.5 Sellado de 2024: cómo se protege el examen final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 procesar 2024, el desenlace (tipo de alta y fecha de alta) se separa en un archivo dentro de una carpeta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sellado/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En ese año el programa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calcula ningún promedio ni conteo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del desenlace: solo lo guarda. Para abrir el archivo hay que declarar una autorización explícita y cada intento queda en un registro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registro_accesos.csv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Las pruebas automáticas comprueban que sin autorización la lectura falla y que queda anotada.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cantSplit/>
          <w:tblHeader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Comprobación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Lecturas del desenlace de 2024 concedidas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Episodios de 2024 en los archivos de desenlace abiertos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Escrituras selladas en el registro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(una por corrida; no calculan ningún agregado)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Pendiente de decisión del profesor guía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Existe una lectura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enmascarada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que solo devuelve si cada egreso de 2024 entraría o no a la cohorte D, sin revelar la mortalidad. Serviría para conocer el tamaño de la cohorte de prueba, pero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no se ejecutó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porque no tiene aprobación expresa. La función existe, está probada y se bloquea si no hay autorización.</w:t>
      </w:r>
    </w:p>
    <w:p>
      <w:pPr>
        <w:pStyle w:val="Heading2"/>
        <w:keepNext/>
      </w:pPr>
      <w:r>
        <w:t xml:space="preserve">4.6 Catálogo de hospitales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construyó una tabla con, por hospital y año, el número de egresos, el tamaño de las cohortes C y D y los fallecidos (celdas de 1 a 9 casos se muestran como «&lt;10»). Se marca si el hospital está en el catálogo oficial y si cumple el volumen mínimo observado (500 egresos y 10 fallecidos). Esa marca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excluye a nadie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solo informa.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106"/>
        <w:gridCol w:w="1989"/>
        <w:gridCol w:w="1638"/>
        <w:gridCol w:w="1872"/>
      </w:tblGrid>
      <w:tr>
        <w:trPr>
          <w:cantSplit/>
          <w:tblHeader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Año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Hospitales con egresos</w:t>
            </w:r>
          </w:p>
        </w:tc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el catálogo oficial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Fuera del catálogo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Cumplen volumen</w:t>
            </w:r>
          </w:p>
        </w:tc>
      </w:tr>
      <w:tr>
        <w:trPr>
          <w:cantSplit/>
          <w:tblHeader w:val="false"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2019 a 2022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</w:t>
            </w:r>
          </w:p>
        </w:tc>
      </w:tr>
      <w:tr>
        <w:trPr>
          <w:cantSplit/>
          <w:tblHeader w:val="false"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</w:t>
            </w:r>
          </w:p>
        </w:tc>
      </w:tr>
      <w:tr>
        <w:trPr>
          <w:cantSplit/>
          <w:tblHeader w:val="false"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calcula (sellado)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Hay un hospital con egresos en 2024 que no está en el catálogo oficial; hay que averiguar a qué corresponde. Además se entrega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catalogo_hospitales.sql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un script listo para cargar la tabla en PostgreSQL. No se ejecutó porque no hay una base disponible en este entorno.</w:t>
      </w:r>
    </w:p>
    <w:p>
      <w:r>
        <w:br w:type="page"/>
      </w:r>
    </w:p>
    <w:p>
      <w:pPr>
        <w:pStyle w:val="Heading1"/>
        <w:keepNext/>
      </w:pPr>
      <w:r>
        <w:t xml:space="preserve">5. Las 8 puertas de calidad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fase se da por terminada solo si pasan ocho verificaciones automáticas. Son como el «control de calidad» de una fábrica: si una falla, se corrige y se repite.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5741"/>
        <w:gridCol w:w="1373"/>
      </w:tblGrid>
      <w:tr>
        <w:trPr>
          <w:cantSplit/>
          <w:tblHeader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Puerta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comprueba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P1 Bronce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 se leyeron todas las filas y las 129 columnas en los 6 archivos.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P2 Plata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5.808.535 filas en Plata = Bronce, y la tabla de valores anulados existe.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P3 Cascada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 cifras iguales a la Fase 2; la cascada cuadra en los 6 años.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P4 Oro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Cero variables prohibidas, cero agregados junto a los 31 indicadores y todas las columnas descritas en el diccionario.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P5 Sellado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Cero lecturas del desenlace de 2024.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P6 Privacidad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Ningún RUT, fecha completa ni celda de 1 a 9 casos en las salidas; la fecha de nacimiento no llega al Oro.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P7 Sin fuga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 categorías son las mismas calculando con y sin 2023–2024; tope de 53 días.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P8 Reproducibilidad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 pruebas pasan; dos corridas completas dan 41 de 41 archivos idénticos; pico de 3,07 GB.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5.1 Qué falló en el camino y cómo se corrigió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 la primera corrida completa aparecieron tres problemas, todos corregidos y verificados con una corrida nueva: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Un error de tipos en el catálogo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(contaba en dos formatos de número distintos al unir los años): se unificó el formato.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 puerta de privacidad falló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porque tres tablas de apoyo mostraban conteos de 1 a 9 casos (por ejemplo, categorías de diagnóstico muy raras). Se reemplazaron por «&lt;10».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 puerta de reproducibilidad falló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porque el contador de pruebas leía mal su propio resumen. Se corrigió la lectura.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038725" cy="2105025"/>
            <wp:effectExtent t="0" r="0" b="0" l="0"/>
            <wp:docPr id="1" name="f3_tiempos_memoria.png" descr="Tiempo y memoria por etapa. Todo el proceso toma unos 8 minutos y nunca pasa de 3,1 GB, muy por debajo de los 7 GB del equipo de prueba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9. </w:t>
      </w: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Tiempo y memoria por etapa.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Todo el proceso toma unos 8 minutos y nunca pasa de 3,1 GB, muy por debajo de los 7 GB del equipo de prueba.</w:t>
      </w:r>
    </w:p>
    <w:p>
      <w:pPr>
        <w:pStyle w:val="Heading1"/>
        <w:keepNext/>
      </w:pPr>
      <w:r>
        <w:t xml:space="preserve">6. Hallazgos que conviene tener presentes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2"/>
        <w:gridCol w:w="4368"/>
      </w:tblGrid>
      <w:tr>
        <w:trPr>
          <w:cantSplit/>
          <w:tblHeader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implica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 identificador del paciente cambia de formato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entre 2020 y 2021 y unos 29.000 identificadores de 2019 a 2024 son atípicos.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pueden seguir pacientes de punta a punta; por eso no se construyen variables de historial (decisión 1).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codificación crece cada año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más diagnósticos por egreso.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indicadores de comorbilidad no significan exactamente lo mismo en 2019 que en 2024. Se vigila con la prevalencia anual.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mortalidad varió bastante entre años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(4,08 % en 2019, 6,37 % en 2021, 4,26 % en 2023).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modelos deben calibrarse con un año reciente (2023), tal como está planeado.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3.818 filas repetidas exactas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y una línea defectuosa.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Quedan documentadas. Habría que preguntar a FONASA si las repetidas son duplicados reales.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 hospital de 2024 no figura en el catálogo oficial.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Averiguar a qué corresponde antes de la evaluación final.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Las variables de ingreso son condicionales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(tipo de ingreso, procedencia y nivel de cuidado).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Entran al Oro, pero la Fase 4 debe verificar que no identifiquen al hospital, que es lo que el modelo no debe aprender.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7. Qué queda pendiente y cómo sigue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2"/>
        <w:gridCol w:w="1997"/>
        <w:gridCol w:w="2621"/>
      </w:tblGrid>
      <w:tr>
        <w:trPr>
          <w:cantSplit/>
          <w:tblHeader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rPr>
          <w:cantSplit/>
          <w:tblHeader w:val="false"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Aprobar o no la lectura enmascarada de TIPOALTA 2024.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Profesor guía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Permitiría conocer el tamaño de la cohorte D de 2024. Sin aprobación, no se ejecuta.</w:t>
            </w:r>
          </w:p>
        </w:tc>
      </w:tr>
      <w:tr>
        <w:trPr>
          <w:cantSplit/>
          <w:tblHeader w:val="false"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Enviar las cartas a FONASA (valores con forma de RUT, filas repetidas, identificador).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Estudiante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Cierra los hallazgos de calidad de la fuente.</w:t>
            </w:r>
          </w:p>
        </w:tc>
      </w:tr>
      <w:tr>
        <w:trPr>
          <w:cantSplit/>
          <w:tblHeader w:val="false"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Revisión clínica de la agrupación de procedencias y del nivel de cuidado.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Contraparte clínica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 dos variables condicionales.</w:t>
            </w:r>
          </w:p>
        </w:tc>
      </w:tr>
      <w:tr>
        <w:trPr>
          <w:cantSplit/>
          <w:tblHeader w:val="false"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Cargar el catálogo de hospitales en PostgreSQL con el script entregado.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Estudiante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Deja la base lista para la Fase 5.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Cómo sigue la Fase 4 (Modelado)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La Fase 4 recibe las dos matrices (mortalidad y estadía), el diccionario de variables, la línea base de comorbilidad, el tope de estadía y las tablas de vigilancia. Tiene prohibido leer el desenlace de 2024, usar variables del GRD (severidad, peso, riesgo) como predictores o usar el año o el código del hospital como predictor.</w:t>
      </w:r>
    </w:p>
    <w:p>
      <w:pPr>
        <w:pStyle w:val="Heading1"/>
        <w:keepNext/>
      </w:pPr>
      <w:r>
        <w:t xml:space="preserve">8. Cómo repetir todo desde cero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 los seis archivos de FONASA en una carpeta, un solo comando ejecuta todo en orden y deja las 8 puertas aprobadas:</w:t>
      </w:r>
    </w:p>
    <w:p>
      <w:pPr>
        <w:spacing w:after="120" w:before="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python run_fase3.py --data-root &lt;carpeta con los .txt&gt; --capas &lt;carpeta de trabajo&gt;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Los resultados deben coincidir con los de este documento; si no, alguna puerta lo avisa. Para regenerar los gráficos: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python generar_figuras.py --capas &lt;carpeta de trabajo&gt;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cantSplit/>
          <w:tblHeader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 de la corrida final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Duración de una corrida completa (6 años)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unos 8 minutos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Pico de memoria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3,07 GB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Archivos generados idénticos entre dos corridas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 de 41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Pruebas automáticas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 aprobadas, 0 falladas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Egresos en el Oro: mortalidad / estadía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2.640.061 / 2.396.356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 C de 2024 (solo variables)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665.450</w:t>
            </w:r>
          </w:p>
        </w:tc>
      </w:tr>
    </w:tbl>
    <w:p>
      <w:pPr>
        <w:spacing w:after="160"/>
      </w:pP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Informe de ejecución Fase 3  |  Página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b5aada8de87be6b0b5931a7f29ae286c6942ce39.png"/><Relationship Id="rId10" Type="http://schemas.openxmlformats.org/officeDocument/2006/relationships/image" Target="media/a9476617baf4088662e270a3840d88a593985a83.png"/><Relationship Id="rId11" Type="http://schemas.openxmlformats.org/officeDocument/2006/relationships/image" Target="media/a2886e76f130bef23c541a1415cccbf26fd58a5b.png"/><Relationship Id="rId12" Type="http://schemas.openxmlformats.org/officeDocument/2006/relationships/image" Target="media/ff07a1141b14704c06b1036a184ee3f047017001.png"/><Relationship Id="rId13" Type="http://schemas.openxmlformats.org/officeDocument/2006/relationships/image" Target="media/b97b427f08bc4e2781a1a7a121f1ed0a1eace36e.png"/><Relationship Id="rId14" Type="http://schemas.openxmlformats.org/officeDocument/2006/relationships/image" Target="media/bdd75e9dadf40853e27328cf22677605023627e1.png"/><Relationship Id="rId15" Type="http://schemas.openxmlformats.org/officeDocument/2006/relationships/image" Target="media/89ca9e7a82bf771ee0e7fc8d1d7665c0f2baedc0.png"/><Relationship Id="rId16" Type="http://schemas.openxmlformats.org/officeDocument/2006/relationships/image" Target="media/a894bcf0a1154eb6cd0cb6196d82f85c6f6536ee.png"/><Relationship Id="rId17" Type="http://schemas.openxmlformats.org/officeDocument/2006/relationships/image" Target="media/2ed69e821299ecc8981350ada5b0b054cca0cf7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ejecución Fase 3 - Preparación de los datos</dc:title>
  <dc:creator>Felipe Ignacio Baeza Muñoz</dc:creator>
  <dc:description>Tesis USACH - CRISP-DM Fase 3</dc:description>
  <cp:lastModifiedBy>Un-named</cp:lastModifiedBy>
  <cp:revision>1</cp:revision>
  <dcterms:created xsi:type="dcterms:W3CDTF">2026-10-18T05:02:38.305Z</dcterms:created>
  <dcterms:modified xsi:type="dcterms:W3CDTF">2026-10-18T05:02:38.305Z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