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718096"/>
          <w:sz w:val="19"/>
        </w:rPr>
        <w:t>UNIVERSIDAD DE SANTIAGO DE CHILE</w:t>
        <w:br/>
        <w:t>FACULTAD DE INGENIERÍA</w:t>
        <w:br/>
        <w:t>DEPARTAMENTO DE INGENIERÍA INFORMÁTICA</w:t>
      </w:r>
    </w:p>
    <w:p>
      <w:pPr>
        <w:spacing w:before="80" w:after="360"/>
        <w:pBdr>
          <w:bottom w:val="single" w:sz="18" w:space="1" w:color="1B365D"/>
        </w:pBdr>
      </w:pPr>
    </w:p>
    <w:p>
      <w:pPr>
        <w:spacing w:before="0" w:after="80"/>
      </w:pPr>
      <w:r>
        <w:rPr>
          <w:rFonts w:ascii="Calibri" w:hAnsi="Calibri"/>
          <w:b/>
          <w:color w:val="1B365D"/>
          <w:sz w:val="40"/>
        </w:rPr>
        <w:t>INFORME TÉCNICO: FASE 1 — COMPRENSIÓN DEL DOMINIO</w:t>
        <w:br/>
        <w:t>(BUSINESS UNDERSTANDING)</w:t>
      </w:r>
    </w:p>
    <w:p>
      <w:pPr>
        <w:spacing w:before="0" w:after="280"/>
      </w:pPr>
      <w:r>
        <w:rPr>
          <w:rFonts w:ascii="Calibri" w:hAnsi="Calibri"/>
          <w:i/>
          <w:color w:val="2B6CB0"/>
          <w:sz w:val="26"/>
        </w:rPr>
        <w:t>Proyecto de Tesis: Sistema de evaluación del desempeño hospitalario ajustado por riesgo mediante aprendizaje automático</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2880"/>
            <w:shd w:fill="F7FAFC"/>
            <w:tcMar>
              <w:top w:w="60" w:type="dxa"/>
              <w:bottom w:w="60" w:type="dxa"/>
              <w:left w:w="100" w:type="dxa"/>
              <w:right w:w="100" w:type="dxa"/>
            </w:tcMar>
          </w:tcPr>
          <w:p>
            <w:pPr>
              <w:spacing w:after="0"/>
            </w:pPr>
            <w:r>
              <w:rPr>
                <w:b/>
                <w:color w:val="1B365D"/>
                <w:sz w:val="20"/>
              </w:rPr>
              <w:t>Estudiante:</w:t>
            </w:r>
          </w:p>
        </w:tc>
        <w:tc>
          <w:tcPr>
            <w:tcW w:type="dxa" w:w="6480"/>
            <w:shd w:fill="FFFFFF"/>
            <w:tcMar>
              <w:top w:w="60" w:type="dxa"/>
              <w:bottom w:w="60" w:type="dxa"/>
              <w:left w:w="100" w:type="dxa"/>
              <w:right w:w="100" w:type="dxa"/>
            </w:tcMar>
          </w:tcPr>
          <w:p>
            <w:pPr>
              <w:spacing w:after="0"/>
            </w:pPr>
            <w:r>
              <w:rPr>
                <w:color w:val="2D3748"/>
                <w:sz w:val="20"/>
              </w:rPr>
              <w:t>Felipe Ignacio Baeza Muñoz</w:t>
            </w:r>
          </w:p>
        </w:tc>
      </w:tr>
      <w:tr>
        <w:tc>
          <w:tcPr>
            <w:tcW w:type="dxa" w:w="2880"/>
            <w:shd w:fill="F7FAFC"/>
            <w:tcMar>
              <w:top w:w="60" w:type="dxa"/>
              <w:bottom w:w="60" w:type="dxa"/>
              <w:left w:w="100" w:type="dxa"/>
              <w:right w:w="100" w:type="dxa"/>
            </w:tcMar>
          </w:tcPr>
          <w:p>
            <w:pPr>
              <w:spacing w:after="0"/>
            </w:pPr>
            <w:r>
              <w:rPr>
                <w:b/>
                <w:color w:val="1B365D"/>
                <w:sz w:val="20"/>
              </w:rPr>
              <w:t>Carrera:</w:t>
            </w:r>
          </w:p>
        </w:tc>
        <w:tc>
          <w:tcPr>
            <w:tcW w:type="dxa" w:w="6480"/>
            <w:shd w:fill="FFFFFF"/>
            <w:tcMar>
              <w:top w:w="60" w:type="dxa"/>
              <w:bottom w:w="60" w:type="dxa"/>
              <w:left w:w="100" w:type="dxa"/>
              <w:right w:w="100" w:type="dxa"/>
            </w:tcMar>
          </w:tcPr>
          <w:p>
            <w:pPr>
              <w:spacing w:after="0"/>
            </w:pPr>
            <w:r>
              <w:rPr>
                <w:color w:val="2D3748"/>
                <w:sz w:val="20"/>
              </w:rPr>
              <w:t>Ingeniería de Ejecución en Computación e Informática</w:t>
            </w:r>
          </w:p>
        </w:tc>
      </w:tr>
      <w:tr>
        <w:tc>
          <w:tcPr>
            <w:tcW w:type="dxa" w:w="2880"/>
            <w:shd w:fill="F7FAFC"/>
            <w:tcMar>
              <w:top w:w="60" w:type="dxa"/>
              <w:bottom w:w="60" w:type="dxa"/>
              <w:left w:w="100" w:type="dxa"/>
              <w:right w:w="100" w:type="dxa"/>
            </w:tcMar>
          </w:tcPr>
          <w:p>
            <w:pPr>
              <w:spacing w:after="0"/>
            </w:pPr>
            <w:r>
              <w:rPr>
                <w:b/>
                <w:color w:val="1B365D"/>
                <w:sz w:val="20"/>
              </w:rPr>
              <w:t>Período / Fecha:</w:t>
            </w:r>
          </w:p>
        </w:tc>
        <w:tc>
          <w:tcPr>
            <w:tcW w:type="dxa" w:w="6480"/>
            <w:shd w:fill="FFFFFF"/>
            <w:tcMar>
              <w:top w:w="60" w:type="dxa"/>
              <w:bottom w:w="60" w:type="dxa"/>
              <w:left w:w="100" w:type="dxa"/>
              <w:right w:w="100" w:type="dxa"/>
            </w:tcMar>
          </w:tcPr>
          <w:p>
            <w:pPr>
              <w:spacing w:after="0"/>
            </w:pPr>
            <w:r>
              <w:rPr>
                <w:color w:val="2D3748"/>
                <w:sz w:val="20"/>
              </w:rPr>
              <w:t>Septiembre 2026 | Seminario de Tesis</w:t>
            </w:r>
          </w:p>
        </w:tc>
      </w:tr>
    </w:tbl>
    <w:p>
      <w:pPr>
        <w:spacing w:after="240"/>
      </w:pPr>
    </w:p>
    <w:p>
      <w:pPr>
        <w:keepNext/>
        <w:spacing w:before="360" w:after="120"/>
        <w:pBdr>
          <w:bottom w:val="single" w:sz="12" w:space="4" w:color="2B6CB0"/>
        </w:pBdr>
      </w:pPr>
      <w:r>
        <w:rPr>
          <w:rFonts w:ascii="Calibri" w:hAnsi="Calibri"/>
          <w:b/>
          <w:color w:val="1B365D"/>
          <w:sz w:val="32"/>
        </w:rPr>
        <w:t>1. ¿De qué trata el proyecto y por qué es importante?</w:t>
      </w:r>
    </w:p>
    <w:p>
      <w:r>
        <w:t xml:space="preserve">En Chile, cada vez que un paciente sale de un hospital —ya sea por alta médica, traslado a otro recinto o fallecimiento— se genera un registro formal denominado </w:t>
      </w:r>
      <w:r>
        <w:rPr>
          <w:b/>
        </w:rPr>
        <w:t>"egreso hospitalario"</w:t>
      </w:r>
      <w:r>
        <w:t xml:space="preserve">. Este contiene la totalidad de su trayectoria clínica en el episodio: diagnósticos de entrada y secundarios, días de estancia, resultado final, médicos tratantes e intervenciones. El sistema estándar que clasifica y organiza esta información es el modelo de </w:t>
      </w:r>
      <w:r>
        <w:rPr>
          <w:b/>
        </w:rPr>
        <w:t>GRD (Grupos Relacionados por Diagnóstico)</w:t>
      </w:r>
      <w:r>
        <w:t>, el cual produce anualmente más de un millón de registros en la red hospitalaria pública chilena.</w:t>
      </w:r>
    </w:p>
    <w:p>
      <w:r>
        <w:t xml:space="preserve">El nudo crítico actual radica en que </w:t>
      </w:r>
      <w:r>
        <w:rPr>
          <w:b/>
        </w:rPr>
        <w:t>ninguna entidad utiliza de forma sistemática estos microdatos para evaluar el desempeño hospitalario con rigurosidad</w:t>
      </w:r>
      <w:r>
        <w:t>. Las plataformas y memorias oficiales se limitan a divulgar promedios descriptivos globales (por ejemplo, la tasa bruta de mortalidad intrahospitalaria), omitiendo cualquier tipo de ajuste estadístico por la complejidad intrínseca de los pacientes que acuden a cada establecimiento.</w:t>
      </w:r>
    </w:p>
    <w:p>
      <w:r>
        <w:t>Esto genera una comparación estructuralmente injusta y engañosa: un hospital de alta complejidad que atiende pacientes de edad avanzada, oncológicos o con múltiples patologías crónicas presentará invariablemente mayores tasas de fallecimiento y estancias prolongadas en comparación con recintos de menor nivel resolutivo. Evaluar ambos bajo una tasa cruda no mide calidad clínica, sino que castiga a los centros que reciben la casuística más grave.</w:t>
      </w:r>
    </w:p>
    <w:p>
      <w:r>
        <w:rPr>
          <w:b/>
        </w:rPr>
        <w:t>El objetivo de este proyecto de tesis es solucionar esta distorsión mediante un sistema computacional de evaluación ajustada por riesgo que:</w:t>
      </w:r>
    </w:p>
    <w:p>
      <w:pPr>
        <w:pStyle w:val="ListBullet"/>
        <w:spacing w:after="60"/>
      </w:pPr>
      <w:r>
        <w:rPr>
          <w:b/>
          <w:color w:val="1B365D"/>
        </w:rPr>
        <w:t>1. Procesa</w:t>
      </w:r>
      <w:r>
        <w:t xml:space="preserve"> masivamente 5.808.536 registros históricos de egresos hospitalarios (período 2019–2024), obtenidos formalmente desde FONASA vía Ley N° 20.285 sobre Acceso a la Información Pública.</w:t>
      </w:r>
    </w:p>
    <w:p>
      <w:pPr>
        <w:pStyle w:val="ListBullet"/>
        <w:spacing w:after="60"/>
      </w:pPr>
      <w:r>
        <w:rPr>
          <w:b/>
          <w:color w:val="1B365D"/>
        </w:rPr>
        <w:t>2. Predice</w:t>
      </w:r>
      <w:r>
        <w:t>, a través de técnicas de Machine Learning, la cantidad esperada de defunciones y de días de estancia que teóricamente debería registrar un centro, condicionado exclusivamente al perfil clínico y comorbilidades de ingreso de sus pacientes.</w:t>
      </w:r>
    </w:p>
    <w:p>
      <w:pPr>
        <w:pStyle w:val="ListBullet"/>
        <w:spacing w:after="60"/>
      </w:pPr>
      <w:r>
        <w:rPr>
          <w:b/>
          <w:color w:val="1B365D"/>
        </w:rPr>
        <w:t>3. Compara</w:t>
      </w:r>
      <w:r>
        <w:t xml:space="preserve"> lo observado en la realidad versus lo esperado estadísticamente, construyendo el indicador clave Razón O/E (Observado / Esperado).</w:t>
      </w:r>
    </w:p>
    <w:p>
      <w:pPr>
        <w:pStyle w:val="ListBullet"/>
        <w:spacing w:after="60"/>
      </w:pPr>
      <w:r>
        <w:rPr>
          <w:b/>
          <w:color w:val="1B365D"/>
        </w:rPr>
        <w:t>4. Visualiza</w:t>
      </w:r>
      <w:r>
        <w:t xml:space="preserve"> los resultados en una plataforma web analítica e interactiva, permitiendo a directivos de salud, médicos y ciudadanía interpretar el desempeño de forma equitativa y fundamentada.</w:t>
      </w: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180" w:type="dxa"/>
            </w:tcMar>
            <w:tcBorders>
              <w:left w:val="single" w:sz="24" w:space="0" w:color="1B365D"/>
              <w:top w:val="none"/>
              <w:bottom w:val="none"/>
              <w:right w:val="none"/>
            </w:tcBorders>
          </w:tcPr>
          <w:p>
            <w:pPr>
              <w:spacing w:before="0" w:after="60"/>
            </w:pPr>
            <w:r>
              <w:rPr>
                <w:rFonts w:ascii="Calibri" w:hAnsi="Calibri"/>
                <w:b/>
                <w:color w:val="1B365D"/>
                <w:sz w:val="22"/>
              </w:rPr>
              <w:t>Propósito Central del Sistema</w:t>
            </w:r>
          </w:p>
          <w:p>
            <w:pPr>
              <w:spacing w:before="0" w:after="0"/>
            </w:pPr>
            <w:r>
              <w:rPr>
                <w:rFonts w:ascii="Calibri" w:hAnsi="Calibri"/>
                <w:color w:val="2D3748"/>
                <w:sz w:val="21"/>
              </w:rPr>
              <w:t>El sistema no busca construir rankings punitivos ni señalar culpabilidades individuales. Su fin es suministrar señales objetivas de alerta temprana que permitan a los hospitales detectar oportunidades de mejora en sus procesos clínicos y asistenciales.</w:t>
            </w:r>
          </w:p>
        </w:tc>
      </w:tr>
    </w:tbl>
    <w:p>
      <w:pPr>
        <w:spacing w:after="80"/>
      </w:pPr>
    </w:p>
    <w:p>
      <w:pPr>
        <w:keepNext/>
        <w:spacing w:before="360" w:after="120"/>
        <w:pBdr>
          <w:bottom w:val="single" w:sz="12" w:space="4" w:color="2B6CB0"/>
        </w:pBdr>
      </w:pPr>
      <w:r>
        <w:rPr>
          <w:rFonts w:ascii="Calibri" w:hAnsi="Calibri"/>
          <w:b/>
          <w:color w:val="1B365D"/>
          <w:sz w:val="32"/>
        </w:rPr>
        <w:t>2. Las reglas fundamentales del modelo</w:t>
      </w:r>
    </w:p>
    <w:p>
      <w:r>
        <w:t>Para garantizar la validez científica, epidemiológica y metodológica del sistema, se han establecido tres reglas inquebrantables de diseño:</w:t>
      </w:r>
    </w:p>
    <w:p>
      <w:pPr>
        <w:keepNext/>
        <w:spacing w:before="280" w:after="80"/>
      </w:pPr>
      <w:r>
        <w:rPr>
          <w:rFonts w:ascii="Calibri" w:hAnsi="Calibri"/>
          <w:b/>
          <w:color w:val="2B6CB0"/>
          <w:sz w:val="26"/>
        </w:rPr>
        <w:t>Regla 1 — Solo información disponible al momento del ingreso</w:t>
      </w:r>
    </w:p>
    <w:p>
      <w:r>
        <w:t xml:space="preserve">El algoritmo predictivo únicamente puede alimentarse de las variables que un equipo médico conoce al instante en que el paciente ingresa: edad, sexo, diagnóstico principal de admisión y comorbilidades crónicas preexistentes. </w:t>
      </w:r>
      <w:r>
        <w:rPr>
          <w:b/>
        </w:rPr>
        <w:t>Queda estrictamente prohibido utilizar información generada durante la hospitalización</w:t>
      </w:r>
      <w:r>
        <w:t xml:space="preserve"> (como días en UCI, cirugías realizadas, complicaciones intrahospitalarias o derivaciones intermedias). Violar este principio constituiría </w:t>
      </w:r>
      <w:r>
        <w:rPr>
          <w:b/>
        </w:rPr>
        <w:t>fuga de datos (data leakage)</w:t>
      </w:r>
      <w:r>
        <w:t>, error metodológico que invalidaría el carácter predictivo del modelo al utilizar desenlaces como predictores.</w:t>
      </w:r>
    </w:p>
    <w:p>
      <w:pPr>
        <w:keepNext/>
        <w:spacing w:before="280" w:after="80"/>
      </w:pPr>
      <w:r>
        <w:rPr>
          <w:rFonts w:ascii="Calibri" w:hAnsi="Calibri"/>
          <w:b/>
          <w:color w:val="2B6CB0"/>
          <w:sz w:val="26"/>
        </w:rPr>
        <w:t>Regla 2 — El hospital no puede ser variable predictora</w:t>
      </w:r>
    </w:p>
    <w:p>
      <w:r>
        <w:t xml:space="preserve">Está prohibido incorporar el identificador del hospital (código o nombre) dentro del vector de características de entrenamiento. Si el modelo conociera qué hospital atiende al paciente, memorizaría el desempeño histórico de dicho recinto, cayendo en un razonamiento circular. El modelo debe calcular </w:t>
      </w:r>
      <w:r>
        <w:rPr>
          <w:i/>
        </w:rPr>
        <w:t>"cuál es el riesgo intrínseco de este paciente en el sistema de salud global"</w:t>
      </w:r>
      <w:r>
        <w:t>. El identificador hospitalario solo se utiliza en la fase final de agregación para confrontar el consolidado observado frente al consolidado esperado.</w:t>
      </w:r>
    </w:p>
    <w:p>
      <w:pPr>
        <w:keepNext/>
        <w:spacing w:before="280" w:after="80"/>
      </w:pPr>
      <w:r>
        <w:rPr>
          <w:rFonts w:ascii="Calibri" w:hAnsi="Calibri"/>
          <w:b/>
          <w:color w:val="2B6CB0"/>
          <w:sz w:val="26"/>
        </w:rPr>
        <w:t>Regla 3 — Las comorbilidades son el corazón del ajuste</w:t>
      </w:r>
    </w:p>
    <w:p>
      <w:r>
        <w:t xml:space="preserve">El riesgo vital de un paciente no depende únicamente de su causa inmediata de ingreso, sino de su estado de salud basal (patologías preexistentes como hipertensión, diabetes complicada, insuficiencia cardíaca, cáncer o falla renal). Para estandarizar esta dimensión clínica, el sistema implementa íntegramente el </w:t>
      </w:r>
      <w:r>
        <w:rPr>
          <w:b/>
        </w:rPr>
        <w:t>Índice de Comorbilidad de Elixhauser</w:t>
      </w:r>
      <w:r>
        <w:t>, compuesto por 31 categorías comórbidas reconocidas internacionalmente.</w:t>
      </w:r>
    </w:p>
    <w:p>
      <w:pPr>
        <w:keepNext/>
        <w:spacing w:before="360" w:after="120"/>
        <w:pBdr>
          <w:bottom w:val="single" w:sz="12" w:space="4" w:color="2B6CB0"/>
        </w:pBdr>
      </w:pPr>
      <w:r>
        <w:rPr>
          <w:rFonts w:ascii="Calibri" w:hAnsi="Calibri"/>
          <w:b/>
          <w:color w:val="1B365D"/>
          <w:sz w:val="32"/>
        </w:rPr>
        <w:t>3. Los datos con los que trabajo</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4680"/>
        <w:gridCol w:w="4680"/>
      </w:tblGrid>
      <w:tr>
        <w:tc>
          <w:tcPr>
            <w:tcW w:type="dxa" w:w="3168"/>
            <w:shd w:fill="1B365D"/>
            <w:tcMar>
              <w:top w:w="100" w:type="dxa"/>
              <w:bottom w:w="100" w:type="dxa"/>
              <w:left w:w="140" w:type="dxa"/>
              <w:right w:w="140" w:type="dxa"/>
            </w:tcMar>
          </w:tcPr>
          <w:p>
            <w:r>
              <w:rPr>
                <w:b/>
                <w:color w:val="FFFFFF"/>
                <w:sz w:val="20"/>
              </w:rPr>
              <w:t>Característica</w:t>
            </w:r>
          </w:p>
        </w:tc>
        <w:tc>
          <w:tcPr>
            <w:tcW w:type="dxa" w:w="6192"/>
            <w:shd w:fill="1B365D"/>
            <w:tcMar>
              <w:top w:w="100" w:type="dxa"/>
              <w:bottom w:w="100" w:type="dxa"/>
              <w:left w:w="140" w:type="dxa"/>
              <w:right w:w="140" w:type="dxa"/>
            </w:tcMar>
          </w:tcPr>
          <w:p>
            <w:r>
              <w:rPr>
                <w:b/>
                <w:color w:val="FFFFFF"/>
                <w:sz w:val="20"/>
              </w:rPr>
              <w:t>Detalle Técnico / Especificación</w:t>
            </w:r>
          </w:p>
        </w:tc>
      </w:tr>
      <w:tr>
        <w:tc>
          <w:tcPr>
            <w:tcW w:type="dxa" w:w="3168"/>
            <w:shd w:fill="F7FAFC"/>
            <w:tcMar>
              <w:top w:w="80" w:type="dxa"/>
              <w:bottom w:w="80" w:type="dxa"/>
              <w:left w:w="120" w:type="dxa"/>
              <w:right w:w="120" w:type="dxa"/>
            </w:tcMar>
          </w:tcPr>
          <w:p>
            <w:pPr>
              <w:spacing w:after="0"/>
            </w:pPr>
            <w:r>
              <w:rPr>
                <w:b/>
                <w:color w:val="1B365D"/>
                <w:sz w:val="19"/>
              </w:rPr>
              <w:t>Fuente de información</w:t>
            </w:r>
          </w:p>
        </w:tc>
        <w:tc>
          <w:tcPr>
            <w:tcW w:type="dxa" w:w="6192"/>
            <w:shd w:fill="F7FAFC"/>
            <w:tcMar>
              <w:top w:w="80" w:type="dxa"/>
              <w:bottom w:w="80" w:type="dxa"/>
              <w:left w:w="120" w:type="dxa"/>
              <w:right w:w="120" w:type="dxa"/>
            </w:tcMar>
          </w:tcPr>
          <w:p>
            <w:pPr>
              <w:spacing w:after="0"/>
            </w:pPr>
            <w:r>
              <w:rPr>
                <w:sz w:val="19"/>
              </w:rPr>
              <w:t>Fondo Nacional de Salud (FONASA) — Ley N° 20.285 de Transparencia</w:t>
            </w:r>
          </w:p>
        </w:tc>
      </w:tr>
      <w:tr>
        <w:tc>
          <w:tcPr>
            <w:tcW w:type="dxa" w:w="3168"/>
            <w:shd w:fill="FFFFFF"/>
            <w:tcMar>
              <w:top w:w="80" w:type="dxa"/>
              <w:bottom w:w="80" w:type="dxa"/>
              <w:left w:w="120" w:type="dxa"/>
              <w:right w:w="120" w:type="dxa"/>
            </w:tcMar>
          </w:tcPr>
          <w:p>
            <w:pPr>
              <w:spacing w:after="0"/>
            </w:pPr>
            <w:r>
              <w:rPr>
                <w:b/>
                <w:color w:val="1B365D"/>
                <w:sz w:val="19"/>
              </w:rPr>
              <w:t>Período temporal</w:t>
            </w:r>
          </w:p>
        </w:tc>
        <w:tc>
          <w:tcPr>
            <w:tcW w:type="dxa" w:w="6192"/>
            <w:shd w:fill="FFFFFF"/>
            <w:tcMar>
              <w:top w:w="80" w:type="dxa"/>
              <w:bottom w:w="80" w:type="dxa"/>
              <w:left w:w="120" w:type="dxa"/>
              <w:right w:w="120" w:type="dxa"/>
            </w:tcMar>
          </w:tcPr>
          <w:p>
            <w:pPr>
              <w:spacing w:after="0"/>
            </w:pPr>
            <w:r>
              <w:rPr>
                <w:sz w:val="19"/>
              </w:rPr>
              <w:t>Egresos hospitalarios anuales 2019 – 2024 (6 años completos)</w:t>
            </w:r>
          </w:p>
        </w:tc>
      </w:tr>
      <w:tr>
        <w:tc>
          <w:tcPr>
            <w:tcW w:type="dxa" w:w="3168"/>
            <w:shd w:fill="F7FAFC"/>
            <w:tcMar>
              <w:top w:w="80" w:type="dxa"/>
              <w:bottom w:w="80" w:type="dxa"/>
              <w:left w:w="120" w:type="dxa"/>
              <w:right w:w="120" w:type="dxa"/>
            </w:tcMar>
          </w:tcPr>
          <w:p>
            <w:pPr>
              <w:spacing w:after="0"/>
            </w:pPr>
            <w:r>
              <w:rPr>
                <w:b/>
                <w:color w:val="1B365D"/>
                <w:sz w:val="19"/>
              </w:rPr>
              <w:t>Volumen total de registros</w:t>
            </w:r>
          </w:p>
        </w:tc>
        <w:tc>
          <w:tcPr>
            <w:tcW w:type="dxa" w:w="6192"/>
            <w:shd w:fill="F7FAFC"/>
            <w:tcMar>
              <w:top w:w="80" w:type="dxa"/>
              <w:bottom w:w="80" w:type="dxa"/>
              <w:left w:w="120" w:type="dxa"/>
              <w:right w:w="120" w:type="dxa"/>
            </w:tcMar>
          </w:tcPr>
          <w:p>
            <w:pPr>
              <w:spacing w:after="0"/>
            </w:pPr>
            <w:r>
              <w:rPr>
                <w:sz w:val="19"/>
              </w:rPr>
              <w:t>5.808.536 episodios de egreso hospitalario</w:t>
            </w:r>
          </w:p>
        </w:tc>
      </w:tr>
      <w:tr>
        <w:tc>
          <w:tcPr>
            <w:tcW w:type="dxa" w:w="3168"/>
            <w:shd w:fill="FFFFFF"/>
            <w:tcMar>
              <w:top w:w="80" w:type="dxa"/>
              <w:bottom w:w="80" w:type="dxa"/>
              <w:left w:w="120" w:type="dxa"/>
              <w:right w:w="120" w:type="dxa"/>
            </w:tcMar>
          </w:tcPr>
          <w:p>
            <w:pPr>
              <w:spacing w:after="0"/>
            </w:pPr>
            <w:r>
              <w:rPr>
                <w:b/>
                <w:color w:val="1B365D"/>
                <w:sz w:val="19"/>
              </w:rPr>
              <w:t>Dimensionalidad por registro</w:t>
            </w:r>
          </w:p>
        </w:tc>
        <w:tc>
          <w:tcPr>
            <w:tcW w:type="dxa" w:w="6192"/>
            <w:shd w:fill="FFFFFF"/>
            <w:tcMar>
              <w:top w:w="80" w:type="dxa"/>
              <w:bottom w:w="80" w:type="dxa"/>
              <w:left w:w="120" w:type="dxa"/>
              <w:right w:w="120" w:type="dxa"/>
            </w:tcMar>
          </w:tcPr>
          <w:p>
            <w:pPr>
              <w:spacing w:after="0"/>
            </w:pPr>
            <w:r>
              <w:rPr>
                <w:sz w:val="19"/>
              </w:rPr>
              <w:t>129 variables clínicas, temporales y administrativas</w:t>
            </w:r>
          </w:p>
        </w:tc>
      </w:tr>
      <w:tr>
        <w:tc>
          <w:tcPr>
            <w:tcW w:type="dxa" w:w="3168"/>
            <w:shd w:fill="F7FAFC"/>
            <w:tcMar>
              <w:top w:w="80" w:type="dxa"/>
              <w:bottom w:w="80" w:type="dxa"/>
              <w:left w:w="120" w:type="dxa"/>
              <w:right w:w="120" w:type="dxa"/>
            </w:tcMar>
          </w:tcPr>
          <w:p>
            <w:pPr>
              <w:spacing w:after="0"/>
            </w:pPr>
            <w:r>
              <w:rPr>
                <w:b/>
                <w:color w:val="1B365D"/>
                <w:sz w:val="19"/>
              </w:rPr>
              <w:t>Formato de origen</w:t>
            </w:r>
          </w:p>
        </w:tc>
        <w:tc>
          <w:tcPr>
            <w:tcW w:type="dxa" w:w="6192"/>
            <w:shd w:fill="F7FAFC"/>
            <w:tcMar>
              <w:top w:w="80" w:type="dxa"/>
              <w:bottom w:w="80" w:type="dxa"/>
              <w:left w:w="120" w:type="dxa"/>
              <w:right w:w="120" w:type="dxa"/>
            </w:tcMar>
          </w:tcPr>
          <w:p>
            <w:pPr>
              <w:spacing w:after="0"/>
            </w:pPr>
            <w:r>
              <w:rPr>
                <w:sz w:val="19"/>
              </w:rPr>
              <w:t>Archivos de texto plano (.txt) delimitados por barra vertical (|)</w:t>
            </w:r>
          </w:p>
        </w:tc>
      </w:tr>
      <w:tr>
        <w:tc>
          <w:tcPr>
            <w:tcW w:type="dxa" w:w="3168"/>
            <w:shd w:fill="FFFFFF"/>
            <w:tcMar>
              <w:top w:w="80" w:type="dxa"/>
              <w:bottom w:w="80" w:type="dxa"/>
              <w:left w:w="120" w:type="dxa"/>
              <w:right w:w="120" w:type="dxa"/>
            </w:tcMar>
          </w:tcPr>
          <w:p>
            <w:pPr>
              <w:spacing w:after="0"/>
            </w:pPr>
            <w:r>
              <w:rPr>
                <w:b/>
                <w:color w:val="1B365D"/>
                <w:sz w:val="19"/>
              </w:rPr>
              <w:t>Entorno de cómputo</w:t>
            </w:r>
          </w:p>
        </w:tc>
        <w:tc>
          <w:tcPr>
            <w:tcW w:type="dxa" w:w="6192"/>
            <w:shd w:fill="FFFFFF"/>
            <w:tcMar>
              <w:top w:w="80" w:type="dxa"/>
              <w:bottom w:w="80" w:type="dxa"/>
              <w:left w:w="120" w:type="dxa"/>
              <w:right w:w="120" w:type="dxa"/>
            </w:tcMar>
          </w:tcPr>
          <w:p>
            <w:pPr>
              <w:spacing w:after="0"/>
            </w:pPr>
            <w:r>
              <w:rPr>
                <w:sz w:val="19"/>
              </w:rPr>
              <w:t>Intel Core i5 (13ª generación), 16 GB RAM, Linux (Ubuntu LTS)</w:t>
            </w:r>
          </w:p>
        </w:tc>
      </w:tr>
    </w:tbl>
    <w:p>
      <w:pPr>
        <w:spacing w:before="160"/>
      </w:pPr>
      <w:r>
        <w:rPr>
          <w:b/>
        </w:rPr>
        <w:t xml:space="preserve">Nota sobre escalabilidad: </w:t>
      </w:r>
      <w:r>
        <w:t xml:space="preserve">Debido a la magnitud del conjunto de datos (5,8 millones de filas y 129 columnas) y las restricciones de memoria física (16 GB RAM), se descartó el uso de herramientas tradicionales basadas en memoria completa (como Pandas convencional) y se implementó un motor de procesamiento basado en </w:t>
      </w:r>
      <w:r>
        <w:rPr>
          <w:b/>
        </w:rPr>
        <w:t>Polars</w:t>
      </w:r>
      <w:r>
        <w:t>, optimizado en Rust con ejecución perezosa (lazy evaluation) y streaming por lotes.</w:t>
      </w:r>
    </w:p>
    <w:p>
      <w:pPr>
        <w:keepNext/>
        <w:spacing w:before="360" w:after="120"/>
        <w:pBdr>
          <w:bottom w:val="single" w:sz="12" w:space="4" w:color="2B6CB0"/>
        </w:pBdr>
      </w:pPr>
      <w:r>
        <w:rPr>
          <w:rFonts w:ascii="Calibri" w:hAnsi="Calibri"/>
          <w:b/>
          <w:color w:val="1B365D"/>
          <w:sz w:val="32"/>
        </w:rPr>
        <w:t>4. Cómo se organiza el procesamiento — Arquitectura Medallón</w:t>
      </w:r>
    </w:p>
    <w:p>
      <w:r>
        <w:t xml:space="preserve">El flujo de ingeniería de datos se estructuró conforme a los principios de la </w:t>
      </w:r>
      <w:r>
        <w:rPr>
          <w:b/>
        </w:rPr>
        <w:t>Arquitectura Medallón</w:t>
      </w:r>
      <w:r>
        <w:t>, desacoplando la ingesta cruda, la refinación de calidad y la generación de features analíticas en tres capas secuenciales e inmutables:</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20"/>
        <w:gridCol w:w="3120"/>
        <w:gridCol w:w="3120"/>
      </w:tblGrid>
      <w:tr>
        <w:tc>
          <w:tcPr>
            <w:tcW w:type="dxa" w:w="2880"/>
            <w:shd w:fill="EDF2F7"/>
            <w:tcMar>
              <w:top w:w="80" w:type="dxa"/>
              <w:bottom w:w="80" w:type="dxa"/>
              <w:left w:w="100" w:type="dxa"/>
              <w:right w:w="100" w:type="dxa"/>
            </w:tcMar>
          </w:tcPr>
          <w:p>
            <w:pPr>
              <w:spacing w:after="0"/>
            </w:pPr>
            <w:r>
              <w:rPr>
                <w:b/>
                <w:color w:val="1B365D"/>
                <w:sz w:val="19"/>
              </w:rPr>
              <w:t>Archivos Crudos (.txt)</w:t>
            </w:r>
          </w:p>
        </w:tc>
        <w:tc>
          <w:tcPr>
            <w:tcW w:type="dxa" w:w="3168"/>
            <w:shd w:fill="EDF2F7"/>
            <w:tcMar>
              <w:top w:w="80" w:type="dxa"/>
              <w:bottom w:w="80" w:type="dxa"/>
              <w:left w:w="100" w:type="dxa"/>
              <w:right w:w="100" w:type="dxa"/>
            </w:tcMar>
          </w:tcPr>
          <w:p>
            <w:pPr>
              <w:spacing w:after="0"/>
            </w:pPr>
            <w:r>
              <w:rPr>
                <w:b/>
                <w:color w:val="2B6CB0"/>
                <w:sz w:val="18"/>
              </w:rPr>
              <w:t>Archivos originales anuales FONASA</w:t>
            </w:r>
          </w:p>
        </w:tc>
        <w:tc>
          <w:tcPr>
            <w:tcW w:type="dxa" w:w="3312"/>
            <w:shd w:fill="EDF2F7"/>
            <w:tcMar>
              <w:top w:w="80" w:type="dxa"/>
              <w:bottom w:w="80" w:type="dxa"/>
              <w:left w:w="100" w:type="dxa"/>
              <w:right w:w="100" w:type="dxa"/>
            </w:tcMar>
          </w:tcPr>
          <w:p>
            <w:pPr>
              <w:spacing w:after="0"/>
            </w:pPr>
            <w:r>
              <w:rPr>
                <w:sz w:val="18"/>
              </w:rPr>
              <w:t>Datos en crudo separados por pipe (|)</w:t>
            </w:r>
          </w:p>
        </w:tc>
      </w:tr>
      <w:tr>
        <w:tc>
          <w:tcPr>
            <w:tcW w:type="dxa" w:w="2880"/>
            <w:shd w:fill="FFFFFF"/>
            <w:tcMar>
              <w:top w:w="80" w:type="dxa"/>
              <w:bottom w:w="80" w:type="dxa"/>
              <w:left w:w="100" w:type="dxa"/>
              <w:right w:w="100" w:type="dxa"/>
            </w:tcMar>
          </w:tcPr>
          <w:p>
            <w:pPr>
              <w:spacing w:after="0"/>
            </w:pPr>
            <w:r>
              <w:rPr>
                <w:b/>
                <w:color w:val="1B365D"/>
                <w:sz w:val="19"/>
              </w:rPr>
              <w:t>Capa Bronce (Bronze)</w:t>
            </w:r>
          </w:p>
        </w:tc>
        <w:tc>
          <w:tcPr>
            <w:tcW w:type="dxa" w:w="3168"/>
            <w:shd w:fill="FFFFFF"/>
            <w:tcMar>
              <w:top w:w="80" w:type="dxa"/>
              <w:bottom w:w="80" w:type="dxa"/>
              <w:left w:w="100" w:type="dxa"/>
              <w:right w:w="100" w:type="dxa"/>
            </w:tcMar>
          </w:tcPr>
          <w:p>
            <w:pPr>
              <w:spacing w:after="0"/>
            </w:pPr>
            <w:r>
              <w:rPr>
                <w:b/>
                <w:color w:val="2B6CB0"/>
                <w:sz w:val="18"/>
              </w:rPr>
              <w:t>Ingesta estandarizada y persistencia</w:t>
            </w:r>
          </w:p>
        </w:tc>
        <w:tc>
          <w:tcPr>
            <w:tcW w:type="dxa" w:w="3312"/>
            <w:shd w:fill="FFFFFF"/>
            <w:tcMar>
              <w:top w:w="80" w:type="dxa"/>
              <w:bottom w:w="80" w:type="dxa"/>
              <w:left w:w="100" w:type="dxa"/>
              <w:right w:w="100" w:type="dxa"/>
            </w:tcMar>
          </w:tcPr>
          <w:p>
            <w:pPr>
              <w:spacing w:after="0"/>
            </w:pPr>
            <w:r>
              <w:rPr>
                <w:sz w:val="18"/>
              </w:rPr>
              <w:t>Lectura estricta, rechazos a cuarentena, formato columnar Parquet e ID_EPISODIO</w:t>
            </w:r>
          </w:p>
        </w:tc>
      </w:tr>
      <w:tr>
        <w:tc>
          <w:tcPr>
            <w:tcW w:type="dxa" w:w="2880"/>
            <w:shd w:fill="EDF2F7"/>
            <w:tcMar>
              <w:top w:w="80" w:type="dxa"/>
              <w:bottom w:w="80" w:type="dxa"/>
              <w:left w:w="100" w:type="dxa"/>
              <w:right w:w="100" w:type="dxa"/>
            </w:tcMar>
          </w:tcPr>
          <w:p>
            <w:pPr>
              <w:spacing w:after="0"/>
            </w:pPr>
            <w:r>
              <w:rPr>
                <w:b/>
                <w:color w:val="1B365D"/>
                <w:sz w:val="19"/>
              </w:rPr>
              <w:t>Capa Plata (Silver)</w:t>
            </w:r>
          </w:p>
        </w:tc>
        <w:tc>
          <w:tcPr>
            <w:tcW w:type="dxa" w:w="3168"/>
            <w:shd w:fill="EDF2F7"/>
            <w:tcMar>
              <w:top w:w="80" w:type="dxa"/>
              <w:bottom w:w="80" w:type="dxa"/>
              <w:left w:w="100" w:type="dxa"/>
              <w:right w:w="100" w:type="dxa"/>
            </w:tcMar>
          </w:tcPr>
          <w:p>
            <w:pPr>
              <w:spacing w:after="0"/>
            </w:pPr>
            <w:r>
              <w:rPr>
                <w:b/>
                <w:color w:val="2B6CB0"/>
                <w:sz w:val="18"/>
              </w:rPr>
              <w:t>Limpieza, validación y filtros clínicos</w:t>
            </w:r>
          </w:p>
        </w:tc>
        <w:tc>
          <w:tcPr>
            <w:tcW w:type="dxa" w:w="3312"/>
            <w:shd w:fill="EDF2F7"/>
            <w:tcMar>
              <w:top w:w="80" w:type="dxa"/>
              <w:bottom w:w="80" w:type="dxa"/>
              <w:left w:w="100" w:type="dxa"/>
              <w:right w:w="100" w:type="dxa"/>
            </w:tcMar>
          </w:tcPr>
          <w:p>
            <w:pPr>
              <w:spacing w:after="0"/>
            </w:pPr>
            <w:r>
              <w:rPr>
                <w:sz w:val="18"/>
              </w:rPr>
              <w:t>Tipado de fechas, normalización CIE-10, depuración de anomalías y filtros de cohorte</w:t>
            </w:r>
          </w:p>
        </w:tc>
      </w:tr>
      <w:tr>
        <w:tc>
          <w:tcPr>
            <w:tcW w:type="dxa" w:w="2880"/>
            <w:shd w:fill="FFFFFF"/>
            <w:tcMar>
              <w:top w:w="80" w:type="dxa"/>
              <w:bottom w:w="80" w:type="dxa"/>
              <w:left w:w="100" w:type="dxa"/>
              <w:right w:w="100" w:type="dxa"/>
            </w:tcMar>
          </w:tcPr>
          <w:p>
            <w:pPr>
              <w:spacing w:after="0"/>
            </w:pPr>
            <w:r>
              <w:rPr>
                <w:b/>
                <w:color w:val="1B365D"/>
                <w:sz w:val="19"/>
              </w:rPr>
              <w:t>Capa Oro (Gold)</w:t>
            </w:r>
          </w:p>
        </w:tc>
        <w:tc>
          <w:tcPr>
            <w:tcW w:type="dxa" w:w="3168"/>
            <w:shd w:fill="FFFFFF"/>
            <w:tcMar>
              <w:top w:w="80" w:type="dxa"/>
              <w:bottom w:w="80" w:type="dxa"/>
              <w:left w:w="100" w:type="dxa"/>
              <w:right w:w="100" w:type="dxa"/>
            </w:tcMar>
          </w:tcPr>
          <w:p>
            <w:pPr>
              <w:spacing w:after="0"/>
            </w:pPr>
            <w:r>
              <w:rPr>
                <w:b/>
                <w:color w:val="2B6CB0"/>
                <w:sz w:val="18"/>
              </w:rPr>
              <w:t>Ingeniería de variables y features</w:t>
            </w:r>
          </w:p>
        </w:tc>
        <w:tc>
          <w:tcPr>
            <w:tcW w:type="dxa" w:w="3312"/>
            <w:shd w:fill="FFFFFF"/>
            <w:tcMar>
              <w:top w:w="80" w:type="dxa"/>
              <w:bottom w:w="80" w:type="dxa"/>
              <w:left w:w="100" w:type="dxa"/>
              <w:right w:w="100" w:type="dxa"/>
            </w:tcMar>
          </w:tcPr>
          <w:p>
            <w:pPr>
              <w:spacing w:after="0"/>
            </w:pPr>
            <w:r>
              <w:rPr>
                <w:sz w:val="18"/>
              </w:rPr>
              <w:t>Cálculo de Elixhauser (31 comorbilidades), variables de riesgo y targets ML</w:t>
            </w:r>
          </w:p>
        </w:tc>
      </w:tr>
      <w:tr>
        <w:tc>
          <w:tcPr>
            <w:tcW w:type="dxa" w:w="2880"/>
            <w:shd w:fill="EDF2F7"/>
            <w:tcMar>
              <w:top w:w="80" w:type="dxa"/>
              <w:bottom w:w="80" w:type="dxa"/>
              <w:left w:w="100" w:type="dxa"/>
              <w:right w:w="100" w:type="dxa"/>
            </w:tcMar>
          </w:tcPr>
          <w:p>
            <w:pPr>
              <w:spacing w:after="0"/>
            </w:pPr>
            <w:r>
              <w:rPr>
                <w:b/>
                <w:color w:val="1B365D"/>
                <w:sz w:val="19"/>
              </w:rPr>
              <w:t>Modelos Machine Learning</w:t>
            </w:r>
          </w:p>
        </w:tc>
        <w:tc>
          <w:tcPr>
            <w:tcW w:type="dxa" w:w="3168"/>
            <w:shd w:fill="EDF2F7"/>
            <w:tcMar>
              <w:top w:w="80" w:type="dxa"/>
              <w:bottom w:w="80" w:type="dxa"/>
              <w:left w:w="100" w:type="dxa"/>
              <w:right w:w="100" w:type="dxa"/>
            </w:tcMar>
          </w:tcPr>
          <w:p>
            <w:pPr>
              <w:spacing w:after="0"/>
            </w:pPr>
            <w:r>
              <w:rPr>
                <w:b/>
                <w:color w:val="2B6CB0"/>
                <w:sz w:val="18"/>
              </w:rPr>
              <w:t>Predicción ajustada por riesgo</w:t>
            </w:r>
          </w:p>
        </w:tc>
        <w:tc>
          <w:tcPr>
            <w:tcW w:type="dxa" w:w="3312"/>
            <w:shd w:fill="EDF2F7"/>
            <w:tcMar>
              <w:top w:w="80" w:type="dxa"/>
              <w:bottom w:w="80" w:type="dxa"/>
              <w:left w:w="100" w:type="dxa"/>
              <w:right w:w="100" w:type="dxa"/>
            </w:tcMar>
          </w:tcPr>
          <w:p>
            <w:pPr>
              <w:spacing w:after="0"/>
            </w:pPr>
            <w:r>
              <w:rPr>
                <w:sz w:val="18"/>
              </w:rPr>
              <w:t>Modelos supervisados de Clasificación (Mortalidad) y Regresión (Estancia)</w:t>
            </w:r>
          </w:p>
        </w:tc>
      </w:tr>
      <w:tr>
        <w:tc>
          <w:tcPr>
            <w:tcW w:type="dxa" w:w="2880"/>
            <w:shd w:fill="FFFFFF"/>
            <w:tcMar>
              <w:top w:w="80" w:type="dxa"/>
              <w:bottom w:w="80" w:type="dxa"/>
              <w:left w:w="100" w:type="dxa"/>
              <w:right w:w="100" w:type="dxa"/>
            </w:tcMar>
          </w:tcPr>
          <w:p>
            <w:pPr>
              <w:spacing w:after="0"/>
            </w:pPr>
            <w:r>
              <w:rPr>
                <w:b/>
                <w:color w:val="1B365D"/>
                <w:sz w:val="19"/>
              </w:rPr>
              <w:t>Indicador O/E y Plataforma</w:t>
            </w:r>
          </w:p>
        </w:tc>
        <w:tc>
          <w:tcPr>
            <w:tcW w:type="dxa" w:w="3168"/>
            <w:shd w:fill="FFFFFF"/>
            <w:tcMar>
              <w:top w:w="80" w:type="dxa"/>
              <w:bottom w:w="80" w:type="dxa"/>
              <w:left w:w="100" w:type="dxa"/>
              <w:right w:w="100" w:type="dxa"/>
            </w:tcMar>
          </w:tcPr>
          <w:p>
            <w:pPr>
              <w:spacing w:after="0"/>
            </w:pPr>
            <w:r>
              <w:rPr>
                <w:b/>
                <w:color w:val="2B6CB0"/>
                <w:sz w:val="18"/>
              </w:rPr>
              <w:t>Evaluación y visualización</w:t>
            </w:r>
          </w:p>
        </w:tc>
        <w:tc>
          <w:tcPr>
            <w:tcW w:type="dxa" w:w="3312"/>
            <w:shd w:fill="FFFFFF"/>
            <w:tcMar>
              <w:top w:w="80" w:type="dxa"/>
              <w:bottom w:w="80" w:type="dxa"/>
              <w:left w:w="100" w:type="dxa"/>
              <w:right w:w="100" w:type="dxa"/>
            </w:tcMar>
          </w:tcPr>
          <w:p>
            <w:pPr>
              <w:spacing w:after="0"/>
            </w:pPr>
            <w:r>
              <w:rPr>
                <w:sz w:val="18"/>
              </w:rPr>
              <w:t>Razón O/E agregada por hospital, Funnel Plots de Spiegelhalter y visualización web</w:t>
            </w:r>
          </w:p>
        </w:tc>
      </w:tr>
    </w:tbl>
    <w:p>
      <w:pPr>
        <w:spacing w:after="120"/>
      </w:pPr>
    </w:p>
    <w:p>
      <w:pPr>
        <w:keepNext/>
        <w:spacing w:before="360" w:after="120"/>
        <w:pBdr>
          <w:bottom w:val="single" w:sz="12" w:space="4" w:color="2B6CB0"/>
        </w:pBdr>
      </w:pPr>
      <w:r>
        <w:rPr>
          <w:rFonts w:ascii="Calibri" w:hAnsi="Calibri"/>
          <w:b/>
          <w:color w:val="1B365D"/>
          <w:sz w:val="32"/>
        </w:rPr>
        <w:t>5. Qué hace cada etapa del pipeline</w:t>
      </w:r>
    </w:p>
    <w:p>
      <w:pPr>
        <w:keepNext/>
        <w:spacing w:before="280" w:after="80"/>
      </w:pPr>
      <w:r>
        <w:rPr>
          <w:rFonts w:ascii="Calibri" w:hAnsi="Calibri"/>
          <w:b/>
          <w:color w:val="2B6CB0"/>
          <w:sz w:val="26"/>
        </w:rPr>
        <w:t>Etapa 1 — Validación del esquema</w:t>
      </w:r>
    </w:p>
    <w:p>
      <w:r>
        <w:t xml:space="preserve">Antes de iniciar la ingesta, el pipeline audita que los archivos contengan de forma rigurosa las 129 columnas esperadas. Si se evidencia ausencia de campos o discrepancias estructurales, el proceso se aborta de forma controlada informando el desfase exacto. Esta etapa gestiona derivaciones de nombres entre períodos (por ejemplo, el campo </w:t>
      </w:r>
      <w:r>
        <w:rPr>
          <w:b/>
        </w:rPr>
        <w:t>ID_BENEFICIARIO</w:t>
      </w:r>
      <w:r>
        <w:t xml:space="preserve"> del año 2019 que fue sucedido como </w:t>
      </w:r>
      <w:r>
        <w:rPr>
          <w:b/>
        </w:rPr>
        <w:t>CIP_ENCRIPTADO</w:t>
      </w:r>
      <w:r>
        <w:t xml:space="preserve"> a contar de 2020).</w:t>
      </w:r>
    </w:p>
    <w:p>
      <w:pPr>
        <w:keepNext/>
        <w:spacing w:before="280" w:after="80"/>
      </w:pPr>
      <w:r>
        <w:rPr>
          <w:rFonts w:ascii="Calibri" w:hAnsi="Calibri"/>
          <w:b/>
          <w:color w:val="2B6CB0"/>
          <w:sz w:val="26"/>
        </w:rPr>
        <w:t>Etapa 2 — Ingesta y Generación de Clave Única (Capa Bronce)</w:t>
      </w:r>
    </w:p>
    <w:p>
      <w:r>
        <w:t xml:space="preserve">Procesa los 6 archivos anuales y realiza su conversión a formato binario columnar Parquet para acelerar las lecturas analíticas en órdenes de magnitud. Aquellas líneas con corrupción estructural insalvable son desviadas automáticamente a una tabla de cuarentena y rechazos. El pipeline ejecuta una validación de conservación matemática: </w:t>
      </w:r>
      <w:r>
        <w:rPr>
          <w:i/>
        </w:rPr>
        <w:t>Total de filas ingresadas = Filas aceptadas + Filas rechazadas</w:t>
      </w:r>
      <w:r>
        <w:t>.</w:t>
      </w:r>
    </w:p>
    <w:p>
      <w:r>
        <w:rPr>
          <w:b/>
        </w:rPr>
        <w:t xml:space="preserve">Creación del ID_EPISODIO: </w:t>
      </w:r>
      <w:r>
        <w:t>Los datos originales de FONASA carecen de una clave primaria única por evento hospitalario. En esta etapa se sintetiza un hash determinista derivado del año de origen, el número de línea físico y el contenido inmutable del registro, habilitando la trazabilidad unívoca entre todas las capas posteriores.</w:t>
      </w:r>
    </w:p>
    <w:p>
      <w:pPr>
        <w:keepNext/>
        <w:spacing w:before="280" w:after="80"/>
      </w:pPr>
      <w:r>
        <w:rPr>
          <w:rFonts w:ascii="Calibri" w:hAnsi="Calibri"/>
          <w:b/>
          <w:color w:val="2B6CB0"/>
          <w:sz w:val="26"/>
        </w:rPr>
        <w:t>Etapa 3 — Limpieza y Estandarización Clínica (Capa Plata)</w:t>
      </w:r>
    </w:p>
    <w:p>
      <w:pPr>
        <w:pStyle w:val="ListBullet"/>
        <w:spacing w:after="40"/>
      </w:pPr>
      <w:r>
        <w:rPr>
          <w:b/>
          <w:color w:val="1B365D"/>
        </w:rPr>
        <w:t xml:space="preserve">Tipificación de fechas: </w:t>
      </w:r>
      <w:r>
        <w:t>Unificación de los múltiples formatos cronológicos heterogéneos detectados en los archivos originales.</w:t>
      </w:r>
    </w:p>
    <w:p>
      <w:pPr>
        <w:pStyle w:val="ListBullet"/>
        <w:spacing w:after="40"/>
      </w:pPr>
      <w:r>
        <w:rPr>
          <w:b/>
          <w:color w:val="1B365D"/>
        </w:rPr>
        <w:t xml:space="preserve">Normalización numérica: </w:t>
      </w:r>
      <w:r>
        <w:t>Corrección de signos decimales europeos (coma) a notación estándar de punto flotante.</w:t>
      </w:r>
    </w:p>
    <w:p>
      <w:pPr>
        <w:pStyle w:val="ListBullet"/>
        <w:spacing w:after="40"/>
      </w:pPr>
      <w:r>
        <w:rPr>
          <w:b/>
          <w:color w:val="1B365D"/>
        </w:rPr>
        <w:t xml:space="preserve">Saneamiento de texto clínico: </w:t>
      </w:r>
      <w:r>
        <w:t>Conversión de diagnósticos a mayúsculas, eliminación de caracteres diacríticos (tildes) y espacios espurios.</w:t>
      </w:r>
    </w:p>
    <w:p>
      <w:pPr>
        <w:pStyle w:val="ListBullet"/>
        <w:spacing w:after="40"/>
      </w:pPr>
      <w:r>
        <w:rPr>
          <w:b/>
          <w:color w:val="1B365D"/>
        </w:rPr>
        <w:t xml:space="preserve">Filtros de cohorte analítica: </w:t>
      </w:r>
      <w:r>
        <w:t>Exclusión reglamentada de episodios que no corresponden al ámbito de evaluación de riesgo general (recién nacidos sanos, atenciones obstétricas no complicadas y GRD no agrupables).</w:t>
      </w:r>
    </w:p>
    <w:p>
      <w:pPr>
        <w:pStyle w:val="ListBullet"/>
        <w:spacing w:after="40"/>
      </w:pPr>
      <w:r>
        <w:rPr>
          <w:b/>
          <w:color w:val="1B365D"/>
        </w:rPr>
        <w:t xml:space="preserve">Preservación de registros: </w:t>
      </w:r>
      <w:r>
        <w:t>Si una observación presenta una variable particular anómala (ej. error en un campo secundario), dicha celda se invalida de forma puntual sin eliminar el historial clínico del paciente.</w:t>
      </w:r>
    </w:p>
    <w:p>
      <w:pPr>
        <w:pStyle w:val="ListBullet"/>
        <w:spacing w:after="40"/>
      </w:pPr>
      <w:r>
        <w:rPr>
          <w:b/>
          <w:color w:val="1B365D"/>
        </w:rPr>
        <w:t xml:space="preserve">Categorización de egreso: </w:t>
      </w:r>
      <w:r>
        <w:t>Clasificación formal en tres estados mutuamente excluyentes: Muerte confirmada, Sobrevida confirmada o Desenlace censurado (traslados).</w:t>
      </w:r>
    </w:p>
    <w:p>
      <w:pPr>
        <w:keepNext/>
        <w:spacing w:before="280" w:after="80"/>
      </w:pPr>
      <w:r>
        <w:rPr>
          <w:rFonts w:ascii="Calibri" w:hAnsi="Calibri"/>
          <w:b/>
          <w:color w:val="2B6CB0"/>
          <w:sz w:val="26"/>
        </w:rPr>
        <w:t>Etapa 4 — Ingeniería de Características (Capa Oro)</w:t>
      </w:r>
    </w:p>
    <w:p>
      <w:r>
        <w:t>Transforma los microdatos clínicos en variables predictoras definitivas (features) aptas para los algoritmos de Machine Learning:</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20"/>
        <w:gridCol w:w="3120"/>
        <w:gridCol w:w="3120"/>
      </w:tblGrid>
      <w:tr>
        <w:tc>
          <w:tcPr>
            <w:tcW w:type="dxa" w:w="2592"/>
            <w:shd w:fill="1B365D"/>
            <w:tcMar>
              <w:top w:w="90" w:type="dxa"/>
              <w:bottom w:w="90" w:type="dxa"/>
              <w:left w:w="100" w:type="dxa"/>
              <w:right w:w="100" w:type="dxa"/>
            </w:tcMar>
          </w:tcPr>
          <w:p>
            <w:r>
              <w:rPr>
                <w:b/>
                <w:color w:val="FFFFFF"/>
                <w:sz w:val="19"/>
              </w:rPr>
              <w:t>Variable (Feature)</w:t>
            </w:r>
          </w:p>
        </w:tc>
        <w:tc>
          <w:tcPr>
            <w:tcW w:type="dxa" w:w="3888"/>
            <w:shd w:fill="1B365D"/>
            <w:tcMar>
              <w:top w:w="90" w:type="dxa"/>
              <w:bottom w:w="90" w:type="dxa"/>
              <w:left w:w="100" w:type="dxa"/>
              <w:right w:w="100" w:type="dxa"/>
            </w:tcMar>
          </w:tcPr>
          <w:p>
            <w:r>
              <w:rPr>
                <w:b/>
                <w:color w:val="FFFFFF"/>
                <w:sz w:val="19"/>
              </w:rPr>
              <w:t>Significado Clínico / Predictivo</w:t>
            </w:r>
          </w:p>
        </w:tc>
        <w:tc>
          <w:tcPr>
            <w:tcW w:type="dxa" w:w="2880"/>
            <w:shd w:fill="1B365D"/>
            <w:tcMar>
              <w:top w:w="90" w:type="dxa"/>
              <w:bottom w:w="90" w:type="dxa"/>
              <w:left w:w="100" w:type="dxa"/>
              <w:right w:w="100" w:type="dxa"/>
            </w:tcMar>
          </w:tcPr>
          <w:p>
            <w:r>
              <w:rPr>
                <w:b/>
                <w:color w:val="FFFFFF"/>
                <w:sz w:val="19"/>
              </w:rPr>
              <w:t>Fuente / Operación</w:t>
            </w:r>
          </w:p>
        </w:tc>
      </w:tr>
      <w:tr>
        <w:tc>
          <w:tcPr>
            <w:tcW w:type="dxa" w:w="2592"/>
            <w:shd w:fill="F7FAFC"/>
            <w:tcMar>
              <w:top w:w="70" w:type="dxa"/>
              <w:bottom w:w="70" w:type="dxa"/>
              <w:left w:w="100" w:type="dxa"/>
              <w:right w:w="100" w:type="dxa"/>
            </w:tcMar>
          </w:tcPr>
          <w:p>
            <w:pPr>
              <w:spacing w:after="0"/>
            </w:pPr>
            <w:r>
              <w:rPr>
                <w:b/>
                <w:color w:val="1B365D"/>
                <w:sz w:val="18"/>
              </w:rPr>
              <w:t>EDAD_ANIOS</w:t>
            </w:r>
          </w:p>
        </w:tc>
        <w:tc>
          <w:tcPr>
            <w:tcW w:type="dxa" w:w="3888"/>
            <w:shd w:fill="F7FAFC"/>
            <w:tcMar>
              <w:top w:w="70" w:type="dxa"/>
              <w:bottom w:w="70" w:type="dxa"/>
              <w:left w:w="100" w:type="dxa"/>
              <w:right w:w="100" w:type="dxa"/>
            </w:tcMar>
          </w:tcPr>
          <w:p>
            <w:pPr>
              <w:spacing w:after="0"/>
            </w:pPr>
            <w:r>
              <w:rPr>
                <w:sz w:val="18"/>
              </w:rPr>
              <w:t>Edad cronológica en años cumplidos al momento del ingreso</w:t>
            </w:r>
          </w:p>
        </w:tc>
        <w:tc>
          <w:tcPr>
            <w:tcW w:type="dxa" w:w="2880"/>
            <w:shd w:fill="F7FAFC"/>
            <w:tcMar>
              <w:top w:w="70" w:type="dxa"/>
              <w:bottom w:w="70" w:type="dxa"/>
              <w:left w:w="100" w:type="dxa"/>
              <w:right w:w="100" w:type="dxa"/>
            </w:tcMar>
          </w:tcPr>
          <w:p>
            <w:pPr>
              <w:spacing w:after="0"/>
            </w:pPr>
            <w:r>
              <w:rPr>
                <w:sz w:val="18"/>
              </w:rPr>
              <w:t>FECHA_INGRESO - FECHA_NACIMIENTO</w:t>
            </w:r>
          </w:p>
        </w:tc>
      </w:tr>
      <w:tr>
        <w:tc>
          <w:tcPr>
            <w:tcW w:type="dxa" w:w="2592"/>
            <w:shd w:fill="FFFFFF"/>
            <w:tcMar>
              <w:top w:w="70" w:type="dxa"/>
              <w:bottom w:w="70" w:type="dxa"/>
              <w:left w:w="100" w:type="dxa"/>
              <w:right w:w="100" w:type="dxa"/>
            </w:tcMar>
          </w:tcPr>
          <w:p>
            <w:pPr>
              <w:spacing w:after="0"/>
            </w:pPr>
            <w:r>
              <w:rPr>
                <w:b/>
                <w:color w:val="1B365D"/>
                <w:sz w:val="18"/>
              </w:rPr>
              <w:t>MES_INGRESO</w:t>
            </w:r>
          </w:p>
        </w:tc>
        <w:tc>
          <w:tcPr>
            <w:tcW w:type="dxa" w:w="3888"/>
            <w:shd w:fill="FFFFFF"/>
            <w:tcMar>
              <w:top w:w="70" w:type="dxa"/>
              <w:bottom w:w="70" w:type="dxa"/>
              <w:left w:w="100" w:type="dxa"/>
              <w:right w:w="100" w:type="dxa"/>
            </w:tcMar>
          </w:tcPr>
          <w:p>
            <w:pPr>
              <w:spacing w:after="0"/>
            </w:pPr>
            <w:r>
              <w:rPr>
                <w:sz w:val="18"/>
              </w:rPr>
              <w:t>Estacionalidad temporal del ingreso hospitalario</w:t>
            </w:r>
          </w:p>
        </w:tc>
        <w:tc>
          <w:tcPr>
            <w:tcW w:type="dxa" w:w="2880"/>
            <w:shd w:fill="FFFFFF"/>
            <w:tcMar>
              <w:top w:w="70" w:type="dxa"/>
              <w:bottom w:w="70" w:type="dxa"/>
              <w:left w:w="100" w:type="dxa"/>
              <w:right w:w="100" w:type="dxa"/>
            </w:tcMar>
          </w:tcPr>
          <w:p>
            <w:pPr>
              <w:spacing w:after="0"/>
            </w:pPr>
            <w:r>
              <w:rPr>
                <w:sz w:val="18"/>
              </w:rPr>
              <w:t>Mes extraído de FECHA_INGRESO</w:t>
            </w:r>
          </w:p>
        </w:tc>
      </w:tr>
      <w:tr>
        <w:tc>
          <w:tcPr>
            <w:tcW w:type="dxa" w:w="2592"/>
            <w:shd w:fill="F7FAFC"/>
            <w:tcMar>
              <w:top w:w="70" w:type="dxa"/>
              <w:bottom w:w="70" w:type="dxa"/>
              <w:left w:w="100" w:type="dxa"/>
              <w:right w:w="100" w:type="dxa"/>
            </w:tcMar>
          </w:tcPr>
          <w:p>
            <w:pPr>
              <w:spacing w:after="0"/>
            </w:pPr>
            <w:r>
              <w:rPr>
                <w:b/>
                <w:color w:val="1B365D"/>
                <w:sz w:val="18"/>
              </w:rPr>
              <w:t>ES_FIN_SEMANA</w:t>
            </w:r>
          </w:p>
        </w:tc>
        <w:tc>
          <w:tcPr>
            <w:tcW w:type="dxa" w:w="3888"/>
            <w:shd w:fill="F7FAFC"/>
            <w:tcMar>
              <w:top w:w="70" w:type="dxa"/>
              <w:bottom w:w="70" w:type="dxa"/>
              <w:left w:w="100" w:type="dxa"/>
              <w:right w:w="100" w:type="dxa"/>
            </w:tcMar>
          </w:tcPr>
          <w:p>
            <w:pPr>
              <w:spacing w:after="0"/>
            </w:pPr>
            <w:r>
              <w:rPr>
                <w:sz w:val="18"/>
              </w:rPr>
              <w:t>Indicador booleano (1/0) de ingreso sábado o domingo</w:t>
            </w:r>
          </w:p>
        </w:tc>
        <w:tc>
          <w:tcPr>
            <w:tcW w:type="dxa" w:w="2880"/>
            <w:shd w:fill="F7FAFC"/>
            <w:tcMar>
              <w:top w:w="70" w:type="dxa"/>
              <w:bottom w:w="70" w:type="dxa"/>
              <w:left w:w="100" w:type="dxa"/>
              <w:right w:w="100" w:type="dxa"/>
            </w:tcMar>
          </w:tcPr>
          <w:p>
            <w:pPr>
              <w:spacing w:after="0"/>
            </w:pPr>
            <w:r>
              <w:rPr>
                <w:sz w:val="18"/>
              </w:rPr>
              <w:t>Día de semana de FECHA_INGRESO</w:t>
            </w:r>
          </w:p>
        </w:tc>
      </w:tr>
      <w:tr>
        <w:tc>
          <w:tcPr>
            <w:tcW w:type="dxa" w:w="2592"/>
            <w:shd w:fill="FFFFFF"/>
            <w:tcMar>
              <w:top w:w="70" w:type="dxa"/>
              <w:bottom w:w="70" w:type="dxa"/>
              <w:left w:w="100" w:type="dxa"/>
              <w:right w:w="100" w:type="dxa"/>
            </w:tcMar>
          </w:tcPr>
          <w:p>
            <w:pPr>
              <w:spacing w:after="0"/>
            </w:pPr>
            <w:r>
              <w:rPr>
                <w:b/>
                <w:color w:val="1B365D"/>
                <w:sz w:val="18"/>
              </w:rPr>
              <w:t>CIE10_3C / GRUPO_CLINICO</w:t>
            </w:r>
          </w:p>
        </w:tc>
        <w:tc>
          <w:tcPr>
            <w:tcW w:type="dxa" w:w="3888"/>
            <w:shd w:fill="FFFFFF"/>
            <w:tcMar>
              <w:top w:w="70" w:type="dxa"/>
              <w:bottom w:w="70" w:type="dxa"/>
              <w:left w:w="100" w:type="dxa"/>
              <w:right w:w="100" w:type="dxa"/>
            </w:tcMar>
          </w:tcPr>
          <w:p>
            <w:pPr>
              <w:spacing w:after="0"/>
            </w:pPr>
            <w:r>
              <w:rPr>
                <w:sz w:val="18"/>
              </w:rPr>
              <w:t>Diagnóstico primario de admisión agrupado a 3 caracteres y capítulo</w:t>
            </w:r>
          </w:p>
        </w:tc>
        <w:tc>
          <w:tcPr>
            <w:tcW w:type="dxa" w:w="2880"/>
            <w:shd w:fill="FFFFFF"/>
            <w:tcMar>
              <w:top w:w="70" w:type="dxa"/>
              <w:bottom w:w="70" w:type="dxa"/>
              <w:left w:w="100" w:type="dxa"/>
              <w:right w:w="100" w:type="dxa"/>
            </w:tcMar>
          </w:tcPr>
          <w:p>
            <w:pPr>
              <w:spacing w:after="0"/>
            </w:pPr>
            <w:r>
              <w:rPr>
                <w:sz w:val="18"/>
              </w:rPr>
              <w:t>Categorización desde DIAGNOSTICO1</w:t>
            </w:r>
          </w:p>
        </w:tc>
      </w:tr>
      <w:tr>
        <w:tc>
          <w:tcPr>
            <w:tcW w:type="dxa" w:w="2592"/>
            <w:shd w:fill="F7FAFC"/>
            <w:tcMar>
              <w:top w:w="70" w:type="dxa"/>
              <w:bottom w:w="70" w:type="dxa"/>
              <w:left w:w="100" w:type="dxa"/>
              <w:right w:w="100" w:type="dxa"/>
            </w:tcMar>
          </w:tcPr>
          <w:p>
            <w:pPr>
              <w:spacing w:after="0"/>
            </w:pPr>
            <w:r>
              <w:rPr>
                <w:b/>
                <w:color w:val="1B365D"/>
                <w:sz w:val="18"/>
              </w:rPr>
              <w:t>TIPO_INGRESO</w:t>
            </w:r>
          </w:p>
        </w:tc>
        <w:tc>
          <w:tcPr>
            <w:tcW w:type="dxa" w:w="3888"/>
            <w:shd w:fill="F7FAFC"/>
            <w:tcMar>
              <w:top w:w="70" w:type="dxa"/>
              <w:bottom w:w="70" w:type="dxa"/>
              <w:left w:w="100" w:type="dxa"/>
              <w:right w:w="100" w:type="dxa"/>
            </w:tcMar>
          </w:tcPr>
          <w:p>
            <w:pPr>
              <w:spacing w:after="0"/>
            </w:pPr>
            <w:r>
              <w:rPr>
                <w:sz w:val="18"/>
              </w:rPr>
              <w:t>Condición de entrada (Urgencia médica vs. Programado)</w:t>
            </w:r>
          </w:p>
        </w:tc>
        <w:tc>
          <w:tcPr>
            <w:tcW w:type="dxa" w:w="2880"/>
            <w:shd w:fill="F7FAFC"/>
            <w:tcMar>
              <w:top w:w="70" w:type="dxa"/>
              <w:bottom w:w="70" w:type="dxa"/>
              <w:left w:w="100" w:type="dxa"/>
              <w:right w:w="100" w:type="dxa"/>
            </w:tcMar>
          </w:tcPr>
          <w:p>
            <w:pPr>
              <w:spacing w:after="0"/>
            </w:pPr>
            <w:r>
              <w:rPr>
                <w:sz w:val="18"/>
              </w:rPr>
              <w:t>Campo directo TIPO_INGRESO</w:t>
            </w:r>
          </w:p>
        </w:tc>
      </w:tr>
      <w:tr>
        <w:tc>
          <w:tcPr>
            <w:tcW w:type="dxa" w:w="2592"/>
            <w:shd w:fill="FFFFFF"/>
            <w:tcMar>
              <w:top w:w="70" w:type="dxa"/>
              <w:bottom w:w="70" w:type="dxa"/>
              <w:left w:w="100" w:type="dxa"/>
              <w:right w:w="100" w:type="dxa"/>
            </w:tcMar>
          </w:tcPr>
          <w:p>
            <w:pPr>
              <w:spacing w:after="0"/>
            </w:pPr>
            <w:r>
              <w:rPr>
                <w:b/>
                <w:color w:val="1B365D"/>
                <w:sz w:val="18"/>
              </w:rPr>
              <w:t>N_EGRESOS_12M</w:t>
            </w:r>
          </w:p>
        </w:tc>
        <w:tc>
          <w:tcPr>
            <w:tcW w:type="dxa" w:w="3888"/>
            <w:shd w:fill="FFFFFF"/>
            <w:tcMar>
              <w:top w:w="70" w:type="dxa"/>
              <w:bottom w:w="70" w:type="dxa"/>
              <w:left w:w="100" w:type="dxa"/>
              <w:right w:w="100" w:type="dxa"/>
            </w:tcMar>
          </w:tcPr>
          <w:p>
            <w:pPr>
              <w:spacing w:after="0"/>
            </w:pPr>
            <w:r>
              <w:rPr>
                <w:sz w:val="18"/>
              </w:rPr>
              <w:t>Frecuentación previa: egresos en los últimos 12 meses</w:t>
            </w:r>
          </w:p>
        </w:tc>
        <w:tc>
          <w:tcPr>
            <w:tcW w:type="dxa" w:w="2880"/>
            <w:shd w:fill="FFFFFF"/>
            <w:tcMar>
              <w:top w:w="70" w:type="dxa"/>
              <w:bottom w:w="70" w:type="dxa"/>
              <w:left w:w="100" w:type="dxa"/>
              <w:right w:w="100" w:type="dxa"/>
            </w:tcMar>
          </w:tcPr>
          <w:p>
            <w:pPr>
              <w:spacing w:after="0"/>
            </w:pPr>
            <w:r>
              <w:rPr>
                <w:sz w:val="18"/>
              </w:rPr>
              <w:t>CIP_ENCRIPTADO + ventana temporal</w:t>
            </w:r>
          </w:p>
        </w:tc>
      </w:tr>
      <w:tr>
        <w:tc>
          <w:tcPr>
            <w:tcW w:type="dxa" w:w="2592"/>
            <w:shd w:fill="F7FAFC"/>
            <w:tcMar>
              <w:top w:w="70" w:type="dxa"/>
              <w:bottom w:w="70" w:type="dxa"/>
              <w:left w:w="100" w:type="dxa"/>
              <w:right w:w="100" w:type="dxa"/>
            </w:tcMar>
          </w:tcPr>
          <w:p>
            <w:pPr>
              <w:spacing w:after="0"/>
            </w:pPr>
            <w:r>
              <w:rPr>
                <w:b/>
                <w:color w:val="1B365D"/>
                <w:sz w:val="18"/>
              </w:rPr>
              <w:t>ELIX_01 … ELIX_31</w:t>
            </w:r>
          </w:p>
        </w:tc>
        <w:tc>
          <w:tcPr>
            <w:tcW w:type="dxa" w:w="3888"/>
            <w:shd w:fill="F7FAFC"/>
            <w:tcMar>
              <w:top w:w="70" w:type="dxa"/>
              <w:bottom w:w="70" w:type="dxa"/>
              <w:left w:w="100" w:type="dxa"/>
              <w:right w:w="100" w:type="dxa"/>
            </w:tcMar>
          </w:tcPr>
          <w:p>
            <w:pPr>
              <w:spacing w:after="0"/>
            </w:pPr>
            <w:r>
              <w:rPr>
                <w:sz w:val="18"/>
              </w:rPr>
              <w:t>31 variables binarias de comorbilidades crónicas basales</w:t>
            </w:r>
          </w:p>
        </w:tc>
        <w:tc>
          <w:tcPr>
            <w:tcW w:type="dxa" w:w="2880"/>
            <w:shd w:fill="F7FAFC"/>
            <w:tcMar>
              <w:top w:w="70" w:type="dxa"/>
              <w:bottom w:w="70" w:type="dxa"/>
              <w:left w:w="100" w:type="dxa"/>
              <w:right w:w="100" w:type="dxa"/>
            </w:tcMar>
          </w:tcPr>
          <w:p>
            <w:pPr>
              <w:spacing w:after="0"/>
            </w:pPr>
            <w:r>
              <w:rPr>
                <w:sz w:val="18"/>
              </w:rPr>
              <w:t>DIAGNOSTICO2 a DIAGNOSTICO35</w:t>
            </w:r>
          </w:p>
        </w:tc>
      </w:tr>
    </w:tbl>
    <w:p>
      <w:pPr>
        <w:spacing w:before="160"/>
      </w:pPr>
      <w:r>
        <w:rPr>
          <w:b/>
        </w:rPr>
        <w:t>Variables Objetivo (Targets):</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20"/>
        <w:gridCol w:w="3120"/>
        <w:gridCol w:w="3120"/>
      </w:tblGrid>
      <w:tr>
        <w:tc>
          <w:tcPr>
            <w:tcW w:type="dxa" w:w="2880"/>
            <w:shd w:fill="2B6CB0"/>
            <w:tcMar>
              <w:top w:w="80" w:type="dxa"/>
              <w:bottom w:w="80" w:type="dxa"/>
              <w:left w:w="100" w:type="dxa"/>
              <w:right w:w="100" w:type="dxa"/>
            </w:tcMar>
          </w:tcPr>
          <w:p>
            <w:r>
              <w:rPr>
                <w:b/>
                <w:color w:val="FFFFFF"/>
                <w:sz w:val="19"/>
              </w:rPr>
              <w:t>Variable Target</w:t>
            </w:r>
          </w:p>
        </w:tc>
        <w:tc>
          <w:tcPr>
            <w:tcW w:type="dxa" w:w="3600"/>
            <w:shd w:fill="2B6CB0"/>
            <w:tcMar>
              <w:top w:w="80" w:type="dxa"/>
              <w:bottom w:w="80" w:type="dxa"/>
              <w:left w:w="100" w:type="dxa"/>
              <w:right w:w="100" w:type="dxa"/>
            </w:tcMar>
          </w:tcPr>
          <w:p>
            <w:r>
              <w:rPr>
                <w:b/>
                <w:color w:val="FFFFFF"/>
                <w:sz w:val="19"/>
              </w:rPr>
              <w:t>Tipo de Tarea de Aprendizaje</w:t>
            </w:r>
          </w:p>
        </w:tc>
        <w:tc>
          <w:tcPr>
            <w:tcW w:type="dxa" w:w="2880"/>
            <w:shd w:fill="2B6CB0"/>
            <w:tcMar>
              <w:top w:w="80" w:type="dxa"/>
              <w:bottom w:w="80" w:type="dxa"/>
              <w:left w:w="100" w:type="dxa"/>
              <w:right w:w="100" w:type="dxa"/>
            </w:tcMar>
          </w:tcPr>
          <w:p>
            <w:r>
              <w:rPr>
                <w:b/>
                <w:color w:val="FFFFFF"/>
                <w:sz w:val="19"/>
              </w:rPr>
              <w:t>Definición / Cálculo</w:t>
            </w:r>
          </w:p>
        </w:tc>
      </w:tr>
      <w:tr>
        <w:tc>
          <w:tcPr>
            <w:tcW w:type="dxa" w:w="2880"/>
            <w:shd w:fill="F7FAFC"/>
            <w:tcMar>
              <w:top w:w="70" w:type="dxa"/>
              <w:bottom w:w="70" w:type="dxa"/>
              <w:left w:w="100" w:type="dxa"/>
              <w:right w:w="100" w:type="dxa"/>
            </w:tcMar>
          </w:tcPr>
          <w:p>
            <w:pPr>
              <w:spacing w:after="0"/>
            </w:pPr>
            <w:r>
              <w:rPr>
                <w:b/>
                <w:color w:val="1B365D"/>
                <w:sz w:val="18"/>
              </w:rPr>
              <w:t>MORTALIDAD_BINARIA</w:t>
            </w:r>
          </w:p>
        </w:tc>
        <w:tc>
          <w:tcPr>
            <w:tcW w:type="dxa" w:w="3600"/>
            <w:shd w:fill="F7FAFC"/>
            <w:tcMar>
              <w:top w:w="70" w:type="dxa"/>
              <w:bottom w:w="70" w:type="dxa"/>
              <w:left w:w="100" w:type="dxa"/>
              <w:right w:w="100" w:type="dxa"/>
            </w:tcMar>
          </w:tcPr>
          <w:p>
            <w:pPr>
              <w:spacing w:after="0"/>
            </w:pPr>
            <w:r>
              <w:rPr>
                <w:sz w:val="18"/>
              </w:rPr>
              <w:t>Clasificación Binaria Supervisada (1 = Fallecido, 0 = Sobreviviente)</w:t>
            </w:r>
          </w:p>
        </w:tc>
        <w:tc>
          <w:tcPr>
            <w:tcW w:type="dxa" w:w="2880"/>
            <w:shd w:fill="F7FAFC"/>
            <w:tcMar>
              <w:top w:w="70" w:type="dxa"/>
              <w:bottom w:w="70" w:type="dxa"/>
              <w:left w:w="100" w:type="dxa"/>
              <w:right w:w="100" w:type="dxa"/>
            </w:tcMar>
          </w:tcPr>
          <w:p>
            <w:pPr>
              <w:spacing w:after="0"/>
            </w:pPr>
            <w:r>
              <w:rPr>
                <w:sz w:val="18"/>
              </w:rPr>
              <w:t>Codificación de egreso (TIPOALTA)</w:t>
            </w:r>
          </w:p>
        </w:tc>
      </w:tr>
      <w:tr>
        <w:tc>
          <w:tcPr>
            <w:tcW w:type="dxa" w:w="2880"/>
            <w:shd w:fill="FFFFFF"/>
            <w:tcMar>
              <w:top w:w="70" w:type="dxa"/>
              <w:bottom w:w="70" w:type="dxa"/>
              <w:left w:w="100" w:type="dxa"/>
              <w:right w:w="100" w:type="dxa"/>
            </w:tcMar>
          </w:tcPr>
          <w:p>
            <w:pPr>
              <w:spacing w:after="0"/>
            </w:pPr>
            <w:r>
              <w:rPr>
                <w:b/>
                <w:color w:val="1B365D"/>
                <w:sz w:val="18"/>
              </w:rPr>
              <w:t>ESTANCIA</w:t>
            </w:r>
          </w:p>
        </w:tc>
        <w:tc>
          <w:tcPr>
            <w:tcW w:type="dxa" w:w="3600"/>
            <w:shd w:fill="FFFFFF"/>
            <w:tcMar>
              <w:top w:w="70" w:type="dxa"/>
              <w:bottom w:w="70" w:type="dxa"/>
              <w:left w:w="100" w:type="dxa"/>
              <w:right w:w="100" w:type="dxa"/>
            </w:tcMar>
          </w:tcPr>
          <w:p>
            <w:pPr>
              <w:spacing w:after="0"/>
            </w:pPr>
            <w:r>
              <w:rPr>
                <w:sz w:val="18"/>
              </w:rPr>
              <w:t>Regresión Numérica Supervisada (Número de días de hospitalización)</w:t>
            </w:r>
          </w:p>
        </w:tc>
        <w:tc>
          <w:tcPr>
            <w:tcW w:type="dxa" w:w="2880"/>
            <w:shd w:fill="FFFFFF"/>
            <w:tcMar>
              <w:top w:w="70" w:type="dxa"/>
              <w:bottom w:w="70" w:type="dxa"/>
              <w:left w:w="100" w:type="dxa"/>
              <w:right w:w="100" w:type="dxa"/>
            </w:tcMar>
          </w:tcPr>
          <w:p>
            <w:pPr>
              <w:spacing w:after="0"/>
            </w:pPr>
            <w:r>
              <w:rPr>
                <w:sz w:val="18"/>
              </w:rPr>
              <w:t>Diferencia FECHAALTA - FECHA_INGRESO</w:t>
            </w:r>
          </w:p>
        </w:tc>
      </w:tr>
    </w:tbl>
    <w:p>
      <w:pPr>
        <w:spacing w:after="80"/>
      </w:pPr>
    </w:p>
    <w:p>
      <w:pPr>
        <w:keepNext/>
        <w:spacing w:before="360" w:after="120"/>
        <w:pBdr>
          <w:bottom w:val="single" w:sz="12" w:space="4" w:color="2B6CB0"/>
        </w:pBdr>
      </w:pPr>
      <w:r>
        <w:rPr>
          <w:rFonts w:ascii="Calibri" w:hAnsi="Calibri"/>
          <w:b/>
          <w:color w:val="1B365D"/>
          <w:sz w:val="32"/>
        </w:rPr>
        <w:t>6. El Índice de Elixhauser — El ajuste clave del modelo</w:t>
      </w:r>
    </w:p>
    <w:p>
      <w:r>
        <w:t>El Índice de Elixhauser constituye el núcleo metodológico para aislar el riesgo clínico del paciente. Cada registro hospitalario almacena hasta 35 diagnósticos codificados en CIE-10: el diagnóstico principal (motivo de ingreso) y hasta 34 diagnósticos secundarios.</w:t>
      </w:r>
    </w:p>
    <w:p>
      <w:r>
        <w:t xml:space="preserve">El sistema omite deliberadamente el diagnóstico principal para el cálculo del índice (evitando redundancias con el CIE10_3C) y examina de forma exhaustiva los </w:t>
      </w:r>
      <w:r>
        <w:rPr>
          <w:b/>
        </w:rPr>
        <w:t>34 diagnósticos secundarios</w:t>
      </w:r>
      <w:r>
        <w:t>, mapeándolos a 31 categorías comórbidas basales (tales como insuficiencia cardíaca, enfermedad vascular periférica, diabetes no complicada y complicada, insuficiencia renal, patologías hepáticas, neoplasias metastásicas, obesidad mórbida, entre otras).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2B6CB0"/>
              <w:top w:val="none"/>
              <w:bottom w:val="none"/>
              <w:right w:val="none"/>
            </w:tcBorders>
          </w:tcPr>
          <w:p>
            <w:pPr>
              <w:spacing w:before="0" w:after="60"/>
            </w:pPr>
            <w:r>
              <w:rPr>
                <w:rFonts w:ascii="Calibri" w:hAnsi="Calibri"/>
                <w:b/>
                <w:color w:val="1B365D"/>
                <w:sz w:val="22"/>
              </w:rPr>
              <w:t>¿Por qué 31 variables independientes y no un puntaje único agregado?</w:t>
            </w:r>
          </w:p>
          <w:p>
            <w:pPr>
              <w:spacing w:before="0" w:after="0"/>
            </w:pPr>
            <w:r>
              <w:rPr>
                <w:rFonts w:ascii="Calibri" w:hAnsi="Calibri"/>
                <w:color w:val="2D3748"/>
                <w:sz w:val="21"/>
              </w:rPr>
              <w:t>Las patologías crónicas no interactúan de forma lineal ni aditiva simple. Un paciente con insuficiencia renal y diabetes experimenta una sinergia de riesgo muy distinta a la combinación de hipertensión y depresión. Al conservar los 31 indicadores de forma vectorial independiente, los algoritmos de Machine Learning (como Gradient Boosting o Redes Neuronales) descubren autónomamente dichas interacciones no lineales sin pérdida de información.</w:t>
            </w:r>
          </w:p>
        </w:tc>
      </w:tr>
    </w:tbl>
    <w:p>
      <w:pPr>
        <w:spacing w:after="80"/>
      </w:pPr>
    </w:p>
    <w:p>
      <w:pPr>
        <w:spacing w:before="80"/>
      </w:pPr>
      <w:r>
        <w:rPr>
          <w:b/>
        </w:rPr>
        <w:t xml:space="preserve">Particularidad del contexto chileno y mitigación: </w:t>
      </w:r>
      <w:r>
        <w:t xml:space="preserve">Las bases hospitalarias nacionales no registran la bandera </w:t>
      </w:r>
      <w:r>
        <w:rPr>
          <w:b/>
        </w:rPr>
        <w:t>"Present On Admission" (POA)</w:t>
      </w:r>
      <w:r>
        <w:t xml:space="preserve">, la cual distingue formalmente si una patología existía antes del ingreso o si fue una complicación intrahospitalaria surgida durante la estancia. Si una complicación hospitalaria se contabilizara como comorbilidad previa, se absolvería al hospital de su responsabilidad. Para mitigar este riesgo, el pipeline adopta estrictamente la </w:t>
      </w:r>
      <w:r>
        <w:rPr>
          <w:b/>
        </w:rPr>
        <w:t>"lista blanca de exclusiones" de Elixhauser</w:t>
      </w:r>
      <w:r>
        <w:t>, excluyendo aquellos diagnósticos que con alta probabilidad corresponden a eventos iatrogénicos o secundarios intrahospitalarios.</w:t>
      </w:r>
    </w:p>
    <w:p>
      <w:pPr>
        <w:keepNext/>
        <w:spacing w:before="360" w:after="120"/>
        <w:pBdr>
          <w:bottom w:val="single" w:sz="12" w:space="4" w:color="2B6CB0"/>
        </w:pBdr>
      </w:pPr>
      <w:r>
        <w:rPr>
          <w:rFonts w:ascii="Calibri" w:hAnsi="Calibri"/>
          <w:b/>
          <w:color w:val="1B365D"/>
          <w:sz w:val="32"/>
        </w:rPr>
        <w:t>7. Qué hace el sistema con los datos sensibles (Privacidad)</w:t>
      </w:r>
    </w:p>
    <w:p>
      <w:r>
        <w:t>Los conjuntos de datos provistos por FONASA incluyen identificadores anonimizados (hashes criptográficos). No obstante, ante el riesgo residual de filtración o existencia de datos de identificación personal directa (RUT, números de contacto, nombres), el pipeline incorpora un protocolo automático de:</w:t>
      </w:r>
    </w:p>
    <w:p>
      <w:pPr>
        <w:pStyle w:val="ListBullet"/>
        <w:spacing w:after="40"/>
      </w:pPr>
      <w:r>
        <w:rPr>
          <w:b/>
          <w:color w:val="1B365D"/>
        </w:rPr>
        <w:t xml:space="preserve">1. Monitoreo pasivo: </w:t>
      </w:r>
      <w:r>
        <w:t>Detección probabilística y por patrones de expresiones regulares de identificadores de identidad civil.</w:t>
      </w:r>
    </w:p>
    <w:p>
      <w:pPr>
        <w:pStyle w:val="ListBullet"/>
        <w:spacing w:after="40"/>
      </w:pPr>
      <w:r>
        <w:rPr>
          <w:b/>
          <w:color w:val="1B365D"/>
        </w:rPr>
        <w:t xml:space="preserve">2. Cuarentena silenciosa: </w:t>
      </w:r>
      <w:r>
        <w:t>Aislamiento inmediato del registro contaminado en un almacén seguro fuera del circuito de cómputo principal.</w:t>
      </w:r>
    </w:p>
    <w:p>
      <w:pPr>
        <w:pStyle w:val="ListBullet"/>
        <w:spacing w:after="40"/>
      </w:pPr>
      <w:r>
        <w:rPr>
          <w:b/>
          <w:color w:val="1B365D"/>
        </w:rPr>
        <w:t xml:space="preserve">3. Cero persistencia en logs: </w:t>
      </w:r>
      <w:r>
        <w:t>Prohibición categórica de imprimir o almacenar valores sospechosos en reportes analíticos o consolas.</w:t>
      </w:r>
    </w:p>
    <w:p>
      <w:pPr>
        <w:pStyle w:val="ListBullet"/>
        <w:spacing w:after="40"/>
      </w:pPr>
      <w:r>
        <w:rPr>
          <w:b/>
          <w:color w:val="1B365D"/>
        </w:rPr>
        <w:t xml:space="preserve">4. Arquitectura Stateless en Plataforma Web: </w:t>
      </w:r>
      <w:r>
        <w:t>El simulador público de riesgo opera sin almacenamiento de estado; cualquier consulta ingresada por un profesional o ciudadano se procesa en memoria volátil y se destruye al instante.</w:t>
      </w:r>
    </w:p>
    <w:p>
      <w:pPr>
        <w:keepNext/>
        <w:spacing w:before="360" w:after="120"/>
        <w:pBdr>
          <w:bottom w:val="single" w:sz="12" w:space="4" w:color="2B6CB0"/>
        </w:pBdr>
      </w:pPr>
      <w:r>
        <w:rPr>
          <w:rFonts w:ascii="Calibri" w:hAnsi="Calibri"/>
          <w:b/>
          <w:color w:val="1B365D"/>
          <w:sz w:val="32"/>
        </w:rPr>
        <w:t>8. Cómo se valida el modelo (Criterios de éxito)</w:t>
      </w:r>
    </w:p>
    <w:p>
      <w:r>
        <w:t xml:space="preserve">El marco metodológico contempla el entrenamiento de </w:t>
      </w:r>
      <w:r>
        <w:rPr>
          <w:b/>
        </w:rPr>
        <w:t>dos modelos supervisados independientes</w:t>
      </w:r>
      <w:r>
        <w:t xml:space="preserve"> (Mortalidad y Estancia). El conjunto de datos se divide mediante una partición temporal estricta: los datos de </w:t>
      </w:r>
      <w:r>
        <w:rPr>
          <w:b/>
        </w:rPr>
        <w:t>2019 a 2023</w:t>
      </w:r>
      <w:r>
        <w:t xml:space="preserve"> constituyen el set de entrenamiento y ajuste de hiperparámetros, mientras que el año </w:t>
      </w:r>
      <w:r>
        <w:rPr>
          <w:b/>
        </w:rPr>
        <w:t>2024</w:t>
      </w:r>
      <w:r>
        <w:t xml:space="preserve"> completo opera como conjunto de evaluación out-of-time (simulando la predicción sobre el futuro real).</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3120"/>
        <w:gridCol w:w="3120"/>
        <w:gridCol w:w="3120"/>
      </w:tblGrid>
      <w:tr>
        <w:tc>
          <w:tcPr>
            <w:tcW w:type="dxa" w:w="3168"/>
            <w:shd w:fill="1B365D"/>
            <w:tcMar>
              <w:top w:w="80" w:type="dxa"/>
              <w:bottom w:w="80" w:type="dxa"/>
              <w:left w:w="100" w:type="dxa"/>
              <w:right w:w="100" w:type="dxa"/>
            </w:tcMar>
          </w:tcPr>
          <w:p>
            <w:r>
              <w:rPr>
                <w:b/>
                <w:color w:val="FFFFFF"/>
                <w:sz w:val="19"/>
              </w:rPr>
              <w:t>Criterio / Dimensión</w:t>
            </w:r>
          </w:p>
        </w:tc>
        <w:tc>
          <w:tcPr>
            <w:tcW w:type="dxa" w:w="3312"/>
            <w:shd w:fill="1B365D"/>
            <w:tcMar>
              <w:top w:w="80" w:type="dxa"/>
              <w:bottom w:w="80" w:type="dxa"/>
              <w:left w:w="100" w:type="dxa"/>
              <w:right w:w="100" w:type="dxa"/>
            </w:tcMar>
          </w:tcPr>
          <w:p>
            <w:r>
              <w:rPr>
                <w:b/>
                <w:color w:val="FFFFFF"/>
                <w:sz w:val="19"/>
              </w:rPr>
              <w:t>Métrica de Evaluación</w:t>
            </w:r>
          </w:p>
        </w:tc>
        <w:tc>
          <w:tcPr>
            <w:tcW w:type="dxa" w:w="2880"/>
            <w:shd w:fill="1B365D"/>
            <w:tcMar>
              <w:top w:w="80" w:type="dxa"/>
              <w:bottom w:w="80" w:type="dxa"/>
              <w:left w:w="100" w:type="dxa"/>
              <w:right w:w="100" w:type="dxa"/>
            </w:tcMar>
          </w:tcPr>
          <w:p>
            <w:r>
              <w:rPr>
                <w:b/>
                <w:color w:val="FFFFFF"/>
                <w:sz w:val="19"/>
              </w:rPr>
              <w:t>Umbral de Aceptación</w:t>
            </w:r>
          </w:p>
        </w:tc>
      </w:tr>
      <w:tr>
        <w:tc>
          <w:tcPr>
            <w:tcW w:type="dxa" w:w="3168"/>
            <w:shd w:fill="F7FAFC"/>
            <w:tcMar>
              <w:top w:w="70" w:type="dxa"/>
              <w:bottom w:w="70" w:type="dxa"/>
              <w:left w:w="100" w:type="dxa"/>
              <w:right w:w="100" w:type="dxa"/>
            </w:tcMar>
          </w:tcPr>
          <w:p>
            <w:pPr>
              <w:spacing w:after="0"/>
            </w:pPr>
            <w:r>
              <w:rPr>
                <w:b/>
                <w:color w:val="1B365D"/>
                <w:sz w:val="18"/>
              </w:rPr>
              <w:t>Discriminación (Mortalidad)</w:t>
            </w:r>
          </w:p>
        </w:tc>
        <w:tc>
          <w:tcPr>
            <w:tcW w:type="dxa" w:w="3312"/>
            <w:shd w:fill="F7FAFC"/>
            <w:tcMar>
              <w:top w:w="70" w:type="dxa"/>
              <w:bottom w:w="70" w:type="dxa"/>
              <w:left w:w="100" w:type="dxa"/>
              <w:right w:w="100" w:type="dxa"/>
            </w:tcMar>
          </w:tcPr>
          <w:p>
            <w:pPr>
              <w:spacing w:after="0"/>
            </w:pPr>
            <w:r>
              <w:rPr>
                <w:sz w:val="18"/>
              </w:rPr>
              <w:t>PR AUC (Precision-Recall AUC)</w:t>
            </w:r>
          </w:p>
        </w:tc>
        <w:tc>
          <w:tcPr>
            <w:tcW w:type="dxa" w:w="2880"/>
            <w:shd w:fill="F7FAFC"/>
            <w:tcMar>
              <w:top w:w="70" w:type="dxa"/>
              <w:bottom w:w="70" w:type="dxa"/>
              <w:left w:w="100" w:type="dxa"/>
              <w:right w:w="100" w:type="dxa"/>
            </w:tcMar>
          </w:tcPr>
          <w:p>
            <w:pPr>
              <w:spacing w:after="0"/>
            </w:pPr>
            <w:r>
              <w:rPr>
                <w:sz w:val="18"/>
              </w:rPr>
              <w:t>Superar significativamente línea base logística</w:t>
            </w:r>
          </w:p>
        </w:tc>
      </w:tr>
      <w:tr>
        <w:tc>
          <w:tcPr>
            <w:tcW w:type="dxa" w:w="3168"/>
            <w:shd w:fill="FFFFFF"/>
            <w:tcMar>
              <w:top w:w="70" w:type="dxa"/>
              <w:bottom w:w="70" w:type="dxa"/>
              <w:left w:w="100" w:type="dxa"/>
              <w:right w:w="100" w:type="dxa"/>
            </w:tcMar>
          </w:tcPr>
          <w:p>
            <w:pPr>
              <w:spacing w:after="0"/>
            </w:pPr>
            <w:r>
              <w:rPr>
                <w:b/>
                <w:color w:val="1B365D"/>
                <w:sz w:val="18"/>
              </w:rPr>
              <w:t>Error de Estancia Hospitalaria</w:t>
            </w:r>
          </w:p>
        </w:tc>
        <w:tc>
          <w:tcPr>
            <w:tcW w:type="dxa" w:w="3312"/>
            <w:shd w:fill="FFFFFF"/>
            <w:tcMar>
              <w:top w:w="70" w:type="dxa"/>
              <w:bottom w:w="70" w:type="dxa"/>
              <w:left w:w="100" w:type="dxa"/>
              <w:right w:w="100" w:type="dxa"/>
            </w:tcMar>
          </w:tcPr>
          <w:p>
            <w:pPr>
              <w:spacing w:after="0"/>
            </w:pPr>
            <w:r>
              <w:rPr>
                <w:sz w:val="18"/>
              </w:rPr>
              <w:t>RMSE (Root Mean Squared Error)</w:t>
            </w:r>
          </w:p>
        </w:tc>
        <w:tc>
          <w:tcPr>
            <w:tcW w:type="dxa" w:w="2880"/>
            <w:shd w:fill="FFFFFF"/>
            <w:tcMar>
              <w:top w:w="70" w:type="dxa"/>
              <w:bottom w:w="70" w:type="dxa"/>
              <w:left w:w="100" w:type="dxa"/>
              <w:right w:w="100" w:type="dxa"/>
            </w:tcMar>
          </w:tcPr>
          <w:p>
            <w:pPr>
              <w:spacing w:after="0"/>
            </w:pPr>
            <w:r>
              <w:rPr>
                <w:sz w:val="18"/>
              </w:rPr>
              <w:t>Inferior a la línea base de regresión lineal</w:t>
            </w:r>
          </w:p>
        </w:tc>
      </w:tr>
      <w:tr>
        <w:tc>
          <w:tcPr>
            <w:tcW w:type="dxa" w:w="3168"/>
            <w:shd w:fill="F7FAFC"/>
            <w:tcMar>
              <w:top w:w="70" w:type="dxa"/>
              <w:bottom w:w="70" w:type="dxa"/>
              <w:left w:w="100" w:type="dxa"/>
              <w:right w:w="100" w:type="dxa"/>
            </w:tcMar>
          </w:tcPr>
          <w:p>
            <w:pPr>
              <w:spacing w:after="0"/>
            </w:pPr>
            <w:r>
              <w:rPr>
                <w:b/>
                <w:color w:val="1B365D"/>
                <w:sz w:val="18"/>
              </w:rPr>
              <w:t>Calibración Estadística Global</w:t>
            </w:r>
          </w:p>
        </w:tc>
        <w:tc>
          <w:tcPr>
            <w:tcW w:type="dxa" w:w="3312"/>
            <w:shd w:fill="F7FAFC"/>
            <w:tcMar>
              <w:top w:w="70" w:type="dxa"/>
              <w:bottom w:w="70" w:type="dxa"/>
              <w:left w:w="100" w:type="dxa"/>
              <w:right w:w="100" w:type="dxa"/>
            </w:tcMar>
          </w:tcPr>
          <w:p>
            <w:pPr>
              <w:spacing w:after="0"/>
            </w:pPr>
            <w:r>
              <w:rPr>
                <w:sz w:val="18"/>
              </w:rPr>
              <w:t>Brier Skill Score (BSS)</w:t>
            </w:r>
          </w:p>
        </w:tc>
        <w:tc>
          <w:tcPr>
            <w:tcW w:type="dxa" w:w="2880"/>
            <w:shd w:fill="F7FAFC"/>
            <w:tcMar>
              <w:top w:w="70" w:type="dxa"/>
              <w:bottom w:w="70" w:type="dxa"/>
              <w:left w:w="100" w:type="dxa"/>
              <w:right w:w="100" w:type="dxa"/>
            </w:tcMar>
          </w:tcPr>
          <w:p>
            <w:pPr>
              <w:spacing w:after="0"/>
            </w:pPr>
            <w:r>
              <w:rPr>
                <w:sz w:val="18"/>
              </w:rPr>
              <w:t>Mayor a 0 (superior a la asignación por prevalencia)</w:t>
            </w:r>
          </w:p>
        </w:tc>
      </w:tr>
      <w:tr>
        <w:tc>
          <w:tcPr>
            <w:tcW w:type="dxa" w:w="3168"/>
            <w:shd w:fill="FFFFFF"/>
            <w:tcMar>
              <w:top w:w="70" w:type="dxa"/>
              <w:bottom w:w="70" w:type="dxa"/>
              <w:left w:w="100" w:type="dxa"/>
              <w:right w:w="100" w:type="dxa"/>
            </w:tcMar>
          </w:tcPr>
          <w:p>
            <w:pPr>
              <w:spacing w:after="0"/>
            </w:pPr>
            <w:r>
              <w:rPr>
                <w:b/>
                <w:color w:val="1B365D"/>
                <w:sz w:val="18"/>
              </w:rPr>
              <w:t>Fidelidad de Probabilidades</w:t>
            </w:r>
          </w:p>
        </w:tc>
        <w:tc>
          <w:tcPr>
            <w:tcW w:type="dxa" w:w="3312"/>
            <w:shd w:fill="FFFFFF"/>
            <w:tcMar>
              <w:top w:w="70" w:type="dxa"/>
              <w:bottom w:w="70" w:type="dxa"/>
              <w:left w:w="100" w:type="dxa"/>
              <w:right w:w="100" w:type="dxa"/>
            </w:tcMar>
          </w:tcPr>
          <w:p>
            <w:pPr>
              <w:spacing w:after="0"/>
            </w:pPr>
            <w:r>
              <w:rPr>
                <w:sz w:val="18"/>
              </w:rPr>
              <w:t>Pendiente de Calibración (Calibration Slope)</w:t>
            </w:r>
          </w:p>
        </w:tc>
        <w:tc>
          <w:tcPr>
            <w:tcW w:type="dxa" w:w="2880"/>
            <w:shd w:fill="FFFFFF"/>
            <w:tcMar>
              <w:top w:w="70" w:type="dxa"/>
              <w:bottom w:w="70" w:type="dxa"/>
              <w:left w:w="100" w:type="dxa"/>
              <w:right w:w="100" w:type="dxa"/>
            </w:tcMar>
          </w:tcPr>
          <w:p>
            <w:pPr>
              <w:spacing w:after="0"/>
            </w:pPr>
            <w:r>
              <w:rPr>
                <w:sz w:val="18"/>
              </w:rPr>
              <w:t>Ubicada en el rango [0.8 , 1.2]</w:t>
            </w:r>
          </w:p>
        </w:tc>
      </w:tr>
      <w:tr>
        <w:tc>
          <w:tcPr>
            <w:tcW w:type="dxa" w:w="3168"/>
            <w:shd w:fill="F7FAFC"/>
            <w:tcMar>
              <w:top w:w="70" w:type="dxa"/>
              <w:bottom w:w="70" w:type="dxa"/>
              <w:left w:w="100" w:type="dxa"/>
              <w:right w:w="100" w:type="dxa"/>
            </w:tcMar>
          </w:tcPr>
          <w:p>
            <w:pPr>
              <w:spacing w:after="0"/>
            </w:pPr>
            <w:r>
              <w:rPr>
                <w:b/>
                <w:color w:val="1B365D"/>
                <w:sz w:val="18"/>
              </w:rPr>
              <w:t>Equilibrio Macro O/E</w:t>
            </w:r>
          </w:p>
        </w:tc>
        <w:tc>
          <w:tcPr>
            <w:tcW w:type="dxa" w:w="3312"/>
            <w:shd w:fill="F7FAFC"/>
            <w:tcMar>
              <w:top w:w="70" w:type="dxa"/>
              <w:bottom w:w="70" w:type="dxa"/>
              <w:left w:w="100" w:type="dxa"/>
              <w:right w:w="100" w:type="dxa"/>
            </w:tcMar>
          </w:tcPr>
          <w:p>
            <w:pPr>
              <w:spacing w:after="0"/>
            </w:pPr>
            <w:r>
              <w:rPr>
                <w:sz w:val="18"/>
              </w:rPr>
              <w:t>Razón O/E consolidada en test</w:t>
            </w:r>
          </w:p>
        </w:tc>
        <w:tc>
          <w:tcPr>
            <w:tcW w:type="dxa" w:w="2880"/>
            <w:shd w:fill="F7FAFC"/>
            <w:tcMar>
              <w:top w:w="70" w:type="dxa"/>
              <w:bottom w:w="70" w:type="dxa"/>
              <w:left w:w="100" w:type="dxa"/>
              <w:right w:w="100" w:type="dxa"/>
            </w:tcMar>
          </w:tcPr>
          <w:p>
            <w:pPr>
              <w:spacing w:after="0"/>
            </w:pPr>
            <w:r>
              <w:rPr>
                <w:sz w:val="18"/>
              </w:rPr>
              <w:t>Ubicada en el rango [0.95 , 1.05]</w:t>
            </w:r>
          </w:p>
        </w:tc>
      </w:tr>
    </w:tbl>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180" w:type="dxa"/>
            </w:tcMar>
            <w:tcBorders>
              <w:left w:val="single" w:sz="24" w:space="0" w:color="2B6CB0"/>
              <w:top w:val="none"/>
              <w:bottom w:val="none"/>
              <w:right w:val="none"/>
            </w:tcBorders>
          </w:tcPr>
          <w:p>
            <w:pPr>
              <w:spacing w:before="0" w:after="60"/>
            </w:pPr>
            <w:r>
              <w:rPr>
                <w:rFonts w:ascii="Calibri" w:hAnsi="Calibri"/>
                <w:b/>
                <w:color w:val="1B365D"/>
                <w:sz w:val="22"/>
              </w:rPr>
              <w:t>Fundamento Técnico: ¿Por qué PR AUC y no ROC AUC estándar?</w:t>
            </w:r>
          </w:p>
          <w:p>
            <w:pPr>
              <w:spacing w:before="0" w:after="0"/>
            </w:pPr>
            <w:r>
              <w:rPr>
                <w:rFonts w:ascii="Calibri" w:hAnsi="Calibri"/>
                <w:color w:val="2D3748"/>
                <w:sz w:val="21"/>
              </w:rPr>
              <w:t>La mortalidad intrahospitalaria es un suceso de baja frecuencia relativa (~2.8% de prevalencia en los egresos totales). Bajo desbalances de clase severos, la curva ROC AUC suele exhibir optimismo artificial y puntajes elevados aunque el clasificador falle sustancialmente en la clase minoritaria. La métrica PR AUC penaliza severamente las falsas alarmas y evalúa con fidelidad la capacidad real de detección de pacientes de alto riesgo.</w:t>
            </w:r>
          </w:p>
        </w:tc>
      </w:tr>
    </w:tbl>
    <w:p>
      <w:pPr>
        <w:spacing w:after="80"/>
      </w:pPr>
    </w:p>
    <w:p>
      <w:pPr>
        <w:spacing w:before="80"/>
      </w:pPr>
      <w:r>
        <w:rPr>
          <w:b/>
        </w:rPr>
        <w:t xml:space="preserve">Control de Falsas Alarmas — Gráficos de Embudo (Funnel Plots): </w:t>
      </w:r>
      <w:r>
        <w:t xml:space="preserve">Al agregar las razones O/E por institución de salud, los centros con bajo volumen asistencial sufren de forma inherente una mayor dispersión estocástica. Para no penalizar indebidamente a recintos pequeños por simple variabilidad de muestreo, el sistema adopta los límites de control estadístico de </w:t>
      </w:r>
      <w:r>
        <w:rPr>
          <w:b/>
        </w:rPr>
        <w:t>Spiegelhalter (2005)</w:t>
      </w:r>
      <w:r>
        <w:t>, delimitando fronteras al 95% (2 desviaciones estándar) y al 99.8% (3 desviaciones estándar).</w:t>
      </w:r>
    </w:p>
    <w:p>
      <w:pPr>
        <w:keepNext/>
        <w:spacing w:before="360" w:after="120"/>
        <w:pBdr>
          <w:bottom w:val="single" w:sz="12" w:space="4" w:color="2B6CB0"/>
        </w:pBdr>
      </w:pPr>
      <w:r>
        <w:rPr>
          <w:rFonts w:ascii="Calibri" w:hAnsi="Calibri"/>
          <w:b/>
          <w:color w:val="1B365D"/>
          <w:sz w:val="32"/>
        </w:rPr>
        <w:t>9. Glosario de términos clave</w:t>
      </w:r>
    </w:p>
    <w:tbl>
      <w:tblPr>
        <w:tblW w:type="auto" w:w="0"/>
        <w:jc w:val="center"/>
        <w:tblLook w:firstColumn="1" w:firstRow="1" w:lastColumn="0" w:lastRow="0" w:noHBand="0" w:noVBand="1" w:val="04A0"/>
        <w:tblBorders>
          <w:top w:val="single" w:sz="6" w:space="0" w:color="CBD5E0"/>
          <w:bottom w:val="single" w:sz="6" w:space="0" w:color="CBD5E0"/>
          <w:insideH w:val="single" w:sz="6" w:space="0" w:color="CBD5E0"/>
          <w:insideV w:val="none"/>
          <w:left w:val="none"/>
          <w:right w:val="none"/>
        </w:tblBorders>
      </w:tblPr>
      <w:tblGrid>
        <w:gridCol w:w="4680"/>
        <w:gridCol w:w="4680"/>
      </w:tblGrid>
      <w:tr>
        <w:tc>
          <w:tcPr>
            <w:tcW w:type="dxa" w:w="3168"/>
            <w:shd w:fill="1B365D"/>
            <w:tcMar>
              <w:top w:w="80" w:type="dxa"/>
              <w:bottom w:w="80" w:type="dxa"/>
              <w:left w:w="100" w:type="dxa"/>
              <w:right w:w="100" w:type="dxa"/>
            </w:tcMar>
          </w:tcPr>
          <w:p>
            <w:r>
              <w:rPr>
                <w:b/>
                <w:color w:val="FFFFFF"/>
                <w:sz w:val="19"/>
              </w:rPr>
              <w:t>Término Especializado</w:t>
            </w:r>
          </w:p>
        </w:tc>
        <w:tc>
          <w:tcPr>
            <w:tcW w:type="dxa" w:w="6192"/>
            <w:shd w:fill="1B365D"/>
            <w:tcMar>
              <w:top w:w="80" w:type="dxa"/>
              <w:bottom w:w="80" w:type="dxa"/>
              <w:left w:w="100" w:type="dxa"/>
              <w:right w:w="100" w:type="dxa"/>
            </w:tcMar>
          </w:tcPr>
          <w:p>
            <w:r>
              <w:rPr>
                <w:b/>
                <w:color w:val="FFFFFF"/>
                <w:sz w:val="19"/>
              </w:rPr>
              <w:t>Definición Conceptual y Operativa</w:t>
            </w:r>
          </w:p>
        </w:tc>
      </w:tr>
      <w:tr>
        <w:tc>
          <w:tcPr>
            <w:tcW w:type="dxa" w:w="3168"/>
            <w:shd w:fill="F7FAFC"/>
            <w:tcMar>
              <w:top w:w="60" w:type="dxa"/>
              <w:bottom w:w="60" w:type="dxa"/>
              <w:left w:w="100" w:type="dxa"/>
              <w:right w:w="100" w:type="dxa"/>
            </w:tcMar>
          </w:tcPr>
          <w:p>
            <w:pPr>
              <w:spacing w:after="0"/>
            </w:pPr>
            <w:r>
              <w:rPr>
                <w:b/>
                <w:color w:val="1B365D"/>
                <w:sz w:val="18"/>
              </w:rPr>
              <w:t>GRD (Grupos Relacionados por Diagnóstico)</w:t>
            </w:r>
          </w:p>
        </w:tc>
        <w:tc>
          <w:tcPr>
            <w:tcW w:type="dxa" w:w="6192"/>
            <w:shd w:fill="F7FAFC"/>
            <w:tcMar>
              <w:top w:w="60" w:type="dxa"/>
              <w:bottom w:w="60" w:type="dxa"/>
              <w:left w:w="100" w:type="dxa"/>
              <w:right w:w="100" w:type="dxa"/>
            </w:tcMar>
          </w:tcPr>
          <w:p>
            <w:pPr>
              <w:spacing w:after="0"/>
            </w:pPr>
            <w:r>
              <w:rPr>
                <w:sz w:val="18"/>
              </w:rPr>
              <w:t>Metodología de clasificación de egresos que agrupa episodios clínicamente coherente y con consumo homogéneo de recursos hospitalarios.</w:t>
            </w:r>
          </w:p>
        </w:tc>
      </w:tr>
      <w:tr>
        <w:tc>
          <w:tcPr>
            <w:tcW w:type="dxa" w:w="3168"/>
            <w:shd w:fill="FFFFFF"/>
            <w:tcMar>
              <w:top w:w="60" w:type="dxa"/>
              <w:bottom w:w="60" w:type="dxa"/>
              <w:left w:w="100" w:type="dxa"/>
              <w:right w:w="100" w:type="dxa"/>
            </w:tcMar>
          </w:tcPr>
          <w:p>
            <w:pPr>
              <w:spacing w:after="0"/>
            </w:pPr>
            <w:r>
              <w:rPr>
                <w:b/>
                <w:color w:val="1B365D"/>
                <w:sz w:val="18"/>
              </w:rPr>
              <w:t>Egreso hospitalario</w:t>
            </w:r>
          </w:p>
        </w:tc>
        <w:tc>
          <w:tcPr>
            <w:tcW w:type="dxa" w:w="6192"/>
            <w:shd w:fill="FFFFFF"/>
            <w:tcMar>
              <w:top w:w="60" w:type="dxa"/>
              <w:bottom w:w="60" w:type="dxa"/>
              <w:left w:w="100" w:type="dxa"/>
              <w:right w:w="100" w:type="dxa"/>
            </w:tcMar>
          </w:tcPr>
          <w:p>
            <w:pPr>
              <w:spacing w:after="0"/>
            </w:pPr>
            <w:r>
              <w:rPr>
                <w:sz w:val="18"/>
              </w:rPr>
              <w:t>Término formal que documenta el fin del internamiento de un paciente en una cama hospitalaria (por alta médica, traslado a otro centro o defunción).</w:t>
            </w:r>
          </w:p>
        </w:tc>
      </w:tr>
      <w:tr>
        <w:tc>
          <w:tcPr>
            <w:tcW w:type="dxa" w:w="3168"/>
            <w:shd w:fill="F7FAFC"/>
            <w:tcMar>
              <w:top w:w="60" w:type="dxa"/>
              <w:bottom w:w="60" w:type="dxa"/>
              <w:left w:w="100" w:type="dxa"/>
              <w:right w:w="100" w:type="dxa"/>
            </w:tcMar>
          </w:tcPr>
          <w:p>
            <w:pPr>
              <w:spacing w:after="0"/>
            </w:pPr>
            <w:r>
              <w:rPr>
                <w:b/>
                <w:color w:val="1B365D"/>
                <w:sz w:val="18"/>
              </w:rPr>
              <w:t>Razón O/E (Observado / Esperado)</w:t>
            </w:r>
          </w:p>
        </w:tc>
        <w:tc>
          <w:tcPr>
            <w:tcW w:type="dxa" w:w="6192"/>
            <w:shd w:fill="F7FAFC"/>
            <w:tcMar>
              <w:top w:w="60" w:type="dxa"/>
              <w:bottom w:w="60" w:type="dxa"/>
              <w:left w:w="100" w:type="dxa"/>
              <w:right w:w="100" w:type="dxa"/>
            </w:tcMar>
          </w:tcPr>
          <w:p>
            <w:pPr>
              <w:spacing w:after="0"/>
            </w:pPr>
            <w:r>
              <w:rPr>
                <w:sz w:val="18"/>
              </w:rPr>
              <w:t>Indicador relativo que contrasta los desenlaces ocurridos empíricamente frente a los predichos por el modelo ajustado por riesgo.</w:t>
            </w:r>
          </w:p>
        </w:tc>
      </w:tr>
      <w:tr>
        <w:tc>
          <w:tcPr>
            <w:tcW w:type="dxa" w:w="3168"/>
            <w:shd w:fill="FFFFFF"/>
            <w:tcMar>
              <w:top w:w="60" w:type="dxa"/>
              <w:bottom w:w="60" w:type="dxa"/>
              <w:left w:w="100" w:type="dxa"/>
              <w:right w:w="100" w:type="dxa"/>
            </w:tcMar>
          </w:tcPr>
          <w:p>
            <w:pPr>
              <w:spacing w:after="0"/>
            </w:pPr>
            <w:r>
              <w:rPr>
                <w:b/>
                <w:color w:val="1B365D"/>
                <w:sz w:val="18"/>
              </w:rPr>
              <w:t>Índice de Elixhauser</w:t>
            </w:r>
          </w:p>
        </w:tc>
        <w:tc>
          <w:tcPr>
            <w:tcW w:type="dxa" w:w="6192"/>
            <w:shd w:fill="FFFFFF"/>
            <w:tcMar>
              <w:top w:w="60" w:type="dxa"/>
              <w:bottom w:w="60" w:type="dxa"/>
              <w:left w:w="100" w:type="dxa"/>
              <w:right w:w="100" w:type="dxa"/>
            </w:tcMar>
          </w:tcPr>
          <w:p>
            <w:pPr>
              <w:spacing w:after="0"/>
            </w:pPr>
            <w:r>
              <w:rPr>
                <w:sz w:val="18"/>
              </w:rPr>
              <w:t>Conjunto de 31 comorbilidades crónicas basales estandarizadas internacionalmente para estratificación de riesgo en registros administrativos.</w:t>
            </w:r>
          </w:p>
        </w:tc>
      </w:tr>
      <w:tr>
        <w:tc>
          <w:tcPr>
            <w:tcW w:type="dxa" w:w="3168"/>
            <w:shd w:fill="F7FAFC"/>
            <w:tcMar>
              <w:top w:w="60" w:type="dxa"/>
              <w:bottom w:w="60" w:type="dxa"/>
              <w:left w:w="100" w:type="dxa"/>
              <w:right w:w="100" w:type="dxa"/>
            </w:tcMar>
          </w:tcPr>
          <w:p>
            <w:pPr>
              <w:spacing w:after="0"/>
            </w:pPr>
            <w:r>
              <w:rPr>
                <w:b/>
                <w:color w:val="1B365D"/>
                <w:sz w:val="18"/>
              </w:rPr>
              <w:t>Fuga de datos (Data Leakage)</w:t>
            </w:r>
          </w:p>
        </w:tc>
        <w:tc>
          <w:tcPr>
            <w:tcW w:type="dxa" w:w="6192"/>
            <w:shd w:fill="F7FAFC"/>
            <w:tcMar>
              <w:top w:w="60" w:type="dxa"/>
              <w:bottom w:w="60" w:type="dxa"/>
              <w:left w:w="100" w:type="dxa"/>
              <w:right w:w="100" w:type="dxa"/>
            </w:tcMar>
          </w:tcPr>
          <w:p>
            <w:pPr>
              <w:spacing w:after="0"/>
            </w:pPr>
            <w:r>
              <w:rPr>
                <w:sz w:val="18"/>
              </w:rPr>
              <w:t>Grave error analítico consistente en introducir variables originadas a posteriori o colineales con el desenlace en el set de predictores.</w:t>
            </w:r>
          </w:p>
        </w:tc>
      </w:tr>
      <w:tr>
        <w:tc>
          <w:tcPr>
            <w:tcW w:type="dxa" w:w="3168"/>
            <w:shd w:fill="FFFFFF"/>
            <w:tcMar>
              <w:top w:w="60" w:type="dxa"/>
              <w:bottom w:w="60" w:type="dxa"/>
              <w:left w:w="100" w:type="dxa"/>
              <w:right w:w="100" w:type="dxa"/>
            </w:tcMar>
          </w:tcPr>
          <w:p>
            <w:pPr>
              <w:spacing w:after="0"/>
            </w:pPr>
            <w:r>
              <w:rPr>
                <w:b/>
                <w:color w:val="1B365D"/>
                <w:sz w:val="18"/>
              </w:rPr>
              <w:t>Calibración</w:t>
            </w:r>
          </w:p>
        </w:tc>
        <w:tc>
          <w:tcPr>
            <w:tcW w:type="dxa" w:w="6192"/>
            <w:shd w:fill="FFFFFF"/>
            <w:tcMar>
              <w:top w:w="60" w:type="dxa"/>
              <w:bottom w:w="60" w:type="dxa"/>
              <w:left w:w="100" w:type="dxa"/>
              <w:right w:w="100" w:type="dxa"/>
            </w:tcMar>
          </w:tcPr>
          <w:p>
            <w:pPr>
              <w:spacing w:after="0"/>
            </w:pPr>
            <w:r>
              <w:rPr>
                <w:sz w:val="18"/>
              </w:rPr>
              <w:t>Grado de concordancia entre las probabilidades pronosticadas por el modelo y las frecuencias reales observadas empíricamente.</w:t>
            </w:r>
          </w:p>
        </w:tc>
      </w:tr>
      <w:tr>
        <w:tc>
          <w:tcPr>
            <w:tcW w:type="dxa" w:w="3168"/>
            <w:shd w:fill="F7FAFC"/>
            <w:tcMar>
              <w:top w:w="60" w:type="dxa"/>
              <w:bottom w:w="60" w:type="dxa"/>
              <w:left w:w="100" w:type="dxa"/>
              <w:right w:w="100" w:type="dxa"/>
            </w:tcMar>
          </w:tcPr>
          <w:p>
            <w:pPr>
              <w:spacing w:after="0"/>
            </w:pPr>
            <w:r>
              <w:rPr>
                <w:b/>
                <w:color w:val="1B365D"/>
                <w:sz w:val="18"/>
              </w:rPr>
              <w:t>Funnel Plot (Gráfico de Embudo)</w:t>
            </w:r>
          </w:p>
        </w:tc>
        <w:tc>
          <w:tcPr>
            <w:tcW w:type="dxa" w:w="6192"/>
            <w:shd w:fill="F7FAFC"/>
            <w:tcMar>
              <w:top w:w="60" w:type="dxa"/>
              <w:bottom w:w="60" w:type="dxa"/>
              <w:left w:w="100" w:type="dxa"/>
              <w:right w:w="100" w:type="dxa"/>
            </w:tcMar>
          </w:tcPr>
          <w:p>
            <w:pPr>
              <w:spacing w:after="0"/>
            </w:pPr>
            <w:r>
              <w:rPr>
                <w:sz w:val="18"/>
              </w:rPr>
              <w:t>Herramienta gráfica que grafica indicadores frente al volumen institucional incorporando límites de control estadístico para evitar falsos positivos.</w:t>
            </w:r>
          </w:p>
        </w:tc>
      </w:tr>
      <w:tr>
        <w:tc>
          <w:tcPr>
            <w:tcW w:type="dxa" w:w="3168"/>
            <w:shd w:fill="FFFFFF"/>
            <w:tcMar>
              <w:top w:w="60" w:type="dxa"/>
              <w:bottom w:w="60" w:type="dxa"/>
              <w:left w:w="100" w:type="dxa"/>
              <w:right w:w="100" w:type="dxa"/>
            </w:tcMar>
          </w:tcPr>
          <w:p>
            <w:pPr>
              <w:spacing w:after="0"/>
            </w:pPr>
            <w:r>
              <w:rPr>
                <w:b/>
                <w:color w:val="1B365D"/>
                <w:sz w:val="18"/>
              </w:rPr>
              <w:t>Upcoding (Sobre-codificación)</w:t>
            </w:r>
          </w:p>
        </w:tc>
        <w:tc>
          <w:tcPr>
            <w:tcW w:type="dxa" w:w="6192"/>
            <w:shd w:fill="FFFFFF"/>
            <w:tcMar>
              <w:top w:w="60" w:type="dxa"/>
              <w:bottom w:w="60" w:type="dxa"/>
              <w:left w:w="100" w:type="dxa"/>
              <w:right w:w="100" w:type="dxa"/>
            </w:tcMar>
          </w:tcPr>
          <w:p>
            <w:pPr>
              <w:spacing w:after="0"/>
            </w:pPr>
            <w:r>
              <w:rPr>
                <w:sz w:val="18"/>
              </w:rPr>
              <w:t>Práctica de registrar artificialmente patologías secundarias más severas con el propósito espurio de elevar la complejidad aparente.</w:t>
            </w:r>
          </w:p>
        </w:tc>
      </w:tr>
      <w:tr>
        <w:tc>
          <w:tcPr>
            <w:tcW w:type="dxa" w:w="3168"/>
            <w:shd w:fill="F7FAFC"/>
            <w:tcMar>
              <w:top w:w="60" w:type="dxa"/>
              <w:bottom w:w="60" w:type="dxa"/>
              <w:left w:w="100" w:type="dxa"/>
              <w:right w:w="100" w:type="dxa"/>
            </w:tcMar>
          </w:tcPr>
          <w:p>
            <w:pPr>
              <w:spacing w:after="0"/>
            </w:pPr>
            <w:r>
              <w:rPr>
                <w:b/>
                <w:color w:val="1B365D"/>
                <w:sz w:val="18"/>
              </w:rPr>
              <w:t>Censura estadística</w:t>
            </w:r>
          </w:p>
        </w:tc>
        <w:tc>
          <w:tcPr>
            <w:tcW w:type="dxa" w:w="6192"/>
            <w:shd w:fill="F7FAFC"/>
            <w:tcMar>
              <w:top w:w="60" w:type="dxa"/>
              <w:bottom w:w="60" w:type="dxa"/>
              <w:left w:w="100" w:type="dxa"/>
              <w:right w:w="100" w:type="dxa"/>
            </w:tcMar>
          </w:tcPr>
          <w:p>
            <w:pPr>
              <w:spacing w:after="0"/>
            </w:pPr>
            <w:r>
              <w:rPr>
                <w:sz w:val="18"/>
              </w:rPr>
              <w:t>Situación en la cual el desenlace final del paciente no es observable de manera fehaciente (ej. pacientes derivados a otras instituciones).</w:t>
            </w:r>
          </w:p>
        </w:tc>
      </w:tr>
      <w:tr>
        <w:tc>
          <w:tcPr>
            <w:tcW w:type="dxa" w:w="3168"/>
            <w:shd w:fill="FFFFFF"/>
            <w:tcMar>
              <w:top w:w="60" w:type="dxa"/>
              <w:bottom w:w="60" w:type="dxa"/>
              <w:left w:w="100" w:type="dxa"/>
              <w:right w:w="100" w:type="dxa"/>
            </w:tcMar>
          </w:tcPr>
          <w:p>
            <w:pPr>
              <w:spacing w:after="0"/>
            </w:pPr>
            <w:r>
              <w:rPr>
                <w:b/>
                <w:color w:val="1B365D"/>
                <w:sz w:val="18"/>
              </w:rPr>
              <w:t>POA (Present On Admission)</w:t>
            </w:r>
          </w:p>
        </w:tc>
        <w:tc>
          <w:tcPr>
            <w:tcW w:type="dxa" w:w="6192"/>
            <w:shd w:fill="FFFFFF"/>
            <w:tcMar>
              <w:top w:w="60" w:type="dxa"/>
              <w:bottom w:w="60" w:type="dxa"/>
              <w:left w:w="100" w:type="dxa"/>
              <w:right w:w="100" w:type="dxa"/>
            </w:tcMar>
          </w:tcPr>
          <w:p>
            <w:pPr>
              <w:spacing w:after="0"/>
            </w:pPr>
            <w:r>
              <w:rPr>
                <w:sz w:val="18"/>
              </w:rPr>
              <w:t>Atributo que distingue si una afección diagnosticada existía antes de la hospitalización o si se generó durante la misma.</w:t>
            </w:r>
          </w:p>
        </w:tc>
      </w:tr>
      <w:tr>
        <w:tc>
          <w:tcPr>
            <w:tcW w:type="dxa" w:w="3168"/>
            <w:shd w:fill="F7FAFC"/>
            <w:tcMar>
              <w:top w:w="60" w:type="dxa"/>
              <w:bottom w:w="60" w:type="dxa"/>
              <w:left w:w="100" w:type="dxa"/>
              <w:right w:w="100" w:type="dxa"/>
            </w:tcMar>
          </w:tcPr>
          <w:p>
            <w:pPr>
              <w:spacing w:after="0"/>
            </w:pPr>
            <w:r>
              <w:rPr>
                <w:b/>
                <w:color w:val="1B365D"/>
                <w:sz w:val="18"/>
              </w:rPr>
              <w:t>IEMC</w:t>
            </w:r>
          </w:p>
        </w:tc>
        <w:tc>
          <w:tcPr>
            <w:tcW w:type="dxa" w:w="6192"/>
            <w:shd w:fill="F7FAFC"/>
            <w:tcMar>
              <w:top w:w="60" w:type="dxa"/>
              <w:bottom w:w="60" w:type="dxa"/>
              <w:left w:w="100" w:type="dxa"/>
              <w:right w:w="100" w:type="dxa"/>
            </w:tcMar>
          </w:tcPr>
          <w:p>
            <w:pPr>
              <w:spacing w:after="0"/>
            </w:pPr>
            <w:r>
              <w:rPr>
                <w:sz w:val="18"/>
              </w:rPr>
              <w:t>Índice de Exhaustividad y Mérito de Codificación que cuantifica la rigurosidad y completitud diagnóstica exhibida por cada establecimiento.</w:t>
            </w:r>
          </w:p>
        </w:tc>
      </w:tr>
      <w:tr>
        <w:tc>
          <w:tcPr>
            <w:tcW w:type="dxa" w:w="3168"/>
            <w:shd w:fill="FFFFFF"/>
            <w:tcMar>
              <w:top w:w="60" w:type="dxa"/>
              <w:bottom w:w="60" w:type="dxa"/>
              <w:left w:w="100" w:type="dxa"/>
              <w:right w:w="100" w:type="dxa"/>
            </w:tcMar>
          </w:tcPr>
          <w:p>
            <w:pPr>
              <w:spacing w:after="0"/>
            </w:pPr>
            <w:r>
              <w:rPr>
                <w:b/>
                <w:color w:val="1B365D"/>
                <w:sz w:val="18"/>
              </w:rPr>
              <w:t>Pipeline de datos</w:t>
            </w:r>
          </w:p>
        </w:tc>
        <w:tc>
          <w:tcPr>
            <w:tcW w:type="dxa" w:w="6192"/>
            <w:shd w:fill="FFFFFF"/>
            <w:tcMar>
              <w:top w:w="60" w:type="dxa"/>
              <w:bottom w:w="60" w:type="dxa"/>
              <w:left w:w="100" w:type="dxa"/>
              <w:right w:w="100" w:type="dxa"/>
            </w:tcMar>
          </w:tcPr>
          <w:p>
            <w:pPr>
              <w:spacing w:after="0"/>
            </w:pPr>
            <w:r>
              <w:rPr>
                <w:sz w:val="18"/>
              </w:rPr>
              <w:t>Conjunto automatizado de fases secuenciales que orquesta la ingesta, limpieza, feature engineering e inferencia.</w:t>
            </w:r>
          </w:p>
        </w:tc>
      </w:tr>
      <w:tr>
        <w:tc>
          <w:tcPr>
            <w:tcW w:type="dxa" w:w="3168"/>
            <w:shd w:fill="F7FAFC"/>
            <w:tcMar>
              <w:top w:w="60" w:type="dxa"/>
              <w:bottom w:w="60" w:type="dxa"/>
              <w:left w:w="100" w:type="dxa"/>
              <w:right w:w="100" w:type="dxa"/>
            </w:tcMar>
          </w:tcPr>
          <w:p>
            <w:pPr>
              <w:spacing w:after="0"/>
            </w:pPr>
            <w:r>
              <w:rPr>
                <w:b/>
                <w:color w:val="1B365D"/>
                <w:sz w:val="18"/>
              </w:rPr>
              <w:t>Formato Parquet</w:t>
            </w:r>
          </w:p>
        </w:tc>
        <w:tc>
          <w:tcPr>
            <w:tcW w:type="dxa" w:w="6192"/>
            <w:shd w:fill="F7FAFC"/>
            <w:tcMar>
              <w:top w:w="60" w:type="dxa"/>
              <w:bottom w:w="60" w:type="dxa"/>
              <w:left w:w="100" w:type="dxa"/>
              <w:right w:w="100" w:type="dxa"/>
            </w:tcMar>
          </w:tcPr>
          <w:p>
            <w:pPr>
              <w:spacing w:after="0"/>
            </w:pPr>
            <w:r>
              <w:rPr>
                <w:sz w:val="18"/>
              </w:rPr>
              <w:t>Estructura de almacenamiento columnar altamente comprimida diseñada para consultas analíticas masivas y de alto rendimiento.</w:t>
            </w:r>
          </w:p>
        </w:tc>
      </w:tr>
    </w:tbl>
    <w:p>
      <w:pPr>
        <w:spacing w:after="80"/>
      </w:pPr>
    </w:p>
    <w:p>
      <w:pPr>
        <w:keepNext/>
        <w:spacing w:before="360" w:after="120"/>
        <w:pBdr>
          <w:bottom w:val="single" w:sz="12" w:space="4" w:color="2B6CB0"/>
        </w:pBdr>
      </w:pPr>
      <w:r>
        <w:rPr>
          <w:rFonts w:ascii="Calibri" w:hAnsi="Calibri"/>
          <w:b/>
          <w:color w:val="1B365D"/>
          <w:sz w:val="32"/>
        </w:rPr>
        <w:t>10. Alcance y limitaciones reconocidas</w:t>
      </w:r>
    </w:p>
    <w:p>
      <w:r>
        <w:t xml:space="preserve">El sistema </w:t>
      </w:r>
      <w:r>
        <w:rPr>
          <w:b/>
        </w:rPr>
        <w:t>NO</w:t>
      </w:r>
      <w:r>
        <w:t xml:space="preserve"> pretende:</w:t>
      </w:r>
    </w:p>
    <w:p>
      <w:pPr>
        <w:pStyle w:val="ListBullet"/>
        <w:spacing w:after="40"/>
      </w:pPr>
      <w:r>
        <w:t>Erigirse como un dictamen exhaustivo o definitivo sobre la calidad clínica integral de un establecimiento médico.</w:t>
      </w:r>
    </w:p>
    <w:p>
      <w:pPr>
        <w:pStyle w:val="ListBullet"/>
        <w:spacing w:after="40"/>
      </w:pPr>
      <w:r>
        <w:t>Señalar responsabilidades de orden punitivo ni generar rankings simplistas que perjudiquen al personal asistencial.</w:t>
      </w:r>
    </w:p>
    <w:p>
      <w:pPr>
        <w:pStyle w:val="ListBullet"/>
        <w:spacing w:after="40"/>
      </w:pPr>
      <w:r>
        <w:t>Neutralizar plenamente el sesgo de alta anticipada o traslado estratégico (pacientes de gravedad extrema derivados antes del deceso), limitación universal documentada en la literatura de indicadores hospitalarios basados en egresos.</w:t>
      </w:r>
    </w:p>
    <w:p>
      <w:pPr>
        <w:spacing w:before="120"/>
      </w:pPr>
      <w:r>
        <w:t xml:space="preserve">El sistema </w:t>
      </w:r>
      <w:r>
        <w:rPr>
          <w:b/>
        </w:rPr>
        <w:t>SÍ</w:t>
      </w:r>
      <w:r>
        <w:t xml:space="preserve"> pretende:</w:t>
      </w:r>
    </w:p>
    <w:p>
      <w:pPr>
        <w:pStyle w:val="ListBullet"/>
        <w:spacing w:after="40"/>
      </w:pPr>
      <w:r>
        <w:t>Proporcionar una brújula estadística objetiva, normalizada y reproducible que oriente a las jefaturas y tomadores de decisión hacia áreas que demandan revisión.</w:t>
      </w:r>
    </w:p>
    <w:p>
      <w:pPr>
        <w:pStyle w:val="ListBullet"/>
        <w:spacing w:after="40"/>
      </w:pPr>
      <w:r>
        <w:t>Garantizar la reproducibilidad científica total: cualquier investigador con acceso a las fuentes de FONASA podrá regenerar idénticos resultados con el código provisto.</w:t>
      </w:r>
    </w:p>
    <w:p>
      <w:pPr>
        <w:pStyle w:val="ListBullet"/>
        <w:spacing w:after="40"/>
      </w:pPr>
      <w:r>
        <w:t>Aportar máxima transparencia técnica: cada exclusión, ponderación e imputación se encuentra documentada y abierta al escrutinio académico.</w:t>
      </w:r>
    </w:p>
    <w:p>
      <w:pPr>
        <w:spacing w:before="320"/>
        <w:pBdr>
          <w:bottom w:val="single" w:sz="12" w:space="1" w:color="1B365D"/>
        </w:pBdr>
      </w:pPr>
    </w:p>
    <w:p>
      <w:pPr>
        <w:spacing w:before="80"/>
        <w:jc w:val="center"/>
      </w:pPr>
      <w:r>
        <w:rPr>
          <w:i/>
          <w:color w:val="718096"/>
          <w:sz w:val="18"/>
        </w:rPr>
        <w:t>Documento Técnico de Fase 1 — Comprensión del Dominio</w:t>
        <w:br/>
        <w:t>Universidad de Santiago de Chile | Departamento de Ingeniería Informática</w:t>
        <w:br/>
        <w:t>Santiago de Chile — Septiembre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Universidad de Santiago de Chile — Departamento de Ingeniería Informática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Fase 1 — Comprensión del Dominio | Tesis de Grado USACH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