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jc w:val="center"/>
        <w:rPr/>
      </w:pPr>
      <w:r>
        <w:rPr>
          <w:b/>
          <w:sz w:val="26"/>
        </w:rPr>
        <w:t xml:space="preserve">UNIVERSIDAD DE SANTIAGO DE CHILE</w:t>
      </w:r>
      <w:r/>
    </w:p>
    <w:p>
      <w:pPr>
        <w:pBdr/>
        <w:spacing/>
        <w:ind/>
        <w:jc w:val="center"/>
        <w:rPr/>
      </w:pPr>
      <w:r>
        <w:rPr>
          <w:b w:val="0"/>
          <w:sz w:val="22"/>
        </w:rPr>
        <w:t xml:space="preserve">FACULTAD DE INGENIERÍA</w:t>
      </w:r>
      <w:r/>
    </w:p>
    <w:p>
      <w:pPr>
        <w:pBdr/>
        <w:spacing/>
        <w:ind/>
        <w:jc w:val="center"/>
        <w:rPr/>
      </w:pPr>
      <w:r>
        <w:rPr>
          <w:b w:val="0"/>
          <w:sz w:val="22"/>
        </w:rPr>
        <w:t xml:space="preserve">DEPARTAMENTO DE INGENIERÍA INFORMÁTICA</w:t>
      </w:r>
      <w:r/>
    </w:p>
    <w:p>
      <w:pPr>
        <w:pBdr/>
        <w:spacing/>
        <w:ind/>
        <w:rPr/>
      </w:pPr>
      <w:r/>
      <w:r/>
    </w:p>
    <w:p>
      <w:pPr>
        <w:pBdr/>
        <w:spacing/>
        <w:ind/>
        <w:jc w:val="center"/>
        <w:rPr/>
      </w:pPr>
      <w:r>
        <w:rPr>
          <w:b/>
          <w:color w:val="0d47a1"/>
          <w:sz w:val="34"/>
        </w:rPr>
        <w:t xml:space="preserve">INFORME TÉCNICO — FASE 1</w:t>
        <w:br/>
        <w:t xml:space="preserve">COMPRENSIÓN DEL DOMINIO</w:t>
      </w:r>
      <w:r/>
    </w:p>
    <w:p>
      <w:pPr>
        <w:pBdr/>
        <w:spacing/>
        <w:ind/>
        <w:rPr/>
      </w:pPr>
      <w:r/>
      <w:r/>
    </w:p>
    <w:p>
      <w:pPr>
        <w:pBdr/>
        <w:spacing/>
        <w:ind/>
        <w:jc w:val="center"/>
        <w:rPr/>
      </w:pPr>
      <w:r>
        <w:rPr>
          <w:i/>
          <w:sz w:val="24"/>
        </w:rPr>
        <w:t xml:space="preserve">Proyecto de Tesis: Sistema de evaluación del desempeño hospitalario</w:t>
        <w:br/>
        <w:t xml:space="preserve">ajustado por riesgo mediante aprendizaje automático</w:t>
      </w:r>
      <w:r/>
    </w:p>
    <w:p>
      <w:pPr>
        <w:pBdr/>
        <w:spacing/>
        <w:ind/>
        <w:rPr/>
      </w:pPr>
      <w:r/>
      <w:r/>
    </w:p>
    <w:tbl>
      <w:tblPr>
        <w:tblStyle w:val="753"/>
        <w:tblW w:w="0" w:type="auto"/>
        <w:tblBorders/>
        <w:tblLook w:val="04A0" w:firstRow="1" w:lastRow="0" w:firstColumn="1" w:lastColumn="0" w:noHBand="0" w:noVBand="1"/>
      </w:tblPr>
      <w:tblGrid>
        <w:gridCol w:w="4561"/>
        <w:gridCol w:w="4561"/>
      </w:tblGrid>
      <w:tr>
        <w:trPr/>
        <w:tc>
          <w:tcPr>
            <w:shd w:val="clear" w:color="auto" w:fill="e3f2fd"/>
            <w:tcBorders/>
            <w:tcW w:w="4561" w:type="dxa"/>
          </w:tcPr>
          <w:p>
            <w:pPr>
              <w:pBdr/>
              <w:spacing/>
              <w:ind/>
              <w:rPr/>
            </w:pPr>
            <w:r>
              <w:rPr>
                <w:b/>
                <w:sz w:val="22"/>
              </w:rPr>
              <w:t xml:space="preserve">Estudiante</w:t>
            </w:r>
            <w:r/>
          </w:p>
        </w:tc>
        <w:tc>
          <w:tcPr>
            <w:tcBorders/>
            <w:tcW w:w="4561" w:type="dxa"/>
          </w:tcPr>
          <w:p>
            <w:pPr>
              <w:pBdr/>
              <w:spacing/>
              <w:ind/>
              <w:rPr/>
            </w:pPr>
            <w:r>
              <w:rPr>
                <w:sz w:val="22"/>
              </w:rPr>
              <w:t xml:space="preserve">Felipe Ignacio Baeza Muñoz</w:t>
            </w:r>
            <w:r/>
          </w:p>
        </w:tc>
      </w:tr>
      <w:tr>
        <w:trPr/>
        <w:tc>
          <w:tcPr>
            <w:shd w:val="clear" w:color="auto" w:fill="e3f2fd"/>
            <w:tcBorders/>
            <w:tcW w:w="4561" w:type="dxa"/>
          </w:tcPr>
          <w:p>
            <w:pPr>
              <w:pBdr/>
              <w:spacing/>
              <w:ind/>
              <w:rPr/>
            </w:pPr>
            <w:r>
              <w:rPr>
                <w:b/>
                <w:sz w:val="22"/>
              </w:rPr>
              <w:t xml:space="preserve">Profesor guía</w:t>
            </w:r>
            <w:r/>
          </w:p>
        </w:tc>
        <w:tc>
          <w:tcPr>
            <w:tcBorders/>
            <w:tcW w:w="4561" w:type="dxa"/>
          </w:tcPr>
          <w:p>
            <w:pPr>
              <w:pBdr/>
              <w:spacing/>
              <w:ind/>
              <w:rPr/>
            </w:pPr>
            <w:r>
              <w:rPr>
                <w:sz w:val="22"/>
              </w:rPr>
              <w:t xml:space="preserve">Manuel Villalobos Cid</w:t>
            </w:r>
            <w:r/>
          </w:p>
        </w:tc>
      </w:tr>
      <w:tr>
        <w:trPr/>
        <w:tc>
          <w:tcPr>
            <w:shd w:val="clear" w:color="auto" w:fill="e3f2fd"/>
            <w:tcBorders/>
            <w:tcW w:w="4561" w:type="dxa"/>
          </w:tcPr>
          <w:p>
            <w:pPr>
              <w:pBdr/>
              <w:spacing/>
              <w:ind/>
              <w:rPr/>
            </w:pPr>
            <w:r>
              <w:rPr>
                <w:b/>
                <w:sz w:val="22"/>
              </w:rPr>
              <w:t xml:space="preserve">Carrera</w:t>
            </w:r>
            <w:r/>
          </w:p>
        </w:tc>
        <w:tc>
          <w:tcPr>
            <w:tcBorders/>
            <w:tcW w:w="4561" w:type="dxa"/>
          </w:tcPr>
          <w:p>
            <w:pPr>
              <w:pBdr/>
              <w:spacing/>
              <w:ind/>
              <w:rPr/>
            </w:pPr>
            <w:r>
              <w:rPr>
                <w:sz w:val="22"/>
              </w:rPr>
              <w:t xml:space="preserve">Ingeniería de Ejecución en Computación e Informática</w:t>
            </w:r>
            <w:r/>
          </w:p>
        </w:tc>
      </w:tr>
      <w:tr>
        <w:trPr/>
        <w:tc>
          <w:tcPr>
            <w:shd w:val="clear" w:color="auto" w:fill="e3f2fd"/>
            <w:tcBorders/>
            <w:tcW w:w="4561" w:type="dxa"/>
          </w:tcPr>
          <w:p>
            <w:pPr>
              <w:pBdr/>
              <w:spacing/>
              <w:ind/>
              <w:rPr/>
            </w:pPr>
            <w:r>
              <w:rPr>
                <w:b/>
                <w:sz w:val="22"/>
              </w:rPr>
              <w:t xml:space="preserve">Fecha</w:t>
            </w:r>
            <w:r/>
          </w:p>
        </w:tc>
        <w:tc>
          <w:tcPr>
            <w:tcBorders/>
            <w:tcW w:w="4561" w:type="dxa"/>
          </w:tcPr>
          <w:p>
            <w:pPr>
              <w:pBdr/>
              <w:spacing/>
              <w:ind/>
              <w:rPr/>
            </w:pPr>
            <w:r>
              <w:rPr>
                <w:sz w:val="22"/>
              </w:rPr>
              <w:t xml:space="preserve">Septiembre 2026</w:t>
            </w:r>
            <w:r/>
          </w:p>
        </w:tc>
      </w:tr>
    </w:tbl>
    <w:p>
      <w:pPr>
        <w:pBdr/>
        <w:spacing/>
        <w:ind/>
        <w:rPr/>
      </w:pPr>
      <w:r/>
      <w:r/>
    </w:p>
    <w:p>
      <w:pPr>
        <w:pBdr/>
        <w:spacing/>
        <w:ind/>
        <w:rPr/>
      </w:pPr>
      <w:r>
        <w:br w:type="page" w:clear="all"/>
      </w:r>
      <w:r/>
    </w:p>
    <w:p>
      <w:pPr>
        <w:pStyle w:val="693"/>
        <w:pBdr/>
        <w:spacing/>
        <w:ind/>
        <w:jc w:val="left"/>
        <w:rPr/>
      </w:pPr>
      <w:r>
        <w:rPr>
          <w:color w:val="0d47a1"/>
        </w:rPr>
        <w:t xml:space="preserve">1. Descripción del proyecto y por qué es importante</w:t>
      </w:r>
      <w:r/>
    </w:p>
    <w:p>
      <w:pPr>
        <w:pBdr/>
        <w:spacing/>
        <w:ind/>
        <w:rPr/>
      </w:pPr>
      <w:r>
        <w:rPr>
          <w:b w:val="0"/>
          <w:i w:val="0"/>
          <w:sz w:val="22"/>
        </w:rPr>
        <w:t xml:space="preserve">En Chile, cada vez que un paciente sale de un hospital público —ya sea por alta médica, traslado a otro recinto o fallecimiento— se genera un registro clínico-administrativo que el Ministerio de Salud</w:t>
      </w:r>
      <w:r>
        <w:rPr>
          <w:b w:val="0"/>
          <w:i w:val="0"/>
          <w:sz w:val="22"/>
        </w:rPr>
        <w:t xml:space="preserve"> clasifica bajo el sistema de Grupos Relacionados por Diagnóstico (GRD). Estos registros contienen información detallada: diagnósticos, procedimientos, días de hospitalización y resultado del episodio. En conjunto, suman más de un millón de egresos al año.</w:t>
      </w:r>
      <w:r/>
    </w:p>
    <w:p>
      <w:pPr>
        <w:pBdr/>
        <w:spacing/>
        <w:ind/>
        <w:rPr/>
      </w:pPr>
      <w:r>
        <w:rPr>
          <w:b w:val="0"/>
          <w:i w:val="0"/>
          <w:sz w:val="22"/>
        </w:rPr>
        <w:t xml:space="preserve">El problema central es que ninguna entidad utiliza de forma sistemática e</w:t>
      </w:r>
      <w:r>
        <w:rPr>
          <w:b w:val="0"/>
          <w:i w:val="0"/>
          <w:sz w:val="22"/>
        </w:rPr>
        <w:t xml:space="preserve">stos datos para evaluar si los hospitales están funcionando bien. Las plataformas oficiales publican únicamente estadísticas brutas —tasas de mortalidad generales y promedios de días de estadía— sin ningún ajuste por la gravedad de los pacientes atendidos.</w:t>
      </w:r>
      <w:r/>
    </w:p>
    <w:p>
      <w:pPr>
        <w:pBdr/>
        <w:spacing/>
        <w:ind/>
        <w:rPr/>
      </w:pPr>
      <w:r>
        <w:rPr>
          <w:b w:val="0"/>
          <w:i w:val="0"/>
          <w:sz w:val="22"/>
        </w:rPr>
        <w:t xml:space="preserve">Esto genera una comparación injusta: un hospital de alta complejidad que atiend</w:t>
      </w:r>
      <w:r>
        <w:rPr>
          <w:b w:val="0"/>
          <w:i w:val="0"/>
          <w:sz w:val="22"/>
        </w:rPr>
        <w:t xml:space="preserve">e pacientes crónicamente enfermos, adultos mayores frágiles o casos oncológicos avanzados tendrá naturalmente más muertes que uno que atiende cirugías electivas simples. Comparar sus tasas brutas no mide calidad; mide qué tan enfermen llegan sus pacientes.</w:t>
      </w:r>
      <w:r/>
    </w:p>
    <w:tbl>
      <w:tblPr>
        <w:tblStyle w:val="753"/>
        <w:tblW w:w="0" w:type="auto"/>
        <w:tblBorders/>
        <w:tblLook w:val="04A0" w:firstRow="1" w:lastRow="0" w:firstColumn="1" w:lastColumn="0" w:noHBand="0" w:noVBand="1"/>
      </w:tblPr>
      <w:tblGrid>
        <w:gridCol w:w="9122"/>
      </w:tblGrid>
      <w:tr>
        <w:trPr/>
        <w:tc>
          <w:tcPr>
            <w:shd w:val="clear" w:color="auto" w:fill="e8f5e9"/>
            <w:tcBorders/>
            <w:tcW w:w="9122" w:type="dxa"/>
          </w:tcPr>
          <w:p>
            <w:pPr>
              <w:pBdr/>
              <w:spacing/>
              <w:ind/>
              <w:rPr/>
            </w:pPr>
            <w:r>
              <w:rPr>
                <w:b/>
                <w:sz w:val="22"/>
              </w:rPr>
              <w:t xml:space="preserve">Propósito central del sistema</w:t>
              <w:br/>
            </w:r>
            <w:r>
              <w:rPr>
                <w:sz w:val="22"/>
              </w:rPr>
              <w:t xml:space="preserve">El sistema no busca construir rankings punitivos ni señalar culpabilidades. </w:t>
            </w:r>
            <w:r>
              <w:rPr>
                <w:sz w:val="22"/>
              </w:rPr>
              <w:t xml:space="preserve">Su objetivo es proporcionar a los gestores hospitalarios y al Ministerio de Salud una señal estadística objetiva que indique dónde puede existir una desviación relevante del desempeño esperado, para orientar revisiones internas y la asignación de recursos.</w:t>
            </w:r>
            <w:r/>
          </w:p>
        </w:tc>
      </w:tr>
    </w:tbl>
    <w:p>
      <w:pPr>
        <w:pBdr/>
        <w:spacing/>
        <w:ind/>
        <w:rPr/>
      </w:pPr>
      <w:r/>
      <w:r/>
    </w:p>
    <w:p>
      <w:pPr>
        <w:pBdr/>
        <w:spacing/>
        <w:ind/>
        <w:rPr/>
      </w:pPr>
      <w:r>
        <w:rPr>
          <w:b w:val="0"/>
          <w:i w:val="0"/>
          <w:sz w:val="22"/>
        </w:rPr>
        <w:t xml:space="preserve">El proyecto construye un sistema computacional que:</w:t>
      </w:r>
      <w:r/>
    </w:p>
    <w:p>
      <w:pPr>
        <w:pStyle w:val="723"/>
        <w:pBdr/>
        <w:spacing/>
        <w:ind w:left="283"/>
        <w:rPr/>
      </w:pPr>
      <w:r>
        <w:rPr>
          <w:sz w:val="22"/>
        </w:rPr>
        <w:t xml:space="preserve">Procesa 5.808.536 registros históricos de egresos hospitalarios (2019–2024), obtenidos formalmente de FONASA mediante la Ley 20.285 de Transparencia.</w:t>
      </w:r>
      <w:r/>
    </w:p>
    <w:p>
      <w:pPr>
        <w:pStyle w:val="723"/>
        <w:pBdr/>
        <w:spacing/>
        <w:ind w:left="283"/>
        <w:rPr/>
      </w:pPr>
      <w:r>
        <w:rPr>
          <w:sz w:val="22"/>
        </w:rPr>
        <w:t xml:space="preserve">Predice, mediante modelos de aprendizaje automático, la cantidad esperada de defunciones y de días de estadía para cada hospital, considerando el perfil clínico real de sus pacientes.</w:t>
      </w:r>
      <w:r/>
    </w:p>
    <w:p>
      <w:pPr>
        <w:pStyle w:val="723"/>
        <w:pBdr/>
        <w:spacing/>
        <w:ind w:left="283"/>
        <w:rPr/>
      </w:pPr>
      <w:r>
        <w:rPr>
          <w:sz w:val="22"/>
        </w:rPr>
        <w:t xml:space="preserve">Compara lo observado versus lo esperado estadísticamente, construyendo la Razón O/E (Observado sobre Esperado) por establecimiento.</w:t>
      </w:r>
      <w:r/>
    </w:p>
    <w:p>
      <w:pPr>
        <w:pStyle w:val="723"/>
        <w:pBdr/>
        <w:spacing/>
        <w:ind w:left="283"/>
        <w:rPr/>
      </w:pPr>
      <w:r>
        <w:rPr>
          <w:sz w:val="22"/>
        </w:rPr>
        <w:t xml:space="preserve">Presenta los resultados en una plataforma web interactiva para directivos de salud, investigadores y ciudadanos.</w:t>
      </w:r>
      <w:r/>
    </w:p>
    <w:p>
      <w:pPr>
        <w:pStyle w:val="693"/>
        <w:pBdr/>
        <w:spacing/>
        <w:ind/>
        <w:jc w:val="left"/>
        <w:rPr/>
      </w:pPr>
      <w:r>
        <w:rPr>
          <w:color w:val="0d47a1"/>
        </w:rPr>
        <w:t xml:space="preserve">2. Fuente de datos</w:t>
      </w:r>
      <w:r/>
    </w:p>
    <w:tbl>
      <w:tblPr>
        <w:tblStyle w:val="753"/>
        <w:tblW w:w="0" w:type="auto"/>
        <w:tblBorders/>
        <w:tblLook w:val="04A0" w:firstRow="1" w:lastRow="0" w:firstColumn="1" w:lastColumn="0" w:noHBand="0" w:noVBand="1"/>
      </w:tblPr>
      <w:tblGrid>
        <w:gridCol w:w="4561"/>
        <w:gridCol w:w="4561"/>
      </w:tblGrid>
      <w:tr>
        <w:trPr/>
        <w:tc>
          <w:tcPr>
            <w:shd w:val="clear" w:color="auto" w:fill="1565c0"/>
            <w:tcBorders/>
            <w:tcW w:w="4561" w:type="dxa"/>
          </w:tcPr>
          <w:p>
            <w:pPr>
              <w:pBdr/>
              <w:spacing/>
              <w:ind/>
              <w:jc w:val="center"/>
              <w:rPr/>
            </w:pPr>
            <w:r>
              <w:rPr>
                <w:b/>
                <w:color w:val="ffffff"/>
                <w:sz w:val="20"/>
              </w:rPr>
              <w:t xml:space="preserve">Característica</w:t>
            </w:r>
            <w:r/>
          </w:p>
        </w:tc>
        <w:tc>
          <w:tcPr>
            <w:shd w:val="clear" w:color="auto" w:fill="1565c0"/>
            <w:tcBorders/>
            <w:tcW w:w="4561" w:type="dxa"/>
          </w:tcPr>
          <w:p>
            <w:pPr>
              <w:pBdr/>
              <w:spacing/>
              <w:ind/>
              <w:jc w:val="center"/>
              <w:rPr/>
            </w:pPr>
            <w:r>
              <w:rPr>
                <w:b/>
                <w:color w:val="ffffff"/>
                <w:sz w:val="20"/>
              </w:rPr>
              <w:t xml:space="preserve">Detalle</w:t>
            </w:r>
            <w:r/>
          </w:p>
        </w:tc>
      </w:tr>
      <w:tr>
        <w:trPr/>
        <w:tc>
          <w:tcPr>
            <w:tcBorders/>
            <w:tcW w:w="4561" w:type="dxa"/>
          </w:tcPr>
          <w:p>
            <w:pPr>
              <w:pBdr/>
              <w:spacing/>
              <w:ind/>
              <w:rPr/>
            </w:pPr>
            <w:r>
              <w:rPr>
                <w:b/>
                <w:sz w:val="20"/>
              </w:rPr>
              <w:t xml:space="preserve">Fuente</w:t>
            </w:r>
            <w:r/>
          </w:p>
        </w:tc>
        <w:tc>
          <w:tcPr>
            <w:tcBorders/>
            <w:tcW w:w="4561" w:type="dxa"/>
          </w:tcPr>
          <w:p>
            <w:pPr>
              <w:pBdr/>
              <w:spacing/>
              <w:ind/>
              <w:rPr/>
            </w:pPr>
            <w:r>
              <w:rPr>
                <w:sz w:val="20"/>
              </w:rPr>
              <w:t xml:space="preserve">FONASA — Ley 20.285 de Transparencia</w:t>
            </w:r>
            <w:r/>
          </w:p>
        </w:tc>
      </w:tr>
      <w:tr>
        <w:trPr/>
        <w:tc>
          <w:tcPr>
            <w:shd w:val="clear" w:color="auto" w:fill="e3f2fd"/>
            <w:tcBorders/>
            <w:tcW w:w="4561" w:type="dxa"/>
          </w:tcPr>
          <w:p>
            <w:pPr>
              <w:pBdr/>
              <w:spacing/>
              <w:ind/>
              <w:rPr/>
            </w:pPr>
            <w:r>
              <w:rPr>
                <w:b/>
                <w:sz w:val="20"/>
              </w:rPr>
              <w:t xml:space="preserve">Período</w:t>
            </w:r>
            <w:r/>
          </w:p>
        </w:tc>
        <w:tc>
          <w:tcPr>
            <w:shd w:val="clear" w:color="auto" w:fill="e3f2fd"/>
            <w:tcBorders/>
            <w:tcW w:w="4561" w:type="dxa"/>
          </w:tcPr>
          <w:p>
            <w:pPr>
              <w:pBdr/>
              <w:spacing/>
              <w:ind/>
              <w:rPr/>
            </w:pPr>
            <w:r>
              <w:rPr>
                <w:sz w:val="20"/>
              </w:rPr>
              <w:t xml:space="preserve">Egresos hospitalarios 2019 – 2024</w:t>
            </w:r>
            <w:r/>
          </w:p>
        </w:tc>
      </w:tr>
      <w:tr>
        <w:trPr/>
        <w:tc>
          <w:tcPr>
            <w:tcBorders/>
            <w:tcW w:w="4561" w:type="dxa"/>
          </w:tcPr>
          <w:p>
            <w:pPr>
              <w:pBdr/>
              <w:spacing/>
              <w:ind/>
              <w:rPr/>
            </w:pPr>
            <w:r>
              <w:rPr>
                <w:b/>
                <w:sz w:val="20"/>
              </w:rPr>
              <w:t xml:space="preserve">Volumen</w:t>
            </w:r>
            <w:r/>
          </w:p>
        </w:tc>
        <w:tc>
          <w:tcPr>
            <w:tcBorders/>
            <w:tcW w:w="4561" w:type="dxa"/>
          </w:tcPr>
          <w:p>
            <w:pPr>
              <w:pBdr/>
              <w:spacing/>
              <w:ind/>
              <w:rPr/>
            </w:pPr>
            <w:r>
              <w:rPr>
                <w:sz w:val="20"/>
              </w:rPr>
              <w:t xml:space="preserve">5.808.536 registros</w:t>
            </w:r>
            <w:r/>
          </w:p>
        </w:tc>
      </w:tr>
      <w:tr>
        <w:trPr/>
        <w:tc>
          <w:tcPr>
            <w:shd w:val="clear" w:color="auto" w:fill="e3f2fd"/>
            <w:tcBorders/>
            <w:tcW w:w="4561" w:type="dxa"/>
          </w:tcPr>
          <w:p>
            <w:pPr>
              <w:pBdr/>
              <w:spacing/>
              <w:ind/>
              <w:rPr/>
            </w:pPr>
            <w:r>
              <w:rPr>
                <w:b/>
                <w:sz w:val="20"/>
              </w:rPr>
              <w:t xml:space="preserve">Columnas por registro</w:t>
            </w:r>
            <w:r/>
          </w:p>
        </w:tc>
        <w:tc>
          <w:tcPr>
            <w:shd w:val="clear" w:color="auto" w:fill="e3f2fd"/>
            <w:tcBorders/>
            <w:tcW w:w="4561" w:type="dxa"/>
          </w:tcPr>
          <w:p>
            <w:pPr>
              <w:pBdr/>
              <w:spacing/>
              <w:ind/>
              <w:rPr/>
            </w:pPr>
            <w:r>
              <w:rPr>
                <w:sz w:val="20"/>
              </w:rPr>
              <w:t xml:space="preserve">129 variables clínicas y administrativas</w:t>
            </w:r>
            <w:r/>
          </w:p>
        </w:tc>
      </w:tr>
      <w:tr>
        <w:trPr/>
        <w:tc>
          <w:tcPr>
            <w:tcBorders/>
            <w:tcW w:w="4561" w:type="dxa"/>
          </w:tcPr>
          <w:p>
            <w:pPr>
              <w:pBdr/>
              <w:spacing/>
              <w:ind/>
              <w:rPr/>
            </w:pPr>
            <w:r>
              <w:rPr>
                <w:b/>
                <w:sz w:val="20"/>
              </w:rPr>
              <w:t xml:space="preserve">Formato de entrega</w:t>
            </w:r>
            <w:r/>
          </w:p>
        </w:tc>
        <w:tc>
          <w:tcPr>
            <w:tcBorders/>
            <w:tcW w:w="4561" w:type="dxa"/>
          </w:tcPr>
          <w:p>
            <w:pPr>
              <w:pBdr/>
              <w:spacing/>
              <w:ind/>
              <w:rPr/>
            </w:pPr>
            <w:r>
              <w:rPr>
                <w:sz w:val="20"/>
              </w:rPr>
              <w:t xml:space="preserve">Archivos de texto separados por barra vertical (|), uno por año</w:t>
            </w:r>
            <w:r/>
          </w:p>
        </w:tc>
      </w:tr>
      <w:tr>
        <w:trPr/>
        <w:tc>
          <w:tcPr>
            <w:shd w:val="clear" w:color="auto" w:fill="e3f2fd"/>
            <w:tcBorders/>
            <w:tcW w:w="4561" w:type="dxa"/>
          </w:tcPr>
          <w:p>
            <w:pPr>
              <w:pBdr/>
              <w:spacing/>
              <w:ind/>
              <w:rPr/>
            </w:pPr>
            <w:r>
              <w:rPr>
                <w:b/>
                <w:sz w:val="20"/>
              </w:rPr>
              <w:t xml:space="preserve">Privacidad</w:t>
            </w:r>
            <w:r/>
          </w:p>
        </w:tc>
        <w:tc>
          <w:tcPr>
            <w:shd w:val="clear" w:color="auto" w:fill="e3f2fd"/>
            <w:tcBorders/>
            <w:tcW w:w="4561" w:type="dxa"/>
          </w:tcPr>
          <w:p>
            <w:pPr>
              <w:pBdr/>
              <w:spacing/>
              <w:ind/>
              <w:rPr/>
            </w:pPr>
            <w:r>
              <w:rPr>
                <w:sz w:val="20"/>
              </w:rPr>
              <w:t xml:space="preserve">Datos completamente anonimizados. Sin RUT, nombre ni datos de contacto</w:t>
            </w:r>
            <w:r/>
          </w:p>
        </w:tc>
      </w:tr>
      <w:tr>
        <w:trPr/>
        <w:tc>
          <w:tcPr>
            <w:tcBorders/>
            <w:tcW w:w="4561" w:type="dxa"/>
          </w:tcPr>
          <w:p>
            <w:pPr>
              <w:pBdr/>
              <w:spacing/>
              <w:ind/>
              <w:rPr/>
            </w:pPr>
            <w:r>
              <w:rPr>
                <w:b/>
                <w:sz w:val="20"/>
              </w:rPr>
              <w:t xml:space="preserve">Nota 2019</w:t>
            </w:r>
            <w:r/>
          </w:p>
        </w:tc>
        <w:tc>
          <w:tcPr>
            <w:tcBorders/>
            <w:tcW w:w="4561" w:type="dxa"/>
          </w:tcPr>
          <w:p>
            <w:pPr>
              <w:pBdr/>
              <w:spacing/>
              <w:ind/>
              <w:rPr/>
            </w:pPr>
            <w:r>
              <w:rPr>
                <w:sz w:val="20"/>
              </w:rPr>
              <w:t xml:space="preserve">La columna CIP_ENCRIPTADO se llamaba ID_BENEFICIARIO en el primer año. El código lo gestiona automáticamente.</w:t>
            </w:r>
            <w:r/>
          </w:p>
        </w:tc>
      </w:tr>
    </w:tbl>
    <w:p>
      <w:pPr>
        <w:pBdr/>
        <w:spacing/>
        <w:ind/>
        <w:rPr/>
      </w:pPr>
      <w:r/>
      <w:r/>
    </w:p>
    <w:p>
      <w:pPr>
        <w:pStyle w:val="693"/>
        <w:pBdr/>
        <w:spacing/>
        <w:ind/>
        <w:jc w:val="left"/>
        <w:rPr/>
      </w:pPr>
      <w:r>
        <w:rPr>
          <w:color w:val="0d47a1"/>
        </w:rPr>
        <w:t xml:space="preserve">3. Reglas fundamentales del modelo</w:t>
      </w:r>
      <w:r/>
    </w:p>
    <w:p>
      <w:pPr>
        <w:pBdr/>
        <w:spacing/>
        <w:ind/>
        <w:rPr/>
      </w:pPr>
      <w:r>
        <w:rPr>
          <w:b w:val="0"/>
          <w:i w:val="0"/>
          <w:sz w:val="22"/>
        </w:rPr>
        <w:t xml:space="preserve">Para garantizar la validez científica y metodológica del sistema se establecieron tres reglas que ninguna decisión de implementación puede violar:</w:t>
      </w:r>
      <w:r/>
    </w:p>
    <w:p>
      <w:pPr>
        <w:pStyle w:val="694"/>
        <w:pBdr/>
        <w:spacing/>
        <w:ind/>
        <w:jc w:val="left"/>
        <w:rPr/>
      </w:pPr>
      <w:r>
        <w:rPr>
          <w:color w:val="1565c0"/>
        </w:rPr>
        <w:t xml:space="preserve">Regla 1 — Solo información disponible al momento del ingreso</w:t>
      </w:r>
      <w:r/>
    </w:p>
    <w:p>
      <w:pPr>
        <w:pBdr/>
        <w:spacing/>
        <w:ind/>
        <w:rPr/>
      </w:pPr>
      <w:r>
        <w:rPr>
          <w:b w:val="0"/>
          <w:i w:val="0"/>
          <w:sz w:val="22"/>
        </w:rPr>
        <w:t xml:space="preserve">El modelo únicamente puede usar datos que el equipo médico conoce cuando el paciente llega al hospital: eda</w:t>
      </w:r>
      <w:r>
        <w:rPr>
          <w:b w:val="0"/>
          <w:i w:val="0"/>
          <w:sz w:val="22"/>
        </w:rPr>
        <w:t xml:space="preserve">d, sexo, diagnóstico de ingreso, enfermedades previas, cómo llegó y en qué día. Cualquier dato registrado después del ingreso —procedimientos realizados, cirugías, medicamentos administrados, diagnósticos de egreso— está prohibido como variable predictora.</w:t>
      </w:r>
      <w:r/>
    </w:p>
    <w:p>
      <w:pPr>
        <w:pBdr/>
        <w:spacing/>
        <w:ind/>
        <w:rPr/>
      </w:pPr>
      <w:r>
        <w:rPr>
          <w:b w:val="0"/>
          <w:i/>
          <w:color w:val="37474f"/>
          <w:sz w:val="22"/>
        </w:rPr>
        <w:t xml:space="preserve">Si el modelo usara información posterior al ingreso, ya conocería el desenlace antes de predecirlo. Sus resultados serían artificialmente buenos en el papel, pero completamente inútiles en la práctica clínica real.</w:t>
      </w:r>
      <w:r/>
    </w:p>
    <w:p>
      <w:pPr>
        <w:pStyle w:val="694"/>
        <w:pBdr/>
        <w:spacing/>
        <w:ind/>
        <w:jc w:val="left"/>
        <w:rPr/>
      </w:pPr>
      <w:r>
        <w:rPr>
          <w:color w:val="1565c0"/>
        </w:rPr>
        <w:t xml:space="preserve">Regla 2 — El hospital no puede ser variable predictora</w:t>
      </w:r>
      <w:r/>
    </w:p>
    <w:p>
      <w:pPr>
        <w:pBdr/>
        <w:spacing/>
        <w:ind/>
        <w:rPr/>
      </w:pPr>
      <w:r>
        <w:rPr>
          <w:b w:val="0"/>
          <w:i w:val="0"/>
          <w:sz w:val="22"/>
        </w:rPr>
        <w:t xml:space="preserve">El código del hospital, el servicio de salud y cualquier variable que id</w:t>
      </w:r>
      <w:r>
        <w:rPr>
          <w:b w:val="0"/>
          <w:i w:val="0"/>
          <w:sz w:val="22"/>
        </w:rPr>
        <w:t xml:space="preserve">entifique al establecimiento están prohibidos como predictores. Si el modelo aprendiera el historial de cada hospital, el indicador O/E no mediría desempeño: mediría cuánto el modelo recuerda a cada establecimiento, haciendo el ejercicio circular e inútil.</w:t>
      </w:r>
      <w:r/>
    </w:p>
    <w:p>
      <w:pPr>
        <w:pStyle w:val="694"/>
        <w:pBdr/>
        <w:spacing/>
        <w:ind/>
        <w:jc w:val="left"/>
        <w:rPr/>
      </w:pPr>
      <w:r>
        <w:rPr>
          <w:color w:val="1565c0"/>
        </w:rPr>
        <w:t xml:space="preserve">Regla 3 — Las enfermedades previas son el núcleo del ajuste por riesgo</w:t>
      </w:r>
      <w:r/>
    </w:p>
    <w:p>
      <w:pPr>
        <w:pBdr/>
        <w:spacing/>
        <w:ind/>
        <w:rPr/>
      </w:pPr>
      <w:r>
        <w:rPr>
          <w:b w:val="0"/>
          <w:i w:val="0"/>
          <w:sz w:val="22"/>
        </w:rPr>
        <w:t xml:space="preserve">El riesgo de un paciente no depende únicamente de por qué ingresó </w:t>
      </w:r>
      <w:r>
        <w:rPr>
          <w:b w:val="0"/>
          <w:i w:val="0"/>
          <w:sz w:val="22"/>
        </w:rPr>
        <w:t xml:space="preserve">hoy, sino de las enfermedades crónicas que ya tenía antes: diabetes, insuficiencia cardíaca, cáncer, insuficiencia renal, entre otras. Sin ajustar por esto, el sistema castigaría sistemáticamente a los hospitales que atienden a los pacientes más complejos.</w:t>
      </w:r>
      <w:r/>
    </w:p>
    <w:p>
      <w:pPr>
        <w:pStyle w:val="693"/>
        <w:pBdr/>
        <w:spacing/>
        <w:ind/>
        <w:jc w:val="left"/>
        <w:rPr/>
      </w:pPr>
      <w:r>
        <w:rPr>
          <w:color w:val="0d47a1"/>
        </w:rPr>
        <w:t xml:space="preserve">4. Arquitectura de procesamiento — Capas de datos</w:t>
      </w:r>
      <w:r/>
    </w:p>
    <w:p>
      <w:pPr>
        <w:pBdr/>
        <w:spacing/>
        <w:ind/>
        <w:rPr/>
      </w:pPr>
      <w:r>
        <w:rPr>
          <w:b w:val="0"/>
          <w:i w:val="0"/>
          <w:sz w:val="22"/>
        </w:rPr>
        <w:t xml:space="preserve">El procesamiento se organiza en cuatro capas secuenciales. Cada capa toma como entrada la anterior y aplica un conjunto definido de transformaciones. Ninguna capa puede volver atrás ni reutilizar los archivos originales.</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Capa</w:t>
            </w:r>
            <w:r/>
          </w:p>
        </w:tc>
        <w:tc>
          <w:tcPr>
            <w:shd w:val="clear" w:color="auto" w:fill="1565c0"/>
            <w:tcBorders/>
            <w:tcW w:w="3041" w:type="dxa"/>
          </w:tcPr>
          <w:p>
            <w:pPr>
              <w:pBdr/>
              <w:spacing/>
              <w:ind/>
              <w:jc w:val="center"/>
              <w:rPr/>
            </w:pPr>
            <w:r>
              <w:rPr>
                <w:b/>
                <w:color w:val="ffffff"/>
                <w:sz w:val="20"/>
              </w:rPr>
              <w:t xml:space="preserve">Formato</w:t>
            </w:r>
            <w:r/>
          </w:p>
        </w:tc>
        <w:tc>
          <w:tcPr>
            <w:shd w:val="clear" w:color="auto" w:fill="1565c0"/>
            <w:tcBorders/>
            <w:tcW w:w="3041" w:type="dxa"/>
          </w:tcPr>
          <w:p>
            <w:pPr>
              <w:pBdr/>
              <w:spacing/>
              <w:ind/>
              <w:jc w:val="center"/>
              <w:rPr/>
            </w:pPr>
            <w:r>
              <w:rPr>
                <w:b/>
                <w:color w:val="ffffff"/>
                <w:sz w:val="20"/>
              </w:rPr>
              <w:t xml:space="preserve">Qué contiene y garantías</w:t>
            </w:r>
            <w:r/>
          </w:p>
        </w:tc>
      </w:tr>
      <w:tr>
        <w:trPr/>
        <w:tc>
          <w:tcPr>
            <w:tcBorders/>
            <w:tcW w:w="3041" w:type="dxa"/>
          </w:tcPr>
          <w:p>
            <w:pPr>
              <w:pBdr/>
              <w:spacing/>
              <w:ind/>
              <w:rPr/>
            </w:pPr>
            <w:r>
              <w:rPr>
                <w:b/>
                <w:sz w:val="20"/>
              </w:rPr>
              <w:t xml:space="preserve">Capa Cruda</w:t>
            </w:r>
            <w:r/>
          </w:p>
        </w:tc>
        <w:tc>
          <w:tcPr>
            <w:tcBorders/>
            <w:tcW w:w="3041" w:type="dxa"/>
          </w:tcPr>
          <w:p>
            <w:pPr>
              <w:pBdr/>
              <w:spacing/>
              <w:ind/>
              <w:rPr/>
            </w:pPr>
            <w:r>
              <w:rPr>
                <w:sz w:val="20"/>
              </w:rPr>
              <w:t xml:space="preserve">Archivos .txt originales de FONASA</w:t>
            </w:r>
            <w:r/>
          </w:p>
        </w:tc>
        <w:tc>
          <w:tcPr>
            <w:tcBorders/>
            <w:tcW w:w="3041" w:type="dxa"/>
          </w:tcPr>
          <w:p>
            <w:pPr>
              <w:pBdr/>
              <w:spacing/>
              <w:ind/>
              <w:rPr/>
            </w:pPr>
            <w:r>
              <w:rPr>
                <w:sz w:val="20"/>
              </w:rPr>
              <w:t xml:space="preserve">Los 6 archivos originales. Nunca se modifican. Son la única fuente de verdad.</w:t>
            </w:r>
            <w:r/>
          </w:p>
        </w:tc>
      </w:tr>
      <w:tr>
        <w:trPr/>
        <w:tc>
          <w:tcPr>
            <w:shd w:val="clear" w:color="auto" w:fill="e3f2fd"/>
            <w:tcBorders/>
            <w:tcW w:w="3041" w:type="dxa"/>
          </w:tcPr>
          <w:p>
            <w:pPr>
              <w:pBdr/>
              <w:spacing/>
              <w:ind/>
              <w:rPr/>
            </w:pPr>
            <w:r>
              <w:rPr>
                <w:b/>
                <w:sz w:val="20"/>
              </w:rPr>
              <w:t xml:space="preserve">Capa Bronce</w:t>
            </w:r>
            <w:r/>
          </w:p>
        </w:tc>
        <w:tc>
          <w:tcPr>
            <w:shd w:val="clear" w:color="auto" w:fill="e3f2fd"/>
            <w:tcBorders/>
            <w:tcW w:w="3041" w:type="dxa"/>
          </w:tcPr>
          <w:p>
            <w:pPr>
              <w:pBdr/>
              <w:spacing/>
              <w:ind/>
              <w:rPr/>
            </w:pPr>
            <w:r>
              <w:rPr>
                <w:sz w:val="20"/>
              </w:rPr>
              <w:t xml:space="preserve">Parquet, particionado por año de archivo</w:t>
            </w:r>
            <w:r/>
          </w:p>
        </w:tc>
        <w:tc>
          <w:tcPr>
            <w:shd w:val="clear" w:color="auto" w:fill="e3f2fd"/>
            <w:tcBorders/>
            <w:tcW w:w="3041" w:type="dxa"/>
          </w:tcPr>
          <w:p>
            <w:pPr>
              <w:pBdr/>
              <w:spacing/>
              <w:ind/>
              <w:rPr/>
            </w:pPr>
            <w:r>
              <w:rPr>
                <w:sz w:val="20"/>
              </w:rPr>
              <w:t xml:space="preserve">Datos leídos tal como vienen. Todas las columnas son texto sin modificar. Se garantiza que filas leídas + filas rechazadas = total de líneas del archivo original.</w:t>
            </w:r>
            <w:r/>
          </w:p>
        </w:tc>
      </w:tr>
      <w:tr>
        <w:trPr/>
        <w:tc>
          <w:tcPr>
            <w:tcBorders/>
            <w:tcW w:w="3041" w:type="dxa"/>
          </w:tcPr>
          <w:p>
            <w:pPr>
              <w:pBdr/>
              <w:spacing/>
              <w:ind/>
              <w:rPr/>
            </w:pPr>
            <w:r>
              <w:rPr>
                <w:b/>
                <w:sz w:val="20"/>
              </w:rPr>
              <w:t xml:space="preserve">Capa Plata</w:t>
            </w:r>
            <w:r/>
          </w:p>
        </w:tc>
        <w:tc>
          <w:tcPr>
            <w:tcBorders/>
            <w:tcW w:w="3041" w:type="dxa"/>
          </w:tcPr>
          <w:p>
            <w:pPr>
              <w:pBdr/>
              <w:spacing/>
              <w:ind/>
              <w:rPr/>
            </w:pPr>
            <w:r>
              <w:rPr>
                <w:sz w:val="20"/>
              </w:rPr>
              <w:t xml:space="preserve">Parquet, particionado por año de egreso</w:t>
            </w:r>
            <w:r/>
          </w:p>
        </w:tc>
        <w:tc>
          <w:tcPr>
            <w:tcBorders/>
            <w:tcW w:w="3041" w:type="dxa"/>
          </w:tcPr>
          <w:p>
            <w:pPr>
              <w:pBdr/>
              <w:spacing/>
              <w:ind/>
              <w:rPr/>
            </w:pPr>
            <w:r>
              <w:rPr>
                <w:sz w:val="20"/>
              </w:rPr>
              <w:t xml:space="preserve">Datos limpios y estandarizados: fechas convertidas, texto normalizado, valores imposibles anulados, episodios censurados identificados. Se verifica que ningún episodio desaparezca sin documentación.</w:t>
            </w:r>
            <w:r/>
          </w:p>
        </w:tc>
      </w:tr>
      <w:tr>
        <w:trPr/>
        <w:tc>
          <w:tcPr>
            <w:shd w:val="clear" w:color="auto" w:fill="e3f2fd"/>
            <w:tcBorders/>
            <w:tcW w:w="3041" w:type="dxa"/>
          </w:tcPr>
          <w:p>
            <w:pPr>
              <w:pBdr/>
              <w:spacing/>
              <w:ind/>
              <w:rPr/>
            </w:pPr>
            <w:r>
              <w:rPr>
                <w:b/>
                <w:sz w:val="20"/>
              </w:rPr>
              <w:t xml:space="preserve">Capa Oro</w:t>
            </w:r>
            <w:r/>
          </w:p>
        </w:tc>
        <w:tc>
          <w:tcPr>
            <w:shd w:val="clear" w:color="auto" w:fill="e3f2fd"/>
            <w:tcBorders/>
            <w:tcW w:w="3041" w:type="dxa"/>
          </w:tcPr>
          <w:p>
            <w:pPr>
              <w:pBdr/>
              <w:spacing/>
              <w:ind/>
              <w:rPr/>
            </w:pPr>
            <w:r>
              <w:rPr>
                <w:sz w:val="20"/>
              </w:rPr>
              <w:t xml:space="preserve">Parquet</w:t>
            </w:r>
            <w:r/>
          </w:p>
        </w:tc>
        <w:tc>
          <w:tcPr>
            <w:shd w:val="clear" w:color="auto" w:fill="e3f2fd"/>
            <w:tcBorders/>
            <w:tcW w:w="3041" w:type="dxa"/>
          </w:tcPr>
          <w:p>
            <w:pPr>
              <w:pBdr/>
              <w:spacing/>
              <w:ind/>
              <w:rPr/>
            </w:pPr>
            <w:r>
              <w:rPr>
                <w:sz w:val="20"/>
              </w:rPr>
              <w:t xml:space="preserve">Variables finales listas para el modelo: edad calculada, variables de historial, indicadores de comorbilidades (Elixhauser), diagnóstico en dos niveles. Se garantiza que ninguna variable prohibida está presente.</w:t>
            </w:r>
            <w:r/>
          </w:p>
        </w:tc>
      </w:tr>
      <w:tr>
        <w:trPr/>
        <w:tc>
          <w:tcPr>
            <w:tcBorders/>
            <w:tcW w:w="3041" w:type="dxa"/>
          </w:tcPr>
          <w:p>
            <w:pPr>
              <w:pBdr/>
              <w:spacing/>
              <w:ind/>
              <w:rPr/>
            </w:pPr>
            <w:r>
              <w:rPr>
                <w:b/>
                <w:sz w:val="20"/>
              </w:rPr>
              <w:t xml:space="preserve">Base de datos</w:t>
            </w:r>
            <w:r/>
          </w:p>
        </w:tc>
        <w:tc>
          <w:tcPr>
            <w:tcBorders/>
            <w:tcW w:w="3041" w:type="dxa"/>
          </w:tcPr>
          <w:p>
            <w:pPr>
              <w:pBdr/>
              <w:spacing/>
              <w:ind/>
              <w:rPr/>
            </w:pPr>
            <w:r>
              <w:rPr>
                <w:sz w:val="20"/>
              </w:rPr>
              <w:t xml:space="preserve">PostgreSQL</w:t>
            </w:r>
            <w:r/>
          </w:p>
        </w:tc>
        <w:tc>
          <w:tcPr>
            <w:tcBorders/>
            <w:tcW w:w="3041" w:type="dxa"/>
          </w:tcPr>
          <w:p>
            <w:pPr>
              <w:pBdr/>
              <w:spacing/>
              <w:ind/>
              <w:rPr/>
            </w:pPr>
            <w:r>
              <w:rPr>
                <w:sz w:val="20"/>
              </w:rPr>
              <w:t xml:space="preserve">Solo almacena el catálogo de hospitales y los resultados finales agregados. Ningún registro individual de paciente se guarda aquí.</w:t>
            </w:r>
            <w:r/>
          </w:p>
        </w:tc>
      </w:tr>
    </w:tbl>
    <w:p>
      <w:pPr>
        <w:pBdr/>
        <w:spacing/>
        <w:ind/>
        <w:rPr/>
      </w:pPr>
      <w:r/>
      <w:r/>
    </w:p>
    <w:p>
      <w:pPr>
        <w:pStyle w:val="693"/>
        <w:pBdr/>
        <w:spacing/>
        <w:ind/>
        <w:jc w:val="left"/>
        <w:rPr/>
      </w:pPr>
      <w:r>
        <w:rPr>
          <w:color w:val="0d47a1"/>
        </w:rPr>
        <w:t xml:space="preserve">5. Etapas del pipeline de procesamiento</w:t>
      </w:r>
      <w:r/>
    </w:p>
    <w:p>
      <w:pPr>
        <w:pStyle w:val="694"/>
        <w:pBdr/>
        <w:spacing/>
        <w:ind/>
        <w:jc w:val="left"/>
        <w:rPr/>
      </w:pPr>
      <w:r>
        <w:rPr>
          <w:color w:val="1565c0"/>
        </w:rPr>
        <w:t xml:space="preserve">Etapa 1 — Validación del esquema de los archivos</w:t>
      </w:r>
      <w:r/>
    </w:p>
    <w:p>
      <w:pPr>
        <w:pBdr/>
        <w:spacing/>
        <w:ind/>
        <w:rPr/>
      </w:pPr>
      <w:r>
        <w:rPr>
          <w:b w:val="0"/>
          <w:i w:val="0"/>
          <w:sz w:val="22"/>
        </w:rPr>
        <w:t xml:space="preserve">Antes de procesar cualquier dato, el sistema verifica que cada archivo anual tenga exactamente las 129 columnas esperadas con los nombres correctos. S</w:t>
      </w:r>
      <w:r>
        <w:rPr>
          <w:b w:val="0"/>
          <w:i w:val="0"/>
          <w:sz w:val="22"/>
        </w:rPr>
        <w:t xml:space="preserve">i falta una columna el proceso se detiene indicando cuál. Si aparece una columna desconocida, también se detiene hasta definir qué hacer con ella. La lista completa de columnas y sus roles están definidos directamente en el código.</w:t>
      </w:r>
      <w:r/>
    </w:p>
    <w:p>
      <w:pPr>
        <w:pStyle w:val="694"/>
        <w:pBdr/>
        <w:spacing/>
        <w:ind/>
        <w:jc w:val="left"/>
        <w:rPr/>
      </w:pPr>
      <w:r>
        <w:rPr>
          <w:color w:val="1565c0"/>
        </w:rPr>
        <w:t xml:space="preserve">Etapa 2 — Ingesta y generación de identificador único (Capa Bronce)</w:t>
      </w:r>
      <w:r/>
    </w:p>
    <w:p>
      <w:pPr>
        <w:pBdr/>
        <w:spacing/>
        <w:ind/>
        <w:rPr/>
      </w:pPr>
      <w:r>
        <w:rPr>
          <w:b w:val="0"/>
          <w:i w:val="0"/>
          <w:sz w:val="22"/>
        </w:rPr>
        <w:t xml:space="preserve">Se procesan los 6 archivos anuales convirtiéndolos al formato Parquet, que permite lecturas analíticas mucho más rápidas. Los datos se leen exactamente como vienen, sin corregir ni transformar nada en esta etapa.</w:t>
      </w:r>
      <w:r/>
    </w:p>
    <w:p>
      <w:pPr>
        <w:pBdr/>
        <w:spacing/>
        <w:ind/>
        <w:rPr/>
      </w:pPr>
      <w:r>
        <w:rPr>
          <w:b w:val="0"/>
          <w:i w:val="0"/>
          <w:sz w:val="22"/>
        </w:rPr>
        <w:t xml:space="preserve">Los datos de FONASA no incluyen ningún identificador por registro. El sistema genera uno llamado ID_EPISODI</w:t>
      </w:r>
      <w:r>
        <w:rPr>
          <w:b w:val="0"/>
          <w:i w:val="0"/>
          <w:sz w:val="22"/>
        </w:rPr>
        <w:t xml:space="preserve">O, construido a partir del año del archivo, el número de línea exacta y una huella digital del contenido de esa fila. Este identificador es único y reproducible: si se procesa el mismo archivo dos veces, cada fila recibe exactamente el mismo identificador.</w:t>
      </w:r>
      <w:r/>
    </w:p>
    <w:p>
      <w:pPr>
        <w:pStyle w:val="694"/>
        <w:pBdr/>
        <w:spacing/>
        <w:ind/>
        <w:jc w:val="left"/>
        <w:rPr/>
      </w:pPr>
      <w:r>
        <w:rPr>
          <w:color w:val="1565c0"/>
        </w:rPr>
        <w:t xml:space="preserve">Etapa 3 — Limpieza y estandarización (Capa Plata)</w:t>
      </w:r>
      <w:r/>
    </w:p>
    <w:p>
      <w:pPr>
        <w:pBdr/>
        <w:spacing/>
        <w:ind/>
        <w:rPr/>
      </w:pPr>
      <w:r>
        <w:rPr>
          <w:b w:val="0"/>
          <w:i w:val="0"/>
          <w:sz w:val="22"/>
        </w:rPr>
        <w:t xml:space="preserve">En esta etapa se corrigen todos los problemas de calidad detectados en los datos:</w:t>
      </w:r>
      <w:r/>
    </w:p>
    <w:p>
      <w:pPr>
        <w:pStyle w:val="723"/>
        <w:pBdr/>
        <w:spacing/>
        <w:ind w:left="283"/>
        <w:rPr/>
      </w:pPr>
      <w:r>
        <w:rPr>
          <w:sz w:val="22"/>
        </w:rPr>
        <w:t xml:space="preserve">Conversión de fechas a formato estándar (los archivos usan dos formatos distintos).</w:t>
      </w:r>
      <w:r/>
    </w:p>
    <w:p>
      <w:pPr>
        <w:pStyle w:val="723"/>
        <w:pBdr/>
        <w:spacing/>
        <w:ind w:left="283"/>
        <w:rPr/>
      </w:pPr>
      <w:r>
        <w:rPr>
          <w:sz w:val="22"/>
        </w:rPr>
        <w:t xml:space="preserve">Corrección del separador decimal incorrecto (coma en vez de punto).</w:t>
      </w:r>
      <w:r/>
    </w:p>
    <w:p>
      <w:pPr>
        <w:pStyle w:val="723"/>
        <w:pBdr/>
        <w:spacing/>
        <w:ind w:left="283"/>
        <w:rPr/>
      </w:pPr>
      <w:r>
        <w:rPr>
          <w:sz w:val="22"/>
        </w:rPr>
        <w:t xml:space="preserve">Normalización de diagnósticos: mayúsculas, eliminación de tildes y puntos internos, eliminación de espacios extras.</w:t>
      </w:r>
      <w:r/>
    </w:p>
    <w:p>
      <w:pPr>
        <w:pStyle w:val="723"/>
        <w:pBdr/>
        <w:spacing/>
        <w:ind w:left="283"/>
        <w:rPr/>
      </w:pPr>
      <w:r>
        <w:rPr>
          <w:sz w:val="22"/>
        </w:rPr>
        <w:t xml:space="preserve">Anulación selectiva de valores imposibles: si una fecha es ilógica o una edad es negativa, solo ese valor se anula; el episodio completo se conserva.</w:t>
      </w:r>
      <w:r/>
    </w:p>
    <w:p>
      <w:pPr>
        <w:pStyle w:val="723"/>
        <w:pBdr/>
        <w:spacing/>
        <w:ind w:left="283"/>
        <w:rPr/>
      </w:pPr>
      <w:r>
        <w:rPr>
          <w:sz w:val="22"/>
        </w:rPr>
        <w:t xml:space="preserve">Detección y cuarentena silenciosa de datos sensibles: los valores con estructura de identificador personal se aíslan sin quedar registrados en ningún log.</w:t>
      </w:r>
      <w:r/>
    </w:p>
    <w:p>
      <w:pPr>
        <w:pStyle w:val="723"/>
        <w:pBdr/>
        <w:spacing/>
        <w:ind w:left="283"/>
        <w:rPr/>
      </w:pPr>
      <w:r>
        <w:rPr>
          <w:sz w:val="22"/>
        </w:rPr>
        <w:t xml:space="preserve">Identificación de episodios censurados: los traslados a otro hospital se marcan como desenlace desconocido.</w:t>
      </w:r>
      <w:r/>
    </w:p>
    <w:p>
      <w:pPr>
        <w:pStyle w:val="694"/>
        <w:pBdr/>
        <w:spacing/>
        <w:ind/>
        <w:jc w:val="left"/>
        <w:rPr/>
      </w:pPr>
      <w:r>
        <w:rPr>
          <w:color w:val="1565c0"/>
        </w:rPr>
        <w:t xml:space="preserve">Etapa 4 — Ingeniería de características (Capa Oro)</w:t>
      </w:r>
      <w:r/>
    </w:p>
    <w:p>
      <w:pPr>
        <w:pBdr/>
        <w:spacing/>
        <w:ind/>
        <w:rPr/>
      </w:pPr>
      <w:r>
        <w:rPr>
          <w:b w:val="0"/>
          <w:i w:val="0"/>
          <w:sz w:val="22"/>
        </w:rPr>
        <w:t xml:space="preserve">Se construyen todas las variables que el modelo usará. Ninguna variable prohibida puede estar presente en esta capa. Si por error aparece una, el proceso se detiene.</w:t>
      </w:r>
      <w:r/>
    </w:p>
    <w:p>
      <w:pPr>
        <w:pBdr/>
        <w:spacing/>
        <w:ind/>
        <w:rPr/>
      </w:pPr>
      <w:r>
        <w:rPr>
          <w:b w:val="0"/>
          <w:i w:val="0"/>
          <w:sz w:val="22"/>
        </w:rPr>
        <w:t xml:space="preserve">Variables que se calculan aquí:</w:t>
      </w:r>
      <w:r/>
    </w:p>
    <w:p>
      <w:pPr>
        <w:pStyle w:val="723"/>
        <w:pBdr/>
        <w:spacing/>
        <w:ind w:left="283"/>
        <w:rPr/>
      </w:pPr>
      <w:r>
        <w:rPr>
          <w:sz w:val="22"/>
        </w:rPr>
        <w:t xml:space="preserve">Edad exacta en años al momento del ingreso.</w:t>
      </w:r>
      <w:r/>
    </w:p>
    <w:p>
      <w:pPr>
        <w:pStyle w:val="723"/>
        <w:pBdr/>
        <w:spacing/>
        <w:ind w:left="283"/>
        <w:rPr/>
      </w:pPr>
      <w:r>
        <w:rPr>
          <w:sz w:val="22"/>
        </w:rPr>
        <w:t xml:space="preserve">Variables temporales: mes de ingreso, día de la semana, si fue fin de semana.</w:t>
      </w:r>
      <w:r/>
    </w:p>
    <w:p>
      <w:pPr>
        <w:pStyle w:val="723"/>
        <w:pBdr/>
        <w:spacing/>
        <w:ind w:left="283"/>
        <w:rPr/>
      </w:pPr>
      <w:r>
        <w:rPr>
          <w:sz w:val="22"/>
        </w:rPr>
        <w:t xml:space="preserve">Historial del paciente: hospitalizaciones en los últimos 12 meses y días desde el último egreso.</w:t>
      </w:r>
      <w:r/>
    </w:p>
    <w:p>
      <w:pPr>
        <w:pStyle w:val="723"/>
        <w:pBdr/>
        <w:spacing/>
        <w:ind w:left="283"/>
        <w:rPr/>
      </w:pPr>
      <w:r>
        <w:rPr>
          <w:sz w:val="22"/>
        </w:rPr>
        <w:t xml:space="preserve">Diagnóstico en dos niveles: categoría amplia y código de 3 caracteres.</w:t>
      </w:r>
      <w:r/>
    </w:p>
    <w:p>
      <w:pPr>
        <w:pStyle w:val="723"/>
        <w:pBdr/>
        <w:spacing/>
        <w:ind w:left="283"/>
        <w:rPr/>
      </w:pPr>
      <w:r>
        <w:rPr>
          <w:sz w:val="22"/>
        </w:rPr>
        <w:t xml:space="preserve">31 indicadores binarios del Índice de Elixhauser (ver sección 6).</w:t>
      </w:r>
      <w:r/>
    </w:p>
    <w:p>
      <w:pPr>
        <w:pStyle w:val="723"/>
        <w:pBdr/>
        <w:spacing/>
        <w:ind w:left="283"/>
        <w:rPr/>
      </w:pPr>
      <w:r>
        <w:rPr>
          <w:sz w:val="22"/>
        </w:rPr>
        <w:t xml:space="preserve">Resultado a predecir: mortalidad binaria y días de estadía.</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Variable</w:t>
            </w:r>
            <w:r/>
          </w:p>
        </w:tc>
        <w:tc>
          <w:tcPr>
            <w:shd w:val="clear" w:color="auto" w:fill="1565c0"/>
            <w:tcBorders/>
            <w:tcW w:w="3041" w:type="dxa"/>
          </w:tcPr>
          <w:p>
            <w:pPr>
              <w:pBdr/>
              <w:spacing/>
              <w:ind/>
              <w:jc w:val="center"/>
              <w:rPr/>
            </w:pPr>
            <w:r>
              <w:rPr>
                <w:b/>
                <w:color w:val="ffffff"/>
                <w:sz w:val="20"/>
              </w:rPr>
              <w:t xml:space="preserve">Qué mide</w:t>
            </w:r>
            <w:r/>
          </w:p>
        </w:tc>
        <w:tc>
          <w:tcPr>
            <w:shd w:val="clear" w:color="auto" w:fill="1565c0"/>
            <w:tcBorders/>
            <w:tcW w:w="3041" w:type="dxa"/>
          </w:tcPr>
          <w:p>
            <w:pPr>
              <w:pBdr/>
              <w:spacing/>
              <w:ind/>
              <w:jc w:val="center"/>
              <w:rPr/>
            </w:pPr>
            <w:r>
              <w:rPr>
                <w:b/>
                <w:color w:val="ffffff"/>
                <w:sz w:val="20"/>
              </w:rPr>
              <w:t xml:space="preserve">Fuente</w:t>
            </w:r>
            <w:r/>
          </w:p>
        </w:tc>
      </w:tr>
      <w:tr>
        <w:trPr/>
        <w:tc>
          <w:tcPr>
            <w:tcBorders/>
            <w:tcW w:w="3041" w:type="dxa"/>
          </w:tcPr>
          <w:p>
            <w:pPr>
              <w:pBdr/>
              <w:spacing/>
              <w:ind/>
              <w:rPr/>
            </w:pPr>
            <w:r>
              <w:rPr>
                <w:b/>
                <w:sz w:val="20"/>
              </w:rPr>
              <w:t xml:space="preserve">EDAD_ANIOS</w:t>
            </w:r>
            <w:r/>
          </w:p>
        </w:tc>
        <w:tc>
          <w:tcPr>
            <w:tcBorders/>
            <w:tcW w:w="3041" w:type="dxa"/>
          </w:tcPr>
          <w:p>
            <w:pPr>
              <w:pBdr/>
              <w:spacing/>
              <w:ind/>
              <w:rPr/>
            </w:pPr>
            <w:r>
              <w:rPr>
                <w:sz w:val="20"/>
              </w:rPr>
              <w:t xml:space="preserve">Edad exacta al ingreso</w:t>
            </w:r>
            <w:r/>
          </w:p>
        </w:tc>
        <w:tc>
          <w:tcPr>
            <w:tcBorders/>
            <w:tcW w:w="3041" w:type="dxa"/>
          </w:tcPr>
          <w:p>
            <w:pPr>
              <w:pBdr/>
              <w:spacing/>
              <w:ind/>
              <w:rPr/>
            </w:pPr>
            <w:r>
              <w:rPr>
                <w:sz w:val="20"/>
              </w:rPr>
              <w:t xml:space="preserve">FECHA_NACIMIENTO y FECHA_INGRESO</w:t>
            </w:r>
            <w:r/>
          </w:p>
        </w:tc>
      </w:tr>
      <w:tr>
        <w:trPr/>
        <w:tc>
          <w:tcPr>
            <w:shd w:val="clear" w:color="auto" w:fill="e3f2fd"/>
            <w:tcBorders/>
            <w:tcW w:w="3041" w:type="dxa"/>
          </w:tcPr>
          <w:p>
            <w:pPr>
              <w:pBdr/>
              <w:spacing/>
              <w:ind/>
              <w:rPr/>
            </w:pPr>
            <w:r>
              <w:rPr>
                <w:b/>
                <w:sz w:val="20"/>
              </w:rPr>
              <w:t xml:space="preserve">MES_INGRESO</w:t>
            </w:r>
            <w:r/>
          </w:p>
        </w:tc>
        <w:tc>
          <w:tcPr>
            <w:shd w:val="clear" w:color="auto" w:fill="e3f2fd"/>
            <w:tcBorders/>
            <w:tcW w:w="3041" w:type="dxa"/>
          </w:tcPr>
          <w:p>
            <w:pPr>
              <w:pBdr/>
              <w:spacing/>
              <w:ind/>
              <w:rPr/>
            </w:pPr>
            <w:r>
              <w:rPr>
                <w:sz w:val="20"/>
              </w:rPr>
              <w:t xml:space="preserve">Mes del año del ingreso (1–12)</w:t>
            </w:r>
            <w:r/>
          </w:p>
        </w:tc>
        <w:tc>
          <w:tcPr>
            <w:shd w:val="clear" w:color="auto" w:fill="e3f2fd"/>
            <w:tcBorders/>
            <w:tcW w:w="3041" w:type="dxa"/>
          </w:tcPr>
          <w:p>
            <w:pPr>
              <w:pBdr/>
              <w:spacing/>
              <w:ind/>
              <w:rPr/>
            </w:pPr>
            <w:r>
              <w:rPr>
                <w:sz w:val="20"/>
              </w:rPr>
              <w:t xml:space="preserve">FECHA_INGRESO</w:t>
            </w:r>
            <w:r/>
          </w:p>
        </w:tc>
      </w:tr>
      <w:tr>
        <w:trPr/>
        <w:tc>
          <w:tcPr>
            <w:tcBorders/>
            <w:tcW w:w="3041" w:type="dxa"/>
          </w:tcPr>
          <w:p>
            <w:pPr>
              <w:pBdr/>
              <w:spacing/>
              <w:ind/>
              <w:rPr/>
            </w:pPr>
            <w:r>
              <w:rPr>
                <w:b/>
                <w:sz w:val="20"/>
              </w:rPr>
              <w:t xml:space="preserve">ES_FIN_SEMANA</w:t>
            </w:r>
            <w:r/>
          </w:p>
        </w:tc>
        <w:tc>
          <w:tcPr>
            <w:tcBorders/>
            <w:tcW w:w="3041" w:type="dxa"/>
          </w:tcPr>
          <w:p>
            <w:pPr>
              <w:pBdr/>
              <w:spacing/>
              <w:ind/>
              <w:rPr/>
            </w:pPr>
            <w:r>
              <w:rPr>
                <w:sz w:val="20"/>
              </w:rPr>
              <w:t xml:space="preserve">Si el ingreso fue sábado o domingo (1=sí)</w:t>
            </w:r>
            <w:r/>
          </w:p>
        </w:tc>
        <w:tc>
          <w:tcPr>
            <w:tcBorders/>
            <w:tcW w:w="3041" w:type="dxa"/>
          </w:tcPr>
          <w:p>
            <w:pPr>
              <w:pBdr/>
              <w:spacing/>
              <w:ind/>
              <w:rPr/>
            </w:pPr>
            <w:r>
              <w:rPr>
                <w:sz w:val="20"/>
              </w:rPr>
              <w:t xml:space="preserve">FECHA_INGRESO</w:t>
            </w:r>
            <w:r/>
          </w:p>
        </w:tc>
      </w:tr>
      <w:tr>
        <w:trPr/>
        <w:tc>
          <w:tcPr>
            <w:shd w:val="clear" w:color="auto" w:fill="e3f2fd"/>
            <w:tcBorders/>
            <w:tcW w:w="3041" w:type="dxa"/>
          </w:tcPr>
          <w:p>
            <w:pPr>
              <w:pBdr/>
              <w:spacing/>
              <w:ind/>
              <w:rPr/>
            </w:pPr>
            <w:r>
              <w:rPr>
                <w:b/>
                <w:sz w:val="20"/>
              </w:rPr>
              <w:t xml:space="preserve">N_EGRESOS_12M</w:t>
            </w:r>
            <w:r/>
          </w:p>
        </w:tc>
        <w:tc>
          <w:tcPr>
            <w:shd w:val="clear" w:color="auto" w:fill="e3f2fd"/>
            <w:tcBorders/>
            <w:tcW w:w="3041" w:type="dxa"/>
          </w:tcPr>
          <w:p>
            <w:pPr>
              <w:pBdr/>
              <w:spacing/>
              <w:ind/>
              <w:rPr/>
            </w:pPr>
            <w:r>
              <w:rPr>
                <w:sz w:val="20"/>
              </w:rPr>
              <w:t xml:space="preserve">Hospitalizaciones del paciente en los últimos 12 meses</w:t>
            </w:r>
            <w:r/>
          </w:p>
        </w:tc>
        <w:tc>
          <w:tcPr>
            <w:shd w:val="clear" w:color="auto" w:fill="e3f2fd"/>
            <w:tcBorders/>
            <w:tcW w:w="3041" w:type="dxa"/>
          </w:tcPr>
          <w:p>
            <w:pPr>
              <w:pBdr/>
              <w:spacing/>
              <w:ind/>
              <w:rPr/>
            </w:pPr>
            <w:r>
              <w:rPr>
                <w:sz w:val="20"/>
              </w:rPr>
              <w:t xml:space="preserve">CIP_ENCRIPTADO + historial</w:t>
            </w:r>
            <w:r/>
          </w:p>
        </w:tc>
      </w:tr>
      <w:tr>
        <w:trPr/>
        <w:tc>
          <w:tcPr>
            <w:tcBorders/>
            <w:tcW w:w="3041" w:type="dxa"/>
          </w:tcPr>
          <w:p>
            <w:pPr>
              <w:pBdr/>
              <w:spacing/>
              <w:ind/>
              <w:rPr/>
            </w:pPr>
            <w:r>
              <w:rPr>
                <w:b/>
                <w:sz w:val="20"/>
              </w:rPr>
              <w:t xml:space="preserve">DIAS_DESDE_EGRESO_PREVIO</w:t>
            </w:r>
            <w:r/>
          </w:p>
        </w:tc>
        <w:tc>
          <w:tcPr>
            <w:tcBorders/>
            <w:tcW w:w="3041" w:type="dxa"/>
          </w:tcPr>
          <w:p>
            <w:pPr>
              <w:pBdr/>
              <w:spacing/>
              <w:ind/>
              <w:rPr/>
            </w:pPr>
            <w:r>
              <w:rPr>
                <w:sz w:val="20"/>
              </w:rPr>
              <w:t xml:space="preserve">Días desde la última hospitalización</w:t>
            </w:r>
            <w:r/>
          </w:p>
        </w:tc>
        <w:tc>
          <w:tcPr>
            <w:tcBorders/>
            <w:tcW w:w="3041" w:type="dxa"/>
          </w:tcPr>
          <w:p>
            <w:pPr>
              <w:pBdr/>
              <w:spacing/>
              <w:ind/>
              <w:rPr/>
            </w:pPr>
            <w:r>
              <w:rPr>
                <w:sz w:val="20"/>
              </w:rPr>
              <w:t xml:space="preserve">CIP_ENCRIPTADO + historial</w:t>
            </w:r>
            <w:r/>
          </w:p>
        </w:tc>
      </w:tr>
      <w:tr>
        <w:trPr/>
        <w:tc>
          <w:tcPr>
            <w:shd w:val="clear" w:color="auto" w:fill="e3f2fd"/>
            <w:tcBorders/>
            <w:tcW w:w="3041" w:type="dxa"/>
          </w:tcPr>
          <w:p>
            <w:pPr>
              <w:pBdr/>
              <w:spacing/>
              <w:ind/>
              <w:rPr/>
            </w:pPr>
            <w:r>
              <w:rPr>
                <w:b/>
                <w:sz w:val="20"/>
              </w:rPr>
              <w:t xml:space="preserve">CIE10_3C</w:t>
            </w:r>
            <w:r/>
          </w:p>
        </w:tc>
        <w:tc>
          <w:tcPr>
            <w:shd w:val="clear" w:color="auto" w:fill="e3f2fd"/>
            <w:tcBorders/>
            <w:tcW w:w="3041" w:type="dxa"/>
          </w:tcPr>
          <w:p>
            <w:pPr>
              <w:pBdr/>
              <w:spacing/>
              <w:ind/>
              <w:rPr/>
            </w:pPr>
            <w:r>
              <w:rPr>
                <w:sz w:val="20"/>
              </w:rPr>
              <w:t xml:space="preserve">Primeros 3 caracteres del diagnóstico principal</w:t>
            </w:r>
            <w:r/>
          </w:p>
        </w:tc>
        <w:tc>
          <w:tcPr>
            <w:shd w:val="clear" w:color="auto" w:fill="e3f2fd"/>
            <w:tcBorders/>
            <w:tcW w:w="3041" w:type="dxa"/>
          </w:tcPr>
          <w:p>
            <w:pPr>
              <w:pBdr/>
              <w:spacing/>
              <w:ind/>
              <w:rPr/>
            </w:pPr>
            <w:r>
              <w:rPr>
                <w:sz w:val="20"/>
              </w:rPr>
              <w:t xml:space="preserve">DIAGNOSTICO1</w:t>
            </w:r>
            <w:r/>
          </w:p>
        </w:tc>
      </w:tr>
      <w:tr>
        <w:trPr/>
        <w:tc>
          <w:tcPr>
            <w:tcBorders/>
            <w:tcW w:w="3041" w:type="dxa"/>
          </w:tcPr>
          <w:p>
            <w:pPr>
              <w:pBdr/>
              <w:spacing/>
              <w:ind/>
              <w:rPr/>
            </w:pPr>
            <w:r>
              <w:rPr>
                <w:b/>
                <w:sz w:val="20"/>
              </w:rPr>
              <w:t xml:space="preserve">GRUPO_CLINICO</w:t>
            </w:r>
            <w:r/>
          </w:p>
        </w:tc>
        <w:tc>
          <w:tcPr>
            <w:tcBorders/>
            <w:tcW w:w="3041" w:type="dxa"/>
          </w:tcPr>
          <w:p>
            <w:pPr>
              <w:pBdr/>
              <w:spacing/>
              <w:ind/>
              <w:rPr/>
            </w:pPr>
            <w:r>
              <w:rPr>
                <w:sz w:val="20"/>
              </w:rPr>
              <w:t xml:space="preserve">Categoría amplia del diagnóstico (ej. respiratorio)</w:t>
            </w:r>
            <w:r/>
          </w:p>
        </w:tc>
        <w:tc>
          <w:tcPr>
            <w:tcBorders/>
            <w:tcW w:w="3041" w:type="dxa"/>
          </w:tcPr>
          <w:p>
            <w:pPr>
              <w:pBdr/>
              <w:spacing/>
              <w:ind/>
              <w:rPr/>
            </w:pPr>
            <w:r>
              <w:rPr>
                <w:sz w:val="20"/>
              </w:rPr>
              <w:t xml:space="preserve">DIAGNOSTICO1</w:t>
            </w:r>
            <w:r/>
          </w:p>
        </w:tc>
      </w:tr>
      <w:tr>
        <w:trPr/>
        <w:tc>
          <w:tcPr>
            <w:shd w:val="clear" w:color="auto" w:fill="e3f2fd"/>
            <w:tcBorders/>
            <w:tcW w:w="3041" w:type="dxa"/>
          </w:tcPr>
          <w:p>
            <w:pPr>
              <w:pBdr/>
              <w:spacing/>
              <w:ind/>
              <w:rPr/>
            </w:pPr>
            <w:r>
              <w:rPr>
                <w:b/>
                <w:sz w:val="20"/>
              </w:rPr>
              <w:t xml:space="preserve">ELIX_01 a ELIX_31</w:t>
            </w:r>
            <w:r/>
          </w:p>
        </w:tc>
        <w:tc>
          <w:tcPr>
            <w:shd w:val="clear" w:color="auto" w:fill="e3f2fd"/>
            <w:tcBorders/>
            <w:tcW w:w="3041" w:type="dxa"/>
          </w:tcPr>
          <w:p>
            <w:pPr>
              <w:pBdr/>
              <w:spacing/>
              <w:ind/>
              <w:rPr/>
            </w:pPr>
            <w:r>
              <w:rPr>
                <w:sz w:val="20"/>
              </w:rPr>
              <w:t xml:space="preserve">31 indicadores de enfermedades crónicas previas</w:t>
            </w:r>
            <w:r/>
          </w:p>
        </w:tc>
        <w:tc>
          <w:tcPr>
            <w:shd w:val="clear" w:color="auto" w:fill="e3f2fd"/>
            <w:tcBorders/>
            <w:tcW w:w="3041" w:type="dxa"/>
          </w:tcPr>
          <w:p>
            <w:pPr>
              <w:pBdr/>
              <w:spacing/>
              <w:ind/>
              <w:rPr/>
            </w:pPr>
            <w:r>
              <w:rPr>
                <w:sz w:val="20"/>
              </w:rPr>
              <w:t xml:space="preserve">DIAGNOSTICO2 a DIAGNOSTICO35</w:t>
            </w:r>
            <w:r/>
          </w:p>
        </w:tc>
      </w:tr>
      <w:tr>
        <w:trPr/>
        <w:tc>
          <w:tcPr>
            <w:tcBorders/>
            <w:tcW w:w="3041" w:type="dxa"/>
          </w:tcPr>
          <w:p>
            <w:pPr>
              <w:pBdr/>
              <w:spacing/>
              <w:ind/>
              <w:rPr/>
            </w:pPr>
            <w:r>
              <w:rPr>
                <w:b/>
                <w:sz w:val="20"/>
              </w:rPr>
              <w:t xml:space="preserve">MORTALIDAD_BINARIA</w:t>
            </w:r>
            <w:r/>
          </w:p>
        </w:tc>
        <w:tc>
          <w:tcPr>
            <w:tcBorders/>
            <w:tcW w:w="3041" w:type="dxa"/>
          </w:tcPr>
          <w:p>
            <w:pPr>
              <w:pBdr/>
              <w:spacing/>
              <w:ind/>
              <w:rPr/>
            </w:pPr>
            <w:r>
              <w:rPr>
                <w:sz w:val="20"/>
              </w:rPr>
              <w:t xml:space="preserve">Si el paciente falleció (1) o sobrevivió (0)</w:t>
            </w:r>
            <w:r/>
          </w:p>
        </w:tc>
        <w:tc>
          <w:tcPr>
            <w:tcBorders/>
            <w:tcW w:w="3041" w:type="dxa"/>
          </w:tcPr>
          <w:p>
            <w:pPr>
              <w:pBdr/>
              <w:spacing/>
              <w:ind/>
              <w:rPr/>
            </w:pPr>
            <w:r>
              <w:rPr>
                <w:sz w:val="20"/>
              </w:rPr>
              <w:t xml:space="preserve">TIPOALTA</w:t>
            </w:r>
            <w:r/>
          </w:p>
        </w:tc>
      </w:tr>
      <w:tr>
        <w:trPr/>
        <w:tc>
          <w:tcPr>
            <w:shd w:val="clear" w:color="auto" w:fill="e3f2fd"/>
            <w:tcBorders/>
            <w:tcW w:w="3041" w:type="dxa"/>
          </w:tcPr>
          <w:p>
            <w:pPr>
              <w:pBdr/>
              <w:spacing/>
              <w:ind/>
              <w:rPr/>
            </w:pPr>
            <w:r>
              <w:rPr>
                <w:b/>
                <w:sz w:val="20"/>
              </w:rPr>
              <w:t xml:space="preserve">ESTANCIA</w:t>
            </w:r>
            <w:r/>
          </w:p>
        </w:tc>
        <w:tc>
          <w:tcPr>
            <w:shd w:val="clear" w:color="auto" w:fill="e3f2fd"/>
            <w:tcBorders/>
            <w:tcW w:w="3041" w:type="dxa"/>
          </w:tcPr>
          <w:p>
            <w:pPr>
              <w:pBdr/>
              <w:spacing/>
              <w:ind/>
              <w:rPr/>
            </w:pPr>
            <w:r>
              <w:rPr>
                <w:sz w:val="20"/>
              </w:rPr>
              <w:t xml:space="preserve">Días de hospitalización</w:t>
            </w:r>
            <w:r/>
          </w:p>
        </w:tc>
        <w:tc>
          <w:tcPr>
            <w:shd w:val="clear" w:color="auto" w:fill="e3f2fd"/>
            <w:tcBorders/>
            <w:tcW w:w="3041" w:type="dxa"/>
          </w:tcPr>
          <w:p>
            <w:pPr>
              <w:pBdr/>
              <w:spacing/>
              <w:ind/>
              <w:rPr/>
            </w:pPr>
            <w:r>
              <w:rPr>
                <w:sz w:val="20"/>
              </w:rPr>
              <w:t xml:space="preserve">FECHAALTA − FECHA_INGRESO</w:t>
            </w:r>
            <w:r/>
          </w:p>
        </w:tc>
      </w:tr>
    </w:tbl>
    <w:p>
      <w:pPr>
        <w:pBdr/>
        <w:spacing/>
        <w:ind/>
        <w:rPr/>
      </w:pPr>
      <w:r/>
      <w:r/>
    </w:p>
    <w:p>
      <w:pPr>
        <w:pStyle w:val="693"/>
        <w:pBdr/>
        <w:spacing/>
        <w:ind/>
        <w:jc w:val="left"/>
        <w:rPr/>
      </w:pPr>
      <w:r>
        <w:rPr>
          <w:color w:val="0d47a1"/>
        </w:rPr>
        <w:t xml:space="preserve">6. El Índice de Elixhauser — El ajuste clave por riesgo</w:t>
      </w:r>
      <w:r/>
    </w:p>
    <w:p>
      <w:pPr>
        <w:pBdr/>
        <w:spacing/>
        <w:ind/>
        <w:rPr/>
      </w:pPr>
      <w:r>
        <w:rPr>
          <w:b w:val="0"/>
          <w:i w:val="0"/>
          <w:sz w:val="22"/>
        </w:rPr>
        <w:t xml:space="preserve">El componente más importante del ajuste por riesgo es la medición de las enfermedades crónicas que el paciente ya tenía antes de ingresar. Un paciente con diabetes e insuficiencia c</w:t>
      </w:r>
      <w:r>
        <w:rPr>
          <w:b w:val="0"/>
          <w:i w:val="0"/>
          <w:sz w:val="22"/>
        </w:rPr>
        <w:t xml:space="preserve">ardíaca tiene un riesgo de fallecer mucho mayor que uno sin antecedentes, independientemente del hospital donde se atienda. Si no se ajusta por esto, el indicador O/E penalizaría sistemáticamente a los hospitales que atienden a los pacientes más complejos.</w:t>
      </w:r>
      <w:r/>
    </w:p>
    <w:p>
      <w:pPr>
        <w:pBdr/>
        <w:spacing/>
        <w:ind/>
        <w:rPr/>
      </w:pPr>
      <w:r>
        <w:rPr>
          <w:b w:val="0"/>
          <w:i w:val="0"/>
          <w:sz w:val="22"/>
        </w:rPr>
        <w:t xml:space="preserve">El sistema implementa el Índice de Elixhauser (Quan et a</w:t>
      </w:r>
      <w:r>
        <w:rPr>
          <w:b w:val="0"/>
          <w:i w:val="0"/>
          <w:sz w:val="22"/>
        </w:rPr>
        <w:t xml:space="preserve">l., 2005), que es el estándar internacional más utilizado para este propósito. Recorre los hasta 34 diagnósticos secundarios de cada paciente y determina cuáles de las 31 categorías están presentes, generando una variable binaria (1=sí, 0=no) por cada una.</w:t>
      </w:r>
      <w:r/>
    </w:p>
    <w:tbl>
      <w:tblPr>
        <w:tblStyle w:val="753"/>
        <w:tblW w:w="0" w:type="auto"/>
        <w:tblBorders/>
        <w:tblLook w:val="04A0" w:firstRow="1" w:lastRow="0" w:firstColumn="1" w:lastColumn="0" w:noHBand="0" w:noVBand="1"/>
      </w:tblPr>
      <w:tblGrid>
        <w:gridCol w:w="9122"/>
      </w:tblGrid>
      <w:tr>
        <w:trPr/>
        <w:tc>
          <w:tcPr>
            <w:shd w:val="clear" w:color="auto" w:fill="fff8e1"/>
            <w:tcBorders/>
            <w:tcW w:w="9122" w:type="dxa"/>
          </w:tcPr>
          <w:p>
            <w:pPr>
              <w:pBdr/>
              <w:spacing/>
              <w:ind/>
              <w:rPr/>
            </w:pPr>
            <w:r>
              <w:rPr>
                <w:b/>
                <w:sz w:val="22"/>
              </w:rPr>
              <w:t xml:space="preserve">¿Por qué 31 variables independientes y no un índice único?</w:t>
              <w:br/>
            </w:r>
            <w:r>
              <w:rPr>
                <w:sz w:val="22"/>
              </w:rPr>
              <w:t xml:space="preserve">Las enfermedades crónicas no interactúan de forma lineal. El riesgo de un paciente con diabetes e insuficiencia renal no es la suma de los dos riesgos por separad</w:t>
            </w:r>
            <w:r>
              <w:rPr>
                <w:sz w:val="22"/>
              </w:rPr>
              <w:t xml:space="preserve">o: la combinación tiene un efecto diferente que solo variables separadas permiten detectar. Los algoritmos de aprendizaje automático basados en árboles pueden identificar estas interacciones automáticamente si se les entregan las 31 variables individuales.</w:t>
            </w:r>
            <w:r/>
          </w:p>
        </w:tc>
      </w:tr>
    </w:tbl>
    <w:p>
      <w:pPr>
        <w:pBdr/>
        <w:spacing/>
        <w:ind/>
        <w:rPr/>
      </w:pPr>
      <w:r/>
      <w:r/>
    </w:p>
    <w:p>
      <w:pPr>
        <w:pBdr/>
        <w:spacing/>
        <w:ind/>
        <w:rPr/>
      </w:pPr>
      <w:r>
        <w:rPr>
          <w:b w:val="0"/>
          <w:i w:val="0"/>
          <w:sz w:val="22"/>
        </w:rPr>
        <w:t xml:space="preserve">Las 31 condiciones del índice incluyen:</w:t>
      </w:r>
      <w:r/>
    </w:p>
    <w:p>
      <w:pPr>
        <w:pStyle w:val="723"/>
        <w:pBdr/>
        <w:spacing/>
        <w:ind w:left="283"/>
        <w:rPr/>
      </w:pPr>
      <w:r>
        <w:rPr>
          <w:b/>
          <w:sz w:val="22"/>
        </w:rPr>
        <w:t xml:space="preserve">Cardiovasculares: </w:t>
      </w:r>
      <w:r>
        <w:rPr>
          <w:sz w:val="22"/>
        </w:rPr>
        <w:t xml:space="preserve">Insuficiencia cardíaca, arritmias, valvulopatía, trastornos circulación pulmonar, enfermedad vascular periférica, hipertensión (complicada y no complicada)</w:t>
      </w:r>
      <w:r/>
    </w:p>
    <w:p>
      <w:pPr>
        <w:pStyle w:val="723"/>
        <w:pBdr/>
        <w:spacing/>
        <w:ind w:left="283"/>
        <w:rPr/>
      </w:pPr>
      <w:r>
        <w:rPr>
          <w:b/>
          <w:sz w:val="22"/>
        </w:rPr>
        <w:t xml:space="preserve">Neurológicas: </w:t>
      </w:r>
      <w:r>
        <w:rPr>
          <w:sz w:val="22"/>
        </w:rPr>
        <w:t xml:space="preserve">Parálisis, otros trastornos neurológicos</w:t>
      </w:r>
      <w:r/>
    </w:p>
    <w:p>
      <w:pPr>
        <w:pStyle w:val="723"/>
        <w:pBdr/>
        <w:spacing/>
        <w:ind w:left="283"/>
        <w:rPr/>
      </w:pPr>
      <w:r>
        <w:rPr>
          <w:b/>
          <w:sz w:val="22"/>
        </w:rPr>
        <w:t xml:space="preserve">Respiratorias: </w:t>
      </w:r>
      <w:r>
        <w:rPr>
          <w:sz w:val="22"/>
        </w:rPr>
        <w:t xml:space="preserve">Enfermedad pulmonar crónica</w:t>
      </w:r>
      <w:r/>
    </w:p>
    <w:p>
      <w:pPr>
        <w:pStyle w:val="723"/>
        <w:pBdr/>
        <w:spacing/>
        <w:ind w:left="283"/>
        <w:rPr/>
      </w:pPr>
      <w:r>
        <w:rPr>
          <w:b/>
          <w:sz w:val="22"/>
        </w:rPr>
        <w:t xml:space="preserve">Metabólicas/endocrinas: </w:t>
      </w:r>
      <w:r>
        <w:rPr>
          <w:sz w:val="22"/>
        </w:rPr>
        <w:t xml:space="preserve">Diabetes (con y sin complicación), hipotiroidismo, obesidad, trastornos electrolíticos, pérdida de peso</w:t>
      </w:r>
      <w:r/>
    </w:p>
    <w:p>
      <w:pPr>
        <w:pStyle w:val="723"/>
        <w:pBdr/>
        <w:spacing/>
        <w:ind w:left="283"/>
        <w:rPr/>
      </w:pPr>
      <w:r>
        <w:rPr>
          <w:b/>
          <w:sz w:val="22"/>
        </w:rPr>
        <w:t xml:space="preserve">Renales y hepáticas: </w:t>
      </w:r>
      <w:r>
        <w:rPr>
          <w:sz w:val="22"/>
        </w:rPr>
        <w:t xml:space="preserve">Insuficiencia renal, enfermedad hepática, úlcera péptica</w:t>
      </w:r>
      <w:r/>
    </w:p>
    <w:p>
      <w:pPr>
        <w:pStyle w:val="723"/>
        <w:pBdr/>
        <w:spacing/>
        <w:ind w:left="283"/>
        <w:rPr/>
      </w:pPr>
      <w:r>
        <w:rPr>
          <w:b/>
          <w:sz w:val="22"/>
        </w:rPr>
        <w:t xml:space="preserve">Oncológicas: </w:t>
      </w:r>
      <w:r>
        <w:rPr>
          <w:sz w:val="22"/>
        </w:rPr>
        <w:t xml:space="preserve">Linfoma, cáncer metastásico, tumor sólido sin metástasis</w:t>
      </w:r>
      <w:r/>
    </w:p>
    <w:p>
      <w:pPr>
        <w:pStyle w:val="723"/>
        <w:pBdr/>
        <w:spacing/>
        <w:ind w:left="283"/>
        <w:rPr/>
      </w:pPr>
      <w:r>
        <w:rPr>
          <w:b/>
          <w:sz w:val="22"/>
        </w:rPr>
        <w:t xml:space="preserve">Hematológicas: </w:t>
      </w:r>
      <w:r>
        <w:rPr>
          <w:sz w:val="22"/>
        </w:rPr>
        <w:t xml:space="preserve">Coagulopatía, anemia por pérdida de sangre, anemia por deficiencia</w:t>
      </w:r>
      <w:r/>
    </w:p>
    <w:p>
      <w:pPr>
        <w:pStyle w:val="723"/>
        <w:pBdr/>
        <w:spacing/>
        <w:ind w:left="283"/>
        <w:rPr/>
      </w:pPr>
      <w:r>
        <w:rPr>
          <w:b/>
          <w:sz w:val="22"/>
        </w:rPr>
        <w:t xml:space="preserve">Psiquiátricas y otras: </w:t>
      </w:r>
      <w:r>
        <w:rPr>
          <w:sz w:val="22"/>
        </w:rPr>
        <w:t xml:space="preserve">VIH/SIDA, artritis reumatoide, abuso de alcohol, abuso de drogas, psicosis, depresión</w:t>
      </w:r>
      <w:r/>
    </w:p>
    <w:p>
      <w:pPr>
        <w:pBdr/>
        <w:spacing/>
        <w:ind/>
        <w:rPr/>
      </w:pPr>
      <w:r>
        <w:rPr>
          <w:b w:val="0"/>
          <w:i/>
          <w:color w:val="37474f"/>
          <w:sz w:val="22"/>
        </w:rPr>
        <w:t xml:space="preserve">Limitación reconocida: los datos de FONASA no incluyen un marcador que distinga si una enfermedad ya existía antes del i</w:t>
      </w:r>
      <w:r>
        <w:rPr>
          <w:b w:val="0"/>
          <w:i/>
          <w:color w:val="37474f"/>
          <w:sz w:val="22"/>
        </w:rPr>
        <w:t xml:space="preserve">ngreso o si apareció durante la hospitalización. Para mitigar esto, el índice Elixhauser excluye por diseño las condiciones con mayor probabilidad de ser complicaciones intrahospitalarias. Esta limitación queda declarada explícitamente en el informe final.</w:t>
      </w:r>
      <w:r/>
    </w:p>
    <w:p>
      <w:pPr>
        <w:pStyle w:val="693"/>
        <w:pBdr/>
        <w:spacing/>
        <w:ind/>
        <w:jc w:val="left"/>
        <w:rPr/>
      </w:pPr>
      <w:r>
        <w:rPr>
          <w:color w:val="0d47a1"/>
        </w:rPr>
        <w:t xml:space="preserve">7. Definición de la cohorte: qué pacientes se analizan</w:t>
      </w:r>
      <w:r/>
    </w:p>
    <w:p>
      <w:pPr>
        <w:pBdr/>
        <w:spacing/>
        <w:ind/>
        <w:rPr/>
      </w:pPr>
      <w:r>
        <w:rPr>
          <w:b w:val="0"/>
          <w:i w:val="0"/>
          <w:sz w:val="22"/>
        </w:rPr>
        <w:t xml:space="preserve">No todos los registros son comparables entre sí. El sistema aplica una cascada ordenada de exclusiones, documentando matemáticamente cuántos pacientes entran y salen en cada paso:</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Exclusión</w:t>
            </w:r>
            <w:r/>
          </w:p>
        </w:tc>
        <w:tc>
          <w:tcPr>
            <w:shd w:val="clear" w:color="auto" w:fill="1565c0"/>
            <w:tcBorders/>
            <w:tcW w:w="3041" w:type="dxa"/>
          </w:tcPr>
          <w:p>
            <w:pPr>
              <w:pBdr/>
              <w:spacing/>
              <w:ind/>
              <w:jc w:val="center"/>
              <w:rPr/>
            </w:pPr>
            <w:r>
              <w:rPr>
                <w:b/>
                <w:color w:val="ffffff"/>
                <w:sz w:val="20"/>
              </w:rPr>
              <w:t xml:space="preserve">Volumen estimado</w:t>
            </w:r>
            <w:r/>
          </w:p>
        </w:tc>
        <w:tc>
          <w:tcPr>
            <w:shd w:val="clear" w:color="auto" w:fill="1565c0"/>
            <w:tcBorders/>
            <w:tcW w:w="3041" w:type="dxa"/>
          </w:tcPr>
          <w:p>
            <w:pPr>
              <w:pBdr/>
              <w:spacing/>
              <w:ind/>
              <w:jc w:val="center"/>
              <w:rPr/>
            </w:pPr>
            <w:r>
              <w:rPr>
                <w:b/>
                <w:color w:val="ffffff"/>
                <w:sz w:val="20"/>
              </w:rPr>
              <w:t xml:space="preserve">Justificación</w:t>
            </w:r>
            <w:r/>
          </w:p>
        </w:tc>
      </w:tr>
      <w:tr>
        <w:trPr/>
        <w:tc>
          <w:tcPr>
            <w:tcBorders/>
            <w:tcW w:w="3041" w:type="dxa"/>
          </w:tcPr>
          <w:p>
            <w:pPr>
              <w:pBdr/>
              <w:spacing/>
              <w:ind/>
              <w:rPr/>
            </w:pPr>
            <w:r>
              <w:rPr>
                <w:b/>
                <w:sz w:val="20"/>
              </w:rPr>
              <w:t xml:space="preserve">GRD no asignable</w:t>
            </w:r>
            <w:r/>
          </w:p>
        </w:tc>
        <w:tc>
          <w:tcPr>
            <w:tcBorders/>
            <w:tcW w:w="3041" w:type="dxa"/>
          </w:tcPr>
          <w:p>
            <w:pPr>
              <w:pBdr/>
              <w:spacing/>
              <w:ind/>
              <w:rPr/>
            </w:pPr>
            <w:r>
              <w:rPr>
                <w:sz w:val="20"/>
              </w:rPr>
              <w:t xml:space="preserve">~75 casos</w:t>
            </w:r>
            <w:r/>
          </w:p>
        </w:tc>
        <w:tc>
          <w:tcPr>
            <w:tcBorders/>
            <w:tcW w:w="3041" w:type="dxa"/>
          </w:tcPr>
          <w:p>
            <w:pPr>
              <w:pBdr/>
              <w:spacing/>
              <w:ind/>
              <w:rPr/>
            </w:pPr>
            <w:r>
              <w:rPr>
                <w:sz w:val="20"/>
              </w:rPr>
              <w:t xml:space="preserve">Sin clasificación GRD no es posible aplicar los filtros de cohorte correctamente.</w:t>
            </w:r>
            <w:r/>
          </w:p>
        </w:tc>
      </w:tr>
      <w:tr>
        <w:trPr/>
        <w:tc>
          <w:tcPr>
            <w:shd w:val="clear" w:color="auto" w:fill="e3f2fd"/>
            <w:tcBorders/>
            <w:tcW w:w="3041" w:type="dxa"/>
          </w:tcPr>
          <w:p>
            <w:pPr>
              <w:pBdr/>
              <w:spacing/>
              <w:ind/>
              <w:rPr/>
            </w:pPr>
            <w:r>
              <w:rPr>
                <w:b/>
                <w:sz w:val="20"/>
              </w:rPr>
              <w:t xml:space="preserve">Recién nacidos sanos (MDC 15)</w:t>
            </w:r>
            <w:r/>
          </w:p>
        </w:tc>
        <w:tc>
          <w:tcPr>
            <w:shd w:val="clear" w:color="auto" w:fill="e3f2fd"/>
            <w:tcBorders/>
            <w:tcW w:w="3041" w:type="dxa"/>
          </w:tcPr>
          <w:p>
            <w:pPr>
              <w:pBdr/>
              <w:spacing/>
              <w:ind/>
              <w:rPr/>
            </w:pPr>
            <w:r>
              <w:rPr>
                <w:sz w:val="20"/>
              </w:rPr>
              <w:t xml:space="preserve">~7.760 casos</w:t>
            </w:r>
            <w:r/>
          </w:p>
        </w:tc>
        <w:tc>
          <w:tcPr>
            <w:shd w:val="clear" w:color="auto" w:fill="e3f2fd"/>
            <w:tcBorders/>
            <w:tcW w:w="3041" w:type="dxa"/>
          </w:tcPr>
          <w:p>
            <w:pPr>
              <w:pBdr/>
              <w:spacing/>
              <w:ind/>
              <w:rPr/>
            </w:pPr>
            <w:r>
              <w:rPr>
                <w:sz w:val="20"/>
              </w:rPr>
              <w:t xml:space="preserve">Su hospitalización responde al período post-parto, no a una enfermedad. Incluirlos distorsionaría el modelo y beneficiaría artificialmente a los hospitales con mayor actividad obstétrica.</w:t>
            </w:r>
            <w:r/>
          </w:p>
        </w:tc>
      </w:tr>
      <w:tr>
        <w:trPr/>
        <w:tc>
          <w:tcPr>
            <w:tcBorders/>
            <w:tcW w:w="3041" w:type="dxa"/>
          </w:tcPr>
          <w:p>
            <w:pPr>
              <w:pBdr/>
              <w:spacing/>
              <w:ind/>
              <w:rPr/>
            </w:pPr>
            <w:r>
              <w:rPr>
                <w:b/>
                <w:sz w:val="20"/>
              </w:rPr>
              <w:t xml:space="preserve">Partos normales sin complicación (MDC 14)</w:t>
            </w:r>
            <w:r/>
          </w:p>
        </w:tc>
        <w:tc>
          <w:tcPr>
            <w:tcBorders/>
            <w:tcW w:w="3041" w:type="dxa"/>
          </w:tcPr>
          <w:p>
            <w:pPr>
              <w:pBdr/>
              <w:spacing/>
              <w:ind/>
              <w:rPr/>
            </w:pPr>
            <w:r>
              <w:rPr>
                <w:sz w:val="20"/>
              </w:rPr>
              <w:t xml:space="preserve">~22.303 casos</w:t>
            </w:r>
            <w:r/>
          </w:p>
        </w:tc>
        <w:tc>
          <w:tcPr>
            <w:tcBorders/>
            <w:tcW w:w="3041" w:type="dxa"/>
          </w:tcPr>
          <w:p>
            <w:pPr>
              <w:pBdr/>
              <w:spacing/>
              <w:ind/>
              <w:rPr/>
            </w:pPr>
            <w:r>
              <w:rPr>
                <w:sz w:val="20"/>
              </w:rPr>
              <w:t xml:space="preserve">La paciente llega sana y sale sana. El riesgo de mortalidad es prácticamente nulo y la estadía obedece a protocolos de maternidad, no a complejidad clínica.</w:t>
            </w:r>
            <w:r/>
          </w:p>
        </w:tc>
      </w:tr>
      <w:tr>
        <w:trPr/>
        <w:tc>
          <w:tcPr>
            <w:shd w:val="clear" w:color="auto" w:fill="e3f2fd"/>
            <w:tcBorders/>
            <w:tcW w:w="3041" w:type="dxa"/>
          </w:tcPr>
          <w:p>
            <w:pPr>
              <w:pBdr/>
              <w:spacing/>
              <w:ind/>
              <w:rPr/>
            </w:pPr>
            <w:r>
              <w:rPr>
                <w:b/>
                <w:sz w:val="20"/>
              </w:rPr>
              <w:t xml:space="preserve">Estadías de 0 días</w:t>
            </w:r>
            <w:r/>
          </w:p>
        </w:tc>
        <w:tc>
          <w:tcPr>
            <w:shd w:val="clear" w:color="auto" w:fill="e3f2fd"/>
            <w:tcBorders/>
            <w:tcW w:w="3041" w:type="dxa"/>
          </w:tcPr>
          <w:p>
            <w:pPr>
              <w:pBdr/>
              <w:spacing/>
              <w:ind/>
              <w:rPr/>
            </w:pPr>
            <w:r>
              <w:rPr>
                <w:sz w:val="20"/>
              </w:rPr>
              <w:t xml:space="preserve">Variable por año</w:t>
            </w:r>
            <w:r/>
          </w:p>
        </w:tc>
        <w:tc>
          <w:tcPr>
            <w:shd w:val="clear" w:color="auto" w:fill="e3f2fd"/>
            <w:tcBorders/>
            <w:tcW w:w="3041" w:type="dxa"/>
          </w:tcPr>
          <w:p>
            <w:pPr>
              <w:pBdr/>
              <w:spacing/>
              <w:ind/>
              <w:rPr/>
            </w:pPr>
            <w:r>
              <w:rPr>
                <w:sz w:val="20"/>
              </w:rPr>
              <w:t xml:space="preserve">Se excluyen únicamente del modelo de estadía (cirugía ambulatoria). Se conservan para el modelo de mortalidad.</w:t>
            </w:r>
            <w:r/>
          </w:p>
        </w:tc>
      </w:tr>
      <w:tr>
        <w:trPr/>
        <w:tc>
          <w:tcPr>
            <w:tcBorders/>
            <w:tcW w:w="3041" w:type="dxa"/>
          </w:tcPr>
          <w:p>
            <w:pPr>
              <w:pBdr/>
              <w:spacing/>
              <w:ind/>
              <w:rPr/>
            </w:pPr>
            <w:r>
              <w:rPr>
                <w:b/>
                <w:sz w:val="20"/>
              </w:rPr>
              <w:t xml:space="preserve">Traslados externos</w:t>
            </w:r>
            <w:r/>
          </w:p>
        </w:tc>
        <w:tc>
          <w:tcPr>
            <w:tcBorders/>
            <w:tcW w:w="3041" w:type="dxa"/>
          </w:tcPr>
          <w:p>
            <w:pPr>
              <w:pBdr/>
              <w:spacing/>
              <w:ind/>
              <w:rPr/>
            </w:pPr>
            <w:r>
              <w:rPr>
                <w:sz w:val="20"/>
              </w:rPr>
              <w:t xml:space="preserve">~89.000 casos</w:t>
            </w:r>
            <w:r/>
          </w:p>
        </w:tc>
        <w:tc>
          <w:tcPr>
            <w:tcBorders/>
            <w:tcW w:w="3041" w:type="dxa"/>
          </w:tcPr>
          <w:p>
            <w:pPr>
              <w:pBdr/>
              <w:spacing/>
              <w:ind/>
              <w:rPr/>
            </w:pPr>
            <w:r>
              <w:rPr>
                <w:sz w:val="20"/>
              </w:rPr>
              <w:t xml:space="preserve">El desenlace es desconocido en el registro del hospital emisor. Clasificarlos como sobrevivientes subestimaría la mortalidad real de los hospitales que trasladan pacientes graves.</w:t>
            </w:r>
            <w:r/>
          </w:p>
        </w:tc>
      </w:tr>
    </w:tbl>
    <w:p>
      <w:pPr>
        <w:pBdr/>
        <w:spacing/>
        <w:ind/>
        <w:rPr/>
      </w:pPr>
      <w:r/>
      <w:r/>
    </w:p>
    <w:p>
      <w:pPr>
        <w:pBdr/>
        <w:spacing/>
        <w:ind/>
        <w:rPr/>
      </w:pPr>
      <w:r>
        <w:rPr>
          <w:b w:val="0"/>
          <w:i w:val="0"/>
          <w:sz w:val="22"/>
        </w:rPr>
        <w:t xml:space="preserve">El sistema genera automáticamente un reporte de la cascada completa (estándar CONSORT), verificando que ningún paciente desaparezca sin documentación explícita.</w:t>
      </w:r>
      <w:r/>
    </w:p>
    <w:p>
      <w:pPr>
        <w:pStyle w:val="693"/>
        <w:pBdr/>
        <w:spacing/>
        <w:ind/>
        <w:jc w:val="left"/>
        <w:rPr/>
      </w:pPr>
      <w:r>
        <w:rPr>
          <w:color w:val="0d47a1"/>
        </w:rPr>
        <w:t xml:space="preserve">8. Modelos predictivos</w:t>
      </w:r>
      <w:r/>
    </w:p>
    <w:p>
      <w:pPr>
        <w:pStyle w:val="694"/>
        <w:pBdr/>
        <w:spacing/>
        <w:ind/>
        <w:jc w:val="left"/>
        <w:rPr/>
      </w:pPr>
      <w:r>
        <w:rPr>
          <w:color w:val="1565c0"/>
        </w:rPr>
        <w:t xml:space="preserve">8.1 Modelo de mortalidad (clasificación)</w:t>
      </w:r>
      <w:r/>
    </w:p>
    <w:p>
      <w:pPr>
        <w:pBdr/>
        <w:spacing/>
        <w:ind/>
        <w:rPr/>
      </w:pPr>
      <w:r>
        <w:rPr>
          <w:b w:val="0"/>
          <w:i w:val="0"/>
          <w:sz w:val="22"/>
        </w:rPr>
        <w:t xml:space="preserve">Predice la probabilidad de que un paciente fallezca durante s</w:t>
      </w:r>
      <w:r>
        <w:rPr>
          <w:b w:val="0"/>
          <w:i w:val="0"/>
          <w:sz w:val="22"/>
        </w:rPr>
        <w:t xml:space="preserve">u hospitalización. Es un problema de clasificación binaria implementado con el algoritmo LightGBM. El modelo se entrena únicamente con episodios cuyo desenlace es conocido (fallecido o sobreviviente confirmado). Los traslados se excluyen del entrenamiento.</w:t>
      </w:r>
      <w:r/>
    </w:p>
    <w:p>
      <w:pPr>
        <w:pStyle w:val="694"/>
        <w:pBdr/>
        <w:spacing/>
        <w:ind/>
        <w:jc w:val="left"/>
        <w:rPr/>
      </w:pPr>
      <w:r>
        <w:rPr>
          <w:color w:val="1565c0"/>
        </w:rPr>
        <w:t xml:space="preserve">8.2 Modelo de estadía (regresión)</w:t>
      </w:r>
      <w:r/>
    </w:p>
    <w:p>
      <w:pPr>
        <w:pBdr/>
        <w:spacing/>
        <w:ind/>
        <w:rPr/>
      </w:pPr>
      <w:r>
        <w:rPr>
          <w:b w:val="0"/>
          <w:i w:val="0"/>
          <w:sz w:val="22"/>
        </w:rPr>
        <w:t xml:space="preserve">Predice cuántos días debería estar hospitalizado un paciente dado su perfil clínico. Implementado con LightGBM. Se entrena exclusivamente con pacientes sobrevivientes, porque los fallecidos tienen estadías cortas por haber muerto, no por eficiencia.</w:t>
      </w:r>
      <w:r/>
    </w:p>
    <w:p>
      <w:pPr>
        <w:pStyle w:val="694"/>
        <w:pBdr/>
        <w:spacing/>
        <w:ind/>
        <w:jc w:val="left"/>
        <w:rPr/>
      </w:pPr>
      <w:r>
        <w:rPr>
          <w:color w:val="1565c0"/>
        </w:rPr>
        <w:t xml:space="preserve">8.3 Partición temporal de los datos</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Período</w:t>
            </w:r>
            <w:r/>
          </w:p>
        </w:tc>
        <w:tc>
          <w:tcPr>
            <w:shd w:val="clear" w:color="auto" w:fill="1565c0"/>
            <w:tcBorders/>
            <w:tcW w:w="3041" w:type="dxa"/>
          </w:tcPr>
          <w:p>
            <w:pPr>
              <w:pBdr/>
              <w:spacing/>
              <w:ind/>
              <w:jc w:val="center"/>
              <w:rPr/>
            </w:pPr>
            <w:r>
              <w:rPr>
                <w:b/>
                <w:color w:val="ffffff"/>
                <w:sz w:val="20"/>
              </w:rPr>
              <w:t xml:space="preserve">Rol</w:t>
            </w:r>
            <w:r/>
          </w:p>
        </w:tc>
        <w:tc>
          <w:tcPr>
            <w:shd w:val="clear" w:color="auto" w:fill="1565c0"/>
            <w:tcBorders/>
            <w:tcW w:w="3041" w:type="dxa"/>
          </w:tcPr>
          <w:p>
            <w:pPr>
              <w:pBdr/>
              <w:spacing/>
              <w:ind/>
              <w:jc w:val="center"/>
              <w:rPr/>
            </w:pPr>
            <w:r>
              <w:rPr>
                <w:b/>
                <w:color w:val="ffffff"/>
                <w:sz w:val="20"/>
              </w:rPr>
              <w:t xml:space="preserve">Descripción</w:t>
            </w:r>
            <w:r/>
          </w:p>
        </w:tc>
      </w:tr>
      <w:tr>
        <w:trPr/>
        <w:tc>
          <w:tcPr>
            <w:tcBorders/>
            <w:tcW w:w="3041" w:type="dxa"/>
          </w:tcPr>
          <w:p>
            <w:pPr>
              <w:pBdr/>
              <w:spacing/>
              <w:ind/>
              <w:rPr/>
            </w:pPr>
            <w:r>
              <w:rPr>
                <w:b/>
                <w:sz w:val="20"/>
              </w:rPr>
              <w:t xml:space="preserve">2019 – 2022</w:t>
            </w:r>
            <w:r/>
          </w:p>
        </w:tc>
        <w:tc>
          <w:tcPr>
            <w:tcBorders/>
            <w:tcW w:w="3041" w:type="dxa"/>
          </w:tcPr>
          <w:p>
            <w:pPr>
              <w:pBdr/>
              <w:spacing/>
              <w:ind/>
              <w:rPr/>
            </w:pPr>
            <w:r>
              <w:rPr>
                <w:sz w:val="20"/>
              </w:rPr>
              <w:t xml:space="preserve">Entrenamiento</w:t>
            </w:r>
            <w:r/>
          </w:p>
        </w:tc>
        <w:tc>
          <w:tcPr>
            <w:tcBorders/>
            <w:tcW w:w="3041" w:type="dxa"/>
          </w:tcPr>
          <w:p>
            <w:pPr>
              <w:pBdr/>
              <w:spacing/>
              <w:ind/>
              <w:rPr/>
            </w:pPr>
            <w:r>
              <w:rPr>
                <w:sz w:val="20"/>
              </w:rPr>
              <w:t xml:space="preserve">El modelo aprende los patrones clínicos asociados al riesgo.</w:t>
            </w:r>
            <w:r/>
          </w:p>
        </w:tc>
      </w:tr>
      <w:tr>
        <w:trPr/>
        <w:tc>
          <w:tcPr>
            <w:shd w:val="clear" w:color="auto" w:fill="e3f2fd"/>
            <w:tcBorders/>
            <w:tcW w:w="3041" w:type="dxa"/>
          </w:tcPr>
          <w:p>
            <w:pPr>
              <w:pBdr/>
              <w:spacing/>
              <w:ind/>
              <w:rPr/>
            </w:pPr>
            <w:r>
              <w:rPr>
                <w:b/>
                <w:sz w:val="20"/>
              </w:rPr>
              <w:t xml:space="preserve">2023</w:t>
            </w:r>
            <w:r/>
          </w:p>
        </w:tc>
        <w:tc>
          <w:tcPr>
            <w:shd w:val="clear" w:color="auto" w:fill="e3f2fd"/>
            <w:tcBorders/>
            <w:tcW w:w="3041" w:type="dxa"/>
          </w:tcPr>
          <w:p>
            <w:pPr>
              <w:pBdr/>
              <w:spacing/>
              <w:ind/>
              <w:rPr/>
            </w:pPr>
            <w:r>
              <w:rPr>
                <w:sz w:val="20"/>
              </w:rPr>
              <w:t xml:space="preserve">Calibración</w:t>
            </w:r>
            <w:r/>
          </w:p>
        </w:tc>
        <w:tc>
          <w:tcPr>
            <w:shd w:val="clear" w:color="auto" w:fill="e3f2fd"/>
            <w:tcBorders/>
            <w:tcW w:w="3041" w:type="dxa"/>
          </w:tcPr>
          <w:p>
            <w:pPr>
              <w:pBdr/>
              <w:spacing/>
              <w:ind/>
              <w:rPr/>
            </w:pPr>
            <w:r>
              <w:rPr>
                <w:sz w:val="20"/>
              </w:rPr>
              <w:t xml:space="preserve">Se verifica si las probabilidades predichas son realistas y se corrigen si es necesario.</w:t>
            </w:r>
            <w:r/>
          </w:p>
        </w:tc>
      </w:tr>
      <w:tr>
        <w:trPr/>
        <w:tc>
          <w:tcPr>
            <w:tcBorders/>
            <w:tcW w:w="3041" w:type="dxa"/>
          </w:tcPr>
          <w:p>
            <w:pPr>
              <w:pBdr/>
              <w:spacing/>
              <w:ind/>
              <w:rPr/>
            </w:pPr>
            <w:r>
              <w:rPr>
                <w:b/>
                <w:sz w:val="20"/>
              </w:rPr>
              <w:t xml:space="preserve">2024</w:t>
            </w:r>
            <w:r/>
          </w:p>
        </w:tc>
        <w:tc>
          <w:tcPr>
            <w:tcBorders/>
            <w:tcW w:w="3041" w:type="dxa"/>
          </w:tcPr>
          <w:p>
            <w:pPr>
              <w:pBdr/>
              <w:spacing/>
              <w:ind/>
              <w:rPr/>
            </w:pPr>
            <w:r>
              <w:rPr>
                <w:sz w:val="20"/>
              </w:rPr>
              <w:t xml:space="preserve">Prueba definitiva</w:t>
            </w:r>
            <w:r/>
          </w:p>
        </w:tc>
        <w:tc>
          <w:tcPr>
            <w:tcBorders/>
            <w:tcW w:w="3041" w:type="dxa"/>
          </w:tcPr>
          <w:p>
            <w:pPr>
              <w:pBdr/>
              <w:spacing/>
              <w:ind/>
              <w:rPr/>
            </w:pPr>
            <w:r>
              <w:rPr>
                <w:sz w:val="20"/>
              </w:rPr>
              <w:t xml:space="preserve">El modelo se evalúa sobre datos que nunca vio. Es el único resultado que se reporta.</w:t>
            </w:r>
            <w:r/>
          </w:p>
        </w:tc>
      </w:tr>
    </w:tbl>
    <w:p>
      <w:pPr>
        <w:pBdr/>
        <w:spacing/>
        <w:ind/>
        <w:rPr/>
      </w:pPr>
      <w:r/>
      <w:r/>
    </w:p>
    <w:p>
      <w:pPr>
        <w:pBdr/>
        <w:spacing/>
        <w:ind/>
        <w:rPr/>
      </w:pPr>
      <w:r>
        <w:rPr>
          <w:b w:val="0"/>
          <w:i w:val="0"/>
          <w:sz w:val="22"/>
        </w:rPr>
        <w:t xml:space="preserve">Los </w:t>
      </w:r>
      <w:r>
        <w:rPr>
          <w:b w:val="0"/>
          <w:i w:val="0"/>
          <w:sz w:val="22"/>
        </w:rPr>
        <w:t xml:space="preserve">años 2020 y 2021 (pandemia COVID-19) se incluyen en el entrenamiento pero se marcará la anomalía. Se realizará un análisis de sensibilidad excluyendo esos años para verificar que los resultados del modelo no estén condicionados por ese período excepcional.</w:t>
      </w:r>
      <w:r/>
    </w:p>
    <w:p>
      <w:pPr>
        <w:pStyle w:val="693"/>
        <w:pBdr/>
        <w:spacing/>
        <w:ind/>
        <w:jc w:val="left"/>
        <w:rPr/>
      </w:pPr>
      <w:r>
        <w:rPr>
          <w:color w:val="0d47a1"/>
        </w:rPr>
        <w:t xml:space="preserve">9. Criterios de aceptación del modelo</w:t>
      </w:r>
      <w:r/>
    </w:p>
    <w:p>
      <w:pPr>
        <w:pBdr/>
        <w:spacing/>
        <w:ind/>
        <w:rPr/>
      </w:pPr>
      <w:r>
        <w:rPr>
          <w:b w:val="0"/>
          <w:i w:val="0"/>
          <w:sz w:val="22"/>
        </w:rPr>
        <w:t xml:space="preserve">El modelo se considerará válido si supera los siguientes umbrales al evaluarlo sobre los datos del año 2024, que nunca fueron vistos durante el entrenamiento:</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Criterio</w:t>
            </w:r>
            <w:r/>
          </w:p>
        </w:tc>
        <w:tc>
          <w:tcPr>
            <w:shd w:val="clear" w:color="auto" w:fill="1565c0"/>
            <w:tcBorders/>
            <w:tcW w:w="3041" w:type="dxa"/>
          </w:tcPr>
          <w:p>
            <w:pPr>
              <w:pBdr/>
              <w:spacing/>
              <w:ind/>
              <w:jc w:val="center"/>
              <w:rPr/>
            </w:pPr>
            <w:r>
              <w:rPr>
                <w:b/>
                <w:color w:val="ffffff"/>
                <w:sz w:val="20"/>
              </w:rPr>
              <w:t xml:space="preserve">Métrica y umbral</w:t>
            </w:r>
            <w:r/>
          </w:p>
        </w:tc>
        <w:tc>
          <w:tcPr>
            <w:shd w:val="clear" w:color="auto" w:fill="1565c0"/>
            <w:tcBorders/>
            <w:tcW w:w="3041" w:type="dxa"/>
          </w:tcPr>
          <w:p>
            <w:pPr>
              <w:pBdr/>
              <w:spacing/>
              <w:ind/>
              <w:jc w:val="center"/>
              <w:rPr/>
            </w:pPr>
            <w:r>
              <w:rPr>
                <w:b/>
                <w:color w:val="ffffff"/>
                <w:sz w:val="20"/>
              </w:rPr>
              <w:t xml:space="preserve">Qué garantiza</w:t>
            </w:r>
            <w:r/>
          </w:p>
        </w:tc>
      </w:tr>
      <w:tr>
        <w:trPr/>
        <w:tc>
          <w:tcPr>
            <w:tcBorders/>
            <w:tcW w:w="3041" w:type="dxa"/>
          </w:tcPr>
          <w:p>
            <w:pPr>
              <w:pBdr/>
              <w:spacing/>
              <w:ind/>
              <w:rPr/>
            </w:pPr>
            <w:r>
              <w:rPr>
                <w:b/>
                <w:sz w:val="20"/>
              </w:rPr>
              <w:t xml:space="preserve">Discriminación (mortalidad)</w:t>
            </w:r>
            <w:r/>
          </w:p>
        </w:tc>
        <w:tc>
          <w:tcPr>
            <w:tcBorders/>
            <w:tcW w:w="3041" w:type="dxa"/>
          </w:tcPr>
          <w:p>
            <w:pPr>
              <w:pBdr/>
              <w:spacing/>
              <w:ind/>
              <w:rPr/>
            </w:pPr>
            <w:r>
              <w:rPr>
                <w:sz w:val="20"/>
              </w:rPr>
              <w:t xml:space="preserve">PR AUC mayor que la línea base de regresión logística</w:t>
            </w:r>
            <w:r/>
          </w:p>
        </w:tc>
        <w:tc>
          <w:tcPr>
            <w:tcBorders/>
            <w:tcW w:w="3041" w:type="dxa"/>
          </w:tcPr>
          <w:p>
            <w:pPr>
              <w:pBdr/>
              <w:spacing/>
              <w:ind/>
              <w:rPr/>
            </w:pPr>
            <w:r>
              <w:rPr>
                <w:sz w:val="20"/>
              </w:rPr>
              <w:t xml:space="preserve">El modelo distingue correctamente quién muere y quién sobrevive. Se usa PR AUC en vez de ROC AUC porque la mortalidad es un evento poco frecuente (~2.8%), y ROC AUC puede ser engañosamente optimista en esos casos.</w:t>
            </w:r>
            <w:r/>
          </w:p>
        </w:tc>
      </w:tr>
      <w:tr>
        <w:trPr/>
        <w:tc>
          <w:tcPr>
            <w:shd w:val="clear" w:color="auto" w:fill="e3f2fd"/>
            <w:tcBorders/>
            <w:tcW w:w="3041" w:type="dxa"/>
          </w:tcPr>
          <w:p>
            <w:pPr>
              <w:pBdr/>
              <w:spacing/>
              <w:ind/>
              <w:rPr/>
            </w:pPr>
            <w:r>
              <w:rPr>
                <w:b/>
                <w:sz w:val="20"/>
              </w:rPr>
              <w:t xml:space="preserve">Error de predicción (estadía)</w:t>
            </w:r>
            <w:r/>
          </w:p>
        </w:tc>
        <w:tc>
          <w:tcPr>
            <w:shd w:val="clear" w:color="auto" w:fill="e3f2fd"/>
            <w:tcBorders/>
            <w:tcW w:w="3041" w:type="dxa"/>
          </w:tcPr>
          <w:p>
            <w:pPr>
              <w:pBdr/>
              <w:spacing/>
              <w:ind/>
              <w:rPr/>
            </w:pPr>
            <w:r>
              <w:rPr>
                <w:sz w:val="20"/>
              </w:rPr>
              <w:t xml:space="preserve">RMSE menor que la línea base de regresión logística</w:t>
            </w:r>
            <w:r/>
          </w:p>
        </w:tc>
        <w:tc>
          <w:tcPr>
            <w:shd w:val="clear" w:color="auto" w:fill="e3f2fd"/>
            <w:tcBorders/>
            <w:tcW w:w="3041" w:type="dxa"/>
          </w:tcPr>
          <w:p>
            <w:pPr>
              <w:pBdr/>
              <w:spacing/>
              <w:ind/>
              <w:rPr/>
            </w:pPr>
            <w:r>
              <w:rPr>
                <w:sz w:val="20"/>
              </w:rPr>
              <w:t xml:space="preserve">Las predicciones de días de hospitalización son más precisas que el modelo más simple posible.</w:t>
            </w:r>
            <w:r/>
          </w:p>
        </w:tc>
      </w:tr>
      <w:tr>
        <w:trPr/>
        <w:tc>
          <w:tcPr>
            <w:tcBorders/>
            <w:tcW w:w="3041" w:type="dxa"/>
          </w:tcPr>
          <w:p>
            <w:pPr>
              <w:pBdr/>
              <w:spacing/>
              <w:ind/>
              <w:rPr/>
            </w:pPr>
            <w:r>
              <w:rPr>
                <w:b/>
                <w:sz w:val="20"/>
              </w:rPr>
              <w:t xml:space="preserve">Calibración estadística</w:t>
            </w:r>
            <w:r/>
          </w:p>
        </w:tc>
        <w:tc>
          <w:tcPr>
            <w:tcBorders/>
            <w:tcW w:w="3041" w:type="dxa"/>
          </w:tcPr>
          <w:p>
            <w:pPr>
              <w:pBdr/>
              <w:spacing/>
              <w:ind/>
              <w:rPr/>
            </w:pPr>
            <w:r>
              <w:rPr>
                <w:sz w:val="20"/>
              </w:rPr>
              <w:t xml:space="preserve">Brier Skill Score mayor que cero</w:t>
            </w:r>
            <w:r/>
          </w:p>
        </w:tc>
        <w:tc>
          <w:tcPr>
            <w:tcBorders/>
            <w:tcW w:w="3041" w:type="dxa"/>
          </w:tcPr>
          <w:p>
            <w:pPr>
              <w:pBdr/>
              <w:spacing/>
              <w:ind/>
              <w:rPr/>
            </w:pPr>
            <w:r>
              <w:rPr>
                <w:sz w:val="20"/>
              </w:rPr>
              <w:t xml:space="preserve">Las probabilidades del modelo son realistas: si predice 30%, debería ocurrir cerca del 30% de las veces.</w:t>
            </w:r>
            <w:r/>
          </w:p>
        </w:tc>
      </w:tr>
      <w:tr>
        <w:trPr/>
        <w:tc>
          <w:tcPr>
            <w:shd w:val="clear" w:color="auto" w:fill="e3f2fd"/>
            <w:tcBorders/>
            <w:tcW w:w="3041" w:type="dxa"/>
          </w:tcPr>
          <w:p>
            <w:pPr>
              <w:pBdr/>
              <w:spacing/>
              <w:ind/>
              <w:rPr/>
            </w:pPr>
            <w:r>
              <w:rPr>
                <w:b/>
                <w:sz w:val="20"/>
              </w:rPr>
              <w:t xml:space="preserve">Precisión de probabilidades</w:t>
            </w:r>
            <w:r/>
          </w:p>
        </w:tc>
        <w:tc>
          <w:tcPr>
            <w:shd w:val="clear" w:color="auto" w:fill="e3f2fd"/>
            <w:tcBorders/>
            <w:tcW w:w="3041" w:type="dxa"/>
          </w:tcPr>
          <w:p>
            <w:pPr>
              <w:pBdr/>
              <w:spacing/>
              <w:ind/>
              <w:rPr/>
            </w:pPr>
            <w:r>
              <w:rPr>
                <w:sz w:val="20"/>
              </w:rPr>
              <w:t xml:space="preserve">Pendiente de calibración entre 0.8 y 1.2</w:t>
            </w:r>
            <w:r/>
          </w:p>
        </w:tc>
        <w:tc>
          <w:tcPr>
            <w:shd w:val="clear" w:color="auto" w:fill="e3f2fd"/>
            <w:tcBorders/>
            <w:tcW w:w="3041" w:type="dxa"/>
          </w:tcPr>
          <w:p>
            <w:pPr>
              <w:pBdr/>
              <w:spacing/>
              <w:ind/>
              <w:rPr/>
            </w:pPr>
            <w:r>
              <w:rPr>
                <w:sz w:val="20"/>
              </w:rPr>
              <w:t xml:space="preserve">La magnitud de las probabilidades es correcta, no solo su orden relativo.</w:t>
            </w:r>
            <w:r/>
          </w:p>
        </w:tc>
      </w:tr>
      <w:tr>
        <w:trPr/>
        <w:tc>
          <w:tcPr>
            <w:tcBorders/>
            <w:tcW w:w="3041" w:type="dxa"/>
          </w:tcPr>
          <w:p>
            <w:pPr>
              <w:pBdr/>
              <w:spacing/>
              <w:ind/>
              <w:rPr/>
            </w:pPr>
            <w:r>
              <w:rPr>
                <w:b/>
                <w:sz w:val="20"/>
              </w:rPr>
              <w:t xml:space="preserve">Indicador O/E global</w:t>
            </w:r>
            <w:r/>
          </w:p>
        </w:tc>
        <w:tc>
          <w:tcPr>
            <w:tcBorders/>
            <w:tcW w:w="3041" w:type="dxa"/>
          </w:tcPr>
          <w:p>
            <w:pPr>
              <w:pBdr/>
              <w:spacing/>
              <w:ind/>
              <w:rPr/>
            </w:pPr>
            <w:r>
              <w:rPr>
                <w:sz w:val="20"/>
              </w:rPr>
              <w:t xml:space="preserve">Razón O/E entre 0.95 y 1.05</w:t>
            </w:r>
            <w:r/>
          </w:p>
        </w:tc>
        <w:tc>
          <w:tcPr>
            <w:tcBorders/>
            <w:tcW w:w="3041" w:type="dxa"/>
          </w:tcPr>
          <w:p>
            <w:pPr>
              <w:pBdr/>
              <w:spacing/>
              <w:ind/>
              <w:rPr/>
            </w:pPr>
            <w:r>
              <w:rPr>
                <w:sz w:val="20"/>
              </w:rPr>
              <w:t xml:space="preserve">El modelo no sobreestima ni subestima sistemáticamente la mortalidad en toda la cohorte.</w:t>
            </w:r>
            <w:r/>
          </w:p>
        </w:tc>
      </w:tr>
      <w:tr>
        <w:trPr/>
        <w:tc>
          <w:tcPr>
            <w:shd w:val="clear" w:color="auto" w:fill="e3f2fd"/>
            <w:tcBorders/>
            <w:tcW w:w="3041" w:type="dxa"/>
          </w:tcPr>
          <w:p>
            <w:pPr>
              <w:pBdr/>
              <w:spacing/>
              <w:ind/>
              <w:rPr/>
            </w:pPr>
            <w:r>
              <w:rPr>
                <w:b/>
                <w:sz w:val="20"/>
              </w:rPr>
              <w:t xml:space="preserve">Control de falsas alarmas</w:t>
            </w:r>
            <w:r/>
          </w:p>
        </w:tc>
        <w:tc>
          <w:tcPr>
            <w:shd w:val="clear" w:color="auto" w:fill="e3f2fd"/>
            <w:tcBorders/>
            <w:tcW w:w="3041" w:type="dxa"/>
          </w:tcPr>
          <w:p>
            <w:pPr>
              <w:pBdr/>
              <w:spacing/>
              <w:ind/>
              <w:rPr/>
            </w:pPr>
            <w:r>
              <w:rPr>
                <w:sz w:val="20"/>
              </w:rPr>
              <w:t xml:space="preserve">Gráficos de embudo (funnel plots) con límites al 95% y 99.8%</w:t>
            </w:r>
            <w:r/>
          </w:p>
        </w:tc>
        <w:tc>
          <w:tcPr>
            <w:shd w:val="clear" w:color="auto" w:fill="e3f2fd"/>
            <w:tcBorders/>
            <w:tcW w:w="3041" w:type="dxa"/>
          </w:tcPr>
          <w:p>
            <w:pPr>
              <w:pBdr/>
              <w:spacing/>
              <w:ind/>
              <w:rPr/>
            </w:pPr>
            <w:r>
              <w:rPr>
                <w:sz w:val="20"/>
              </w:rPr>
              <w:t xml:space="preserve">Distingue qué hospitales tienen variaciones genuinamente inusuales de cuáles tienen variaciones explicadas por el azar estadístico.</w:t>
            </w:r>
            <w:r/>
          </w:p>
        </w:tc>
      </w:tr>
    </w:tbl>
    <w:p>
      <w:pPr>
        <w:pBdr/>
        <w:spacing/>
        <w:ind/>
        <w:rPr/>
      </w:pPr>
      <w:r/>
      <w:r/>
    </w:p>
    <w:p>
      <w:pPr>
        <w:pStyle w:val="693"/>
        <w:pBdr/>
        <w:spacing/>
        <w:ind/>
        <w:jc w:val="left"/>
        <w:rPr/>
      </w:pPr>
      <w:r>
        <w:rPr>
          <w:color w:val="0d47a1"/>
        </w:rPr>
        <w:t xml:space="preserve">10. Tratamiento de datos sensibles y privacidad</w:t>
      </w:r>
      <w:r/>
    </w:p>
    <w:p>
      <w:pPr>
        <w:pBdr/>
        <w:spacing/>
        <w:ind/>
        <w:rPr/>
      </w:pPr>
      <w:r>
        <w:rPr>
          <w:b w:val="0"/>
          <w:i w:val="0"/>
          <w:sz w:val="22"/>
        </w:rPr>
        <w:t xml:space="preserve">Los datos recibidos de FONASA son anónimos. Sin embargo, durante el análisis se detectó que una columna declarada como fecha de procedimiento contiene 9 valores con estructura de RUT chileno. El sistema maneja esto de la siguiente forma:</w:t>
      </w:r>
      <w:r/>
    </w:p>
    <w:p>
      <w:pPr>
        <w:pStyle w:val="723"/>
        <w:pBdr/>
        <w:spacing/>
        <w:ind w:left="283"/>
        <w:rPr/>
      </w:pPr>
      <w:r>
        <w:rPr>
          <w:sz w:val="22"/>
        </w:rPr>
        <w:t xml:space="preserve">Detección automática de valores con estructura de identificador personal en todas las columnas.</w:t>
      </w:r>
      <w:r/>
    </w:p>
    <w:p>
      <w:pPr>
        <w:pStyle w:val="723"/>
        <w:pBdr/>
        <w:spacing/>
        <w:ind w:left="283"/>
        <w:rPr/>
      </w:pPr>
      <w:r>
        <w:rPr>
          <w:sz w:val="22"/>
        </w:rPr>
        <w:t xml:space="preserve">Cuarentena silenciosa: el valor se aísla sin quedar registrado en ningún archivo de log.</w:t>
      </w:r>
      <w:r/>
    </w:p>
    <w:p>
      <w:pPr>
        <w:pStyle w:val="723"/>
        <w:pBdr/>
        <w:spacing/>
        <w:ind w:left="283"/>
        <w:rPr/>
      </w:pPr>
      <w:r>
        <w:rPr>
          <w:sz w:val="22"/>
        </w:rPr>
        <w:t xml:space="preserve">Cero persistencia: solo se documenta que se encontraron N valores sospechosos en tal columna, nunca el valor real.</w:t>
      </w:r>
      <w:r/>
    </w:p>
    <w:p>
      <w:pPr>
        <w:pStyle w:val="723"/>
        <w:pBdr/>
        <w:spacing/>
        <w:ind w:left="283"/>
        <w:rPr/>
      </w:pPr>
      <w:r>
        <w:rPr>
          <w:sz w:val="22"/>
        </w:rPr>
        <w:t xml:space="preserve">La columna afectada se descarta completamente del procesamiento.</w:t>
      </w:r>
      <w:r/>
    </w:p>
    <w:p>
      <w:pPr>
        <w:pBdr/>
        <w:spacing/>
        <w:ind/>
        <w:rPr/>
      </w:pPr>
      <w:r>
        <w:rPr>
          <w:b w:val="0"/>
          <w:i w:val="0"/>
          <w:sz w:val="22"/>
        </w:rPr>
        <w:t xml:space="preserve">La plataforma web opera sin almacenar datos individuales de pacientes. Solo muestra indicadores agregados por hospital.</w:t>
      </w:r>
      <w:r/>
    </w:p>
    <w:p>
      <w:pPr>
        <w:pStyle w:val="693"/>
        <w:pBdr/>
        <w:spacing/>
        <w:ind/>
        <w:jc w:val="left"/>
        <w:rPr/>
      </w:pPr>
      <w:r>
        <w:rPr>
          <w:color w:val="0d47a1"/>
        </w:rPr>
        <w:t xml:space="preserve">11. Alcance y limitaciones reconocidas</w:t>
      </w:r>
      <w:r/>
    </w:p>
    <w:p>
      <w:pPr>
        <w:pStyle w:val="694"/>
        <w:pBdr/>
        <w:spacing/>
        <w:ind/>
        <w:jc w:val="left"/>
        <w:rPr/>
      </w:pPr>
      <w:r>
        <w:rPr>
          <w:color w:val="c62828"/>
        </w:rPr>
        <w:t xml:space="preserve">El sistema NO pretende:</w:t>
      </w:r>
      <w:r/>
    </w:p>
    <w:p>
      <w:pPr>
        <w:pStyle w:val="723"/>
        <w:pBdr/>
        <w:spacing/>
        <w:ind w:left="283"/>
        <w:rPr/>
      </w:pPr>
      <w:r>
        <w:rPr>
          <w:sz w:val="22"/>
        </w:rPr>
        <w:t xml:space="preserve">Emitir un dictamen definitivo sobre la calidad clínica de un establecimiento.</w:t>
      </w:r>
      <w:r/>
    </w:p>
    <w:p>
      <w:pPr>
        <w:pStyle w:val="723"/>
        <w:pBdr/>
        <w:spacing/>
        <w:ind w:left="283"/>
        <w:rPr/>
      </w:pPr>
      <w:r>
        <w:rPr>
          <w:sz w:val="22"/>
        </w:rPr>
        <w:t xml:space="preserve">Señalar responsabilidades de orden punitivo ni generar rankings simplistas.</w:t>
      </w:r>
      <w:r/>
    </w:p>
    <w:p>
      <w:pPr>
        <w:pStyle w:val="723"/>
        <w:pBdr/>
        <w:spacing/>
        <w:ind w:left="283"/>
        <w:rPr/>
      </w:pPr>
      <w:r>
        <w:rPr>
          <w:sz w:val="22"/>
        </w:rPr>
        <w:t xml:space="preserve">Neutralizar completamente el sesgo de alta anticipada: si un hospital traslada pacientes en estado terminal para que la muerte no quede en sus estadísticas, esa práctica no puede corregirse computacionalmente con los datos disponibles.</w:t>
      </w:r>
      <w:r/>
    </w:p>
    <w:p>
      <w:pPr>
        <w:pStyle w:val="723"/>
        <w:pBdr/>
        <w:spacing/>
        <w:ind w:left="283"/>
        <w:rPr/>
      </w:pPr>
      <w:r>
        <w:rPr>
          <w:sz w:val="22"/>
        </w:rPr>
        <w:t xml:space="preserve">Considerar diferencias de infraestructura, presupuesto ni dotación de personal entre hospitales.</w:t>
      </w:r>
      <w:r/>
    </w:p>
    <w:p>
      <w:pPr>
        <w:pStyle w:val="694"/>
        <w:pBdr/>
        <w:spacing/>
        <w:ind/>
        <w:jc w:val="left"/>
        <w:rPr/>
      </w:pPr>
      <w:r>
        <w:rPr>
          <w:color w:val="1b5e20"/>
        </w:rPr>
        <w:t xml:space="preserve">El sistema SÍ pretende:</w:t>
      </w:r>
      <w:r/>
    </w:p>
    <w:p>
      <w:pPr>
        <w:pStyle w:val="723"/>
        <w:pBdr/>
        <w:spacing/>
        <w:ind w:left="283"/>
        <w:rPr/>
      </w:pPr>
      <w:r>
        <w:rPr>
          <w:sz w:val="22"/>
        </w:rPr>
        <w:t xml:space="preserve">Proveer una señal estadística objetiva que oriente revisiones internas y asignación de recursos.</w:t>
      </w:r>
      <w:r/>
    </w:p>
    <w:p>
      <w:pPr>
        <w:pStyle w:val="723"/>
        <w:pBdr/>
        <w:spacing/>
        <w:ind w:left="283"/>
        <w:rPr/>
      </w:pPr>
      <w:r>
        <w:rPr>
          <w:sz w:val="22"/>
        </w:rPr>
        <w:t xml:space="preserve">Garantizar reproducibilidad total: cualquier investigador con acceso a las fuentes de FONASA puede regenerar los resultados.</w:t>
      </w:r>
      <w:r/>
    </w:p>
    <w:p>
      <w:pPr>
        <w:pStyle w:val="723"/>
        <w:pBdr/>
        <w:spacing/>
        <w:ind w:left="283"/>
        <w:rPr/>
      </w:pPr>
      <w:r>
        <w:rPr>
          <w:sz w:val="22"/>
        </w:rPr>
        <w:t xml:space="preserve">Documentar transparentemente cada exclusión, decisión metodológica y limitación reconocida.</w:t>
      </w:r>
      <w:r/>
    </w:p>
    <w:p>
      <w:pPr>
        <w:pBdr/>
        <w:spacing/>
        <w:ind/>
        <w:rPr/>
      </w:pPr>
      <w:r>
        <w:br w:type="page" w:clear="all"/>
      </w:r>
      <w:r/>
    </w:p>
    <w:p>
      <w:pPr>
        <w:pStyle w:val="693"/>
        <w:pBdr/>
        <w:spacing/>
        <w:ind/>
        <w:jc w:val="left"/>
        <w:rPr/>
      </w:pPr>
      <w:r>
        <w:rPr>
          <w:color w:val="0d47a1"/>
        </w:rPr>
        <w:t xml:space="preserve">12. Glosario de términos</w:t>
      </w:r>
      <w:r/>
    </w:p>
    <w:tbl>
      <w:tblPr>
        <w:tblStyle w:val="753"/>
        <w:tblW w:w="0" w:type="auto"/>
        <w:tblBorders/>
        <w:tblLook w:val="04A0" w:firstRow="1" w:lastRow="0" w:firstColumn="1" w:lastColumn="0" w:noHBand="0" w:noVBand="1"/>
      </w:tblPr>
      <w:tblGrid>
        <w:gridCol w:w="4561"/>
        <w:gridCol w:w="4561"/>
      </w:tblGrid>
      <w:tr>
        <w:trPr/>
        <w:tc>
          <w:tcPr>
            <w:shd w:val="clear" w:color="auto" w:fill="1565c0"/>
            <w:tcBorders/>
            <w:tcW w:w="4561" w:type="dxa"/>
          </w:tcPr>
          <w:p>
            <w:pPr>
              <w:pBdr/>
              <w:spacing/>
              <w:ind/>
              <w:jc w:val="center"/>
              <w:rPr/>
            </w:pPr>
            <w:r>
              <w:rPr>
                <w:b/>
                <w:color w:val="ffffff"/>
                <w:sz w:val="20"/>
              </w:rPr>
              <w:t xml:space="preserve">Término</w:t>
            </w:r>
            <w:r/>
          </w:p>
        </w:tc>
        <w:tc>
          <w:tcPr>
            <w:shd w:val="clear" w:color="auto" w:fill="1565c0"/>
            <w:tcBorders/>
            <w:tcW w:w="4561" w:type="dxa"/>
          </w:tcPr>
          <w:p>
            <w:pPr>
              <w:pBdr/>
              <w:spacing/>
              <w:ind/>
              <w:jc w:val="center"/>
              <w:rPr/>
            </w:pPr>
            <w:r>
              <w:rPr>
                <w:b/>
                <w:color w:val="ffffff"/>
                <w:sz w:val="20"/>
              </w:rPr>
              <w:t xml:space="preserve">Definición</w:t>
            </w:r>
            <w:r/>
          </w:p>
        </w:tc>
      </w:tr>
      <w:tr>
        <w:trPr/>
        <w:tc>
          <w:tcPr>
            <w:tcBorders/>
            <w:tcW w:w="4561" w:type="dxa"/>
          </w:tcPr>
          <w:p>
            <w:pPr>
              <w:pBdr/>
              <w:spacing/>
              <w:ind/>
              <w:rPr/>
            </w:pPr>
            <w:r>
              <w:rPr>
                <w:b/>
                <w:sz w:val="20"/>
              </w:rPr>
              <w:t xml:space="preserve">GRD (Grupos Relacionados por Diagnóstico)</w:t>
            </w:r>
            <w:r/>
          </w:p>
        </w:tc>
        <w:tc>
          <w:tcPr>
            <w:tcBorders/>
            <w:tcW w:w="4561" w:type="dxa"/>
          </w:tcPr>
          <w:p>
            <w:pPr>
              <w:pBdr/>
              <w:spacing/>
              <w:ind/>
              <w:rPr/>
            </w:pPr>
            <w:r>
              <w:rPr>
                <w:sz w:val="20"/>
              </w:rPr>
              <w:t xml:space="preserve">Sistema de clasificación de hospitalizaciones que agrupa episodios con características clínicas similares y consumo comparable de recursos.</w:t>
            </w:r>
            <w:r/>
          </w:p>
        </w:tc>
      </w:tr>
      <w:tr>
        <w:trPr/>
        <w:tc>
          <w:tcPr>
            <w:shd w:val="clear" w:color="auto" w:fill="e3f2fd"/>
            <w:tcBorders/>
            <w:tcW w:w="4561" w:type="dxa"/>
          </w:tcPr>
          <w:p>
            <w:pPr>
              <w:pBdr/>
              <w:spacing/>
              <w:ind/>
              <w:rPr/>
            </w:pPr>
            <w:r>
              <w:rPr>
                <w:b/>
                <w:sz w:val="20"/>
              </w:rPr>
              <w:t xml:space="preserve">Razón O/E (Observado / Esperado)</w:t>
            </w:r>
            <w:r/>
          </w:p>
        </w:tc>
        <w:tc>
          <w:tcPr>
            <w:shd w:val="clear" w:color="auto" w:fill="e3f2fd"/>
            <w:tcBorders/>
            <w:tcW w:w="4561" w:type="dxa"/>
          </w:tcPr>
          <w:p>
            <w:pPr>
              <w:pBdr/>
              <w:spacing/>
              <w:ind/>
              <w:rPr/>
            </w:pPr>
            <w:r>
              <w:rPr>
                <w:sz w:val="20"/>
              </w:rPr>
              <w:t xml:space="preserve">Indicador que compara los eventos reales de un hospital (muertes, días de estadía) con los que el modelo estadístico predice para ese tipo de pacientes. Un valor de 1.0 indica desempeño esperado.</w:t>
            </w:r>
            <w:r/>
          </w:p>
        </w:tc>
      </w:tr>
      <w:tr>
        <w:trPr/>
        <w:tc>
          <w:tcPr>
            <w:tcBorders/>
            <w:tcW w:w="4561" w:type="dxa"/>
          </w:tcPr>
          <w:p>
            <w:pPr>
              <w:pBdr/>
              <w:spacing/>
              <w:ind/>
              <w:rPr/>
            </w:pPr>
            <w:r>
              <w:rPr>
                <w:b/>
                <w:sz w:val="20"/>
              </w:rPr>
              <w:t xml:space="preserve">Índice de Elixhauser</w:t>
            </w:r>
            <w:r/>
          </w:p>
        </w:tc>
        <w:tc>
          <w:tcPr>
            <w:tcBorders/>
            <w:tcW w:w="4561" w:type="dxa"/>
          </w:tcPr>
          <w:p>
            <w:pPr>
              <w:pBdr/>
              <w:spacing/>
              <w:ind/>
              <w:rPr/>
            </w:pPr>
            <w:r>
              <w:rPr>
                <w:sz w:val="20"/>
              </w:rPr>
              <w:t xml:space="preserve">Estándar internacional (Quan 2005) que cuantifica las enfermedades crónicas previas de un paciente usando 31 categorías binarias extraídas de los diagnósticos secundarios.</w:t>
            </w:r>
            <w:r/>
          </w:p>
        </w:tc>
      </w:tr>
      <w:tr>
        <w:trPr/>
        <w:tc>
          <w:tcPr>
            <w:shd w:val="clear" w:color="auto" w:fill="e3f2fd"/>
            <w:tcBorders/>
            <w:tcW w:w="4561" w:type="dxa"/>
          </w:tcPr>
          <w:p>
            <w:pPr>
              <w:pBdr/>
              <w:spacing/>
              <w:ind/>
              <w:rPr/>
            </w:pPr>
            <w:r>
              <w:rPr>
                <w:b/>
                <w:sz w:val="20"/>
              </w:rPr>
              <w:t xml:space="preserve">Score van Walraven</w:t>
            </w:r>
            <w:r/>
          </w:p>
        </w:tc>
        <w:tc>
          <w:tcPr>
            <w:shd w:val="clear" w:color="auto" w:fill="e3f2fd"/>
            <w:tcBorders/>
            <w:tcW w:w="4561" w:type="dxa"/>
          </w:tcPr>
          <w:p>
            <w:pPr>
              <w:pBdr/>
              <w:spacing/>
              <w:ind/>
              <w:rPr/>
            </w:pPr>
            <w:r>
              <w:rPr>
                <w:sz w:val="20"/>
              </w:rPr>
              <w:t xml:space="preserve">Suma ponderada de las 31 categorías Elixhauser, donde cada condición tiene un peso según su impacto histórico en la mortalidad.</w:t>
            </w:r>
            <w:r/>
          </w:p>
        </w:tc>
      </w:tr>
      <w:tr>
        <w:trPr/>
        <w:tc>
          <w:tcPr>
            <w:tcBorders/>
            <w:tcW w:w="4561" w:type="dxa"/>
          </w:tcPr>
          <w:p>
            <w:pPr>
              <w:pBdr/>
              <w:spacing/>
              <w:ind/>
              <w:rPr/>
            </w:pPr>
            <w:r>
              <w:rPr>
                <w:b/>
                <w:sz w:val="20"/>
              </w:rPr>
              <w:t xml:space="preserve">Dato censurado</w:t>
            </w:r>
            <w:r/>
          </w:p>
        </w:tc>
        <w:tc>
          <w:tcPr>
            <w:tcBorders/>
            <w:tcW w:w="4561" w:type="dxa"/>
          </w:tcPr>
          <w:p>
            <w:pPr>
              <w:pBdr/>
              <w:spacing/>
              <w:ind/>
              <w:rPr/>
            </w:pPr>
            <w:r>
              <w:rPr>
                <w:sz w:val="20"/>
              </w:rPr>
              <w:t xml:space="preserve">Episodio cuyo resultado final se desconoce. En este proyecto, son principalmente los traslados a otro hospital donde no se sabe si el paciente sobrevivió o falleció.</w:t>
            </w:r>
            <w:r/>
          </w:p>
        </w:tc>
      </w:tr>
      <w:tr>
        <w:trPr/>
        <w:tc>
          <w:tcPr>
            <w:shd w:val="clear" w:color="auto" w:fill="e3f2fd"/>
            <w:tcBorders/>
            <w:tcW w:w="4561" w:type="dxa"/>
          </w:tcPr>
          <w:p>
            <w:pPr>
              <w:pBdr/>
              <w:spacing/>
              <w:ind/>
              <w:rPr/>
            </w:pPr>
            <w:r>
              <w:rPr>
                <w:b/>
                <w:sz w:val="20"/>
              </w:rPr>
              <w:t xml:space="preserve">Data leakage (fuga de información)</w:t>
            </w:r>
            <w:r/>
          </w:p>
        </w:tc>
        <w:tc>
          <w:tcPr>
            <w:shd w:val="clear" w:color="auto" w:fill="e3f2fd"/>
            <w:tcBorders/>
            <w:tcW w:w="4561" w:type="dxa"/>
          </w:tcPr>
          <w:p>
            <w:pPr>
              <w:pBdr/>
              <w:spacing/>
              <w:ind/>
              <w:rPr/>
            </w:pPr>
            <w:r>
              <w:rPr>
                <w:sz w:val="20"/>
              </w:rPr>
              <w:t xml:space="preserve">Error metodológico que ocurre cuando el modelo usa información del futuro para predecir el presente. Produce resultados artificialmente buenos que no sirven en la práctica.</w:t>
            </w:r>
            <w:r/>
          </w:p>
        </w:tc>
      </w:tr>
      <w:tr>
        <w:trPr/>
        <w:tc>
          <w:tcPr>
            <w:tcBorders/>
            <w:tcW w:w="4561" w:type="dxa"/>
          </w:tcPr>
          <w:p>
            <w:pPr>
              <w:pBdr/>
              <w:spacing/>
              <w:ind/>
              <w:rPr/>
            </w:pPr>
            <w:r>
              <w:rPr>
                <w:b/>
                <w:sz w:val="20"/>
              </w:rPr>
              <w:t xml:space="preserve">Partición temporal</w:t>
            </w:r>
            <w:r/>
          </w:p>
        </w:tc>
        <w:tc>
          <w:tcPr>
            <w:tcBorders/>
            <w:tcW w:w="4561" w:type="dxa"/>
          </w:tcPr>
          <w:p>
            <w:pPr>
              <w:pBdr/>
              <w:spacing/>
              <w:ind/>
              <w:rPr/>
            </w:pPr>
            <w:r>
              <w:rPr>
                <w:sz w:val="20"/>
              </w:rPr>
              <w:t xml:space="preserve">División de los datos por período: años más antiguos para entrenar, años más recientes para evaluar. Garantiza que el modelo sea evaluado con datos que nunca vio.</w:t>
            </w:r>
            <w:r/>
          </w:p>
        </w:tc>
      </w:tr>
      <w:tr>
        <w:trPr/>
        <w:tc>
          <w:tcPr>
            <w:shd w:val="clear" w:color="auto" w:fill="e3f2fd"/>
            <w:tcBorders/>
            <w:tcW w:w="4561" w:type="dxa"/>
          </w:tcPr>
          <w:p>
            <w:pPr>
              <w:pBdr/>
              <w:spacing/>
              <w:ind/>
              <w:rPr/>
            </w:pPr>
            <w:r>
              <w:rPr>
                <w:b/>
                <w:sz w:val="20"/>
              </w:rPr>
              <w:t xml:space="preserve">Funnel plot (Gráfico de embudo)</w:t>
            </w:r>
            <w:r/>
          </w:p>
        </w:tc>
        <w:tc>
          <w:tcPr>
            <w:shd w:val="clear" w:color="auto" w:fill="e3f2fd"/>
            <w:tcBorders/>
            <w:tcW w:w="4561" w:type="dxa"/>
          </w:tcPr>
          <w:p>
            <w:pPr>
              <w:pBdr/>
              <w:spacing/>
              <w:ind/>
              <w:rPr/>
            </w:pPr>
            <w:r>
              <w:rPr>
                <w:sz w:val="20"/>
              </w:rPr>
              <w:t xml:space="preserve">Visualización estadística que muestra el indicador O/E de cada hospital junto con límites de control que permiten distinguir variaciones genuinas del azar estadístico.</w:t>
            </w:r>
            <w:r/>
          </w:p>
        </w:tc>
      </w:tr>
      <w:tr>
        <w:trPr/>
        <w:tc>
          <w:tcPr>
            <w:tcBorders/>
            <w:tcW w:w="4561" w:type="dxa"/>
          </w:tcPr>
          <w:p>
            <w:pPr>
              <w:pBdr/>
              <w:spacing/>
              <w:ind/>
              <w:rPr/>
            </w:pPr>
            <w:r>
              <w:rPr>
                <w:b/>
                <w:sz w:val="20"/>
              </w:rPr>
              <w:t xml:space="preserve">PR AUC</w:t>
            </w:r>
            <w:r/>
          </w:p>
        </w:tc>
        <w:tc>
          <w:tcPr>
            <w:tcBorders/>
            <w:tcW w:w="4561" w:type="dxa"/>
          </w:tcPr>
          <w:p>
            <w:pPr>
              <w:pBdr/>
              <w:spacing/>
              <w:ind/>
              <w:rPr/>
            </w:pPr>
            <w:r>
              <w:rPr>
                <w:sz w:val="20"/>
              </w:rPr>
              <w:t xml:space="preserve">Métrica de evaluación para modelos de clasificación con eventos poco frecuentes. Mide la relación entre precisión y sensibilidad del modelo.</w:t>
            </w:r>
            <w:r/>
          </w:p>
        </w:tc>
      </w:tr>
      <w:tr>
        <w:trPr/>
        <w:tc>
          <w:tcPr>
            <w:shd w:val="clear" w:color="auto" w:fill="e3f2fd"/>
            <w:tcBorders/>
            <w:tcW w:w="4561" w:type="dxa"/>
          </w:tcPr>
          <w:p>
            <w:pPr>
              <w:pBdr/>
              <w:spacing/>
              <w:ind/>
              <w:rPr/>
            </w:pPr>
            <w:r>
              <w:rPr>
                <w:b/>
                <w:sz w:val="20"/>
              </w:rPr>
              <w:t xml:space="preserve">Parquet</w:t>
            </w:r>
            <w:r/>
          </w:p>
        </w:tc>
        <w:tc>
          <w:tcPr>
            <w:shd w:val="clear" w:color="auto" w:fill="e3f2fd"/>
            <w:tcBorders/>
            <w:tcW w:w="4561" w:type="dxa"/>
          </w:tcPr>
          <w:p>
            <w:pPr>
              <w:pBdr/>
              <w:spacing/>
              <w:ind/>
              <w:rPr/>
            </w:pPr>
            <w:r>
              <w:rPr>
                <w:sz w:val="20"/>
              </w:rPr>
              <w:t xml:space="preserve">Formato de archivo columnar optimizado para análisis de grandes volúmenes de datos. Mucho más rápido de leer que archivos de texto plano para operaciones analíticas.</w:t>
            </w:r>
            <w:r/>
          </w:p>
        </w:tc>
      </w:tr>
      <w:tr>
        <w:trPr/>
        <w:tc>
          <w:tcPr>
            <w:tcBorders/>
            <w:tcW w:w="4561" w:type="dxa"/>
          </w:tcPr>
          <w:p>
            <w:pPr>
              <w:pBdr/>
              <w:spacing/>
              <w:ind/>
              <w:rPr/>
            </w:pPr>
            <w:r>
              <w:rPr>
                <w:b/>
                <w:sz w:val="20"/>
              </w:rPr>
              <w:t xml:space="preserve">Arquitectura Medallón</w:t>
            </w:r>
            <w:r/>
          </w:p>
        </w:tc>
        <w:tc>
          <w:tcPr>
            <w:tcBorders/>
            <w:tcW w:w="4561" w:type="dxa"/>
          </w:tcPr>
          <w:p>
            <w:pPr>
              <w:pBdr/>
              <w:spacing/>
              <w:ind/>
              <w:rPr/>
            </w:pPr>
            <w:r>
              <w:rPr>
                <w:sz w:val="20"/>
              </w:rPr>
              <w:t xml:space="preserve">Organización de datos en capas: Cruda → Bronce → Plata → Oro. Cada capa añade calidad y transformaciones sobre la anterior.</w:t>
            </w:r>
            <w:r/>
          </w:p>
        </w:tc>
      </w:tr>
    </w:tbl>
    <w:p>
      <w:pPr>
        <w:pBdr/>
        <w:spacing/>
        <w:ind/>
        <w:rPr/>
      </w:pPr>
      <w:r/>
      <w:r/>
    </w:p>
    <w:p>
      <w:pPr>
        <w:pBdr/>
        <w:spacing/>
        <w:ind/>
        <w:rPr/>
      </w:pPr>
      <w:r>
        <w:br w:type="page" w:clear="all"/>
      </w:r>
      <w:r/>
    </w:p>
    <w:p>
      <w:pPr>
        <w:pStyle w:val="693"/>
        <w:pBdr/>
        <w:spacing/>
        <w:ind/>
        <w:jc w:val="left"/>
        <w:rPr/>
      </w:pPr>
      <w:r>
        <w:rPr>
          <w:color w:val="c62828"/>
        </w:rPr>
        <w:t xml:space="preserve">13. Propuestas que requieren aprobación del profesor guía</w:t>
      </w:r>
      <w:r/>
    </w:p>
    <w:p>
      <w:pPr>
        <w:pBdr/>
        <w:spacing/>
        <w:ind/>
        <w:rPr/>
      </w:pPr>
      <w:r>
        <w:rPr>
          <w:b w:val="0"/>
          <w:i w:val="0"/>
          <w:sz w:val="22"/>
        </w:rPr>
        <w:t xml:space="preserve">Las siguientes decisiones metodológicas están planteadas como propuestas. Requieren validación explícita del profesor guía antes de proceder con su implementación.</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c62828"/>
            <w:tcBorders/>
            <w:tcW w:w="3041" w:type="dxa"/>
          </w:tcPr>
          <w:p>
            <w:pPr>
              <w:pBdr/>
              <w:spacing/>
              <w:ind/>
              <w:jc w:val="center"/>
              <w:rPr/>
            </w:pPr>
            <w:r>
              <w:rPr>
                <w:b/>
                <w:color w:val="ffffff"/>
                <w:sz w:val="20"/>
              </w:rPr>
              <w:t xml:space="preserve">Propuesta</w:t>
            </w:r>
            <w:r/>
          </w:p>
        </w:tc>
        <w:tc>
          <w:tcPr>
            <w:shd w:val="clear" w:color="auto" w:fill="c62828"/>
            <w:tcBorders/>
            <w:tcW w:w="3041" w:type="dxa"/>
          </w:tcPr>
          <w:p>
            <w:pPr>
              <w:pBdr/>
              <w:spacing/>
              <w:ind/>
              <w:jc w:val="center"/>
              <w:rPr/>
            </w:pPr>
            <w:r>
              <w:rPr>
                <w:b/>
                <w:color w:val="ffffff"/>
                <w:sz w:val="20"/>
              </w:rPr>
              <w:t xml:space="preserve">Descripción</w:t>
            </w:r>
            <w:r/>
          </w:p>
        </w:tc>
        <w:tc>
          <w:tcPr>
            <w:shd w:val="clear" w:color="auto" w:fill="c62828"/>
            <w:tcBorders/>
            <w:tcW w:w="3041" w:type="dxa"/>
          </w:tcPr>
          <w:p>
            <w:pPr>
              <w:pBdr/>
              <w:spacing/>
              <w:ind/>
              <w:jc w:val="center"/>
              <w:rPr/>
            </w:pPr>
            <w:r>
              <w:rPr>
                <w:b/>
                <w:color w:val="ffffff"/>
                <w:sz w:val="20"/>
              </w:rPr>
              <w:t xml:space="preserve">Resolución del profesor</w:t>
            </w:r>
            <w:r/>
          </w:p>
        </w:tc>
      </w:tr>
      <w:tr>
        <w:trPr/>
        <w:tc>
          <w:tcPr>
            <w:tcBorders/>
            <w:tcW w:w="3041" w:type="dxa"/>
          </w:tcPr>
          <w:p>
            <w:pPr>
              <w:pBdr/>
              <w:spacing/>
              <w:ind/>
              <w:rPr/>
            </w:pPr>
            <w:r>
              <w:rPr>
                <w:sz w:val="20"/>
              </w:rPr>
              <w:t xml:space="preserve">Seguimiento longitudinal del paciente</w:t>
            </w:r>
            <w:r/>
          </w:p>
        </w:tc>
        <w:tc>
          <w:tcPr>
            <w:tcBorders/>
            <w:tcW w:w="3041" w:type="dxa"/>
          </w:tcPr>
          <w:p>
            <w:pPr>
              <w:pBdr/>
              <w:spacing/>
              <w:ind/>
              <w:rPr/>
            </w:pPr>
            <w:r>
              <w:rPr>
                <w:sz w:val="20"/>
              </w:rPr>
              <w:t xml:space="preserve">Utilizar el identificador encriptado del paciente para calcular cuántas veces fue hospitalizado en los últimos 12 meses y cuántos días pasaron desde su última hospitalización. Estas variables se incluirían como predictores del modelo.</w:t>
            </w:r>
            <w:r/>
          </w:p>
        </w:tc>
        <w:tc>
          <w:tcPr>
            <w:tcBorders/>
            <w:tcW w:w="3041" w:type="dxa"/>
          </w:tcPr>
          <w:p>
            <w:pPr>
              <w:pBdr/>
              <w:spacing/>
              <w:ind/>
              <w:rPr/>
            </w:pPr>
            <w:r>
              <w:rPr>
                <w:sz w:val="20"/>
              </w:rPr>
              <w:t xml:space="preserve">Aprobado / Rechazado / Pendiente</w:t>
            </w:r>
            <w:r/>
          </w:p>
        </w:tc>
      </w:tr>
      <w:tr>
        <w:trPr/>
        <w:tc>
          <w:tcPr>
            <w:shd w:val="clear" w:color="auto" w:fill="e3f2fd"/>
            <w:tcBorders/>
            <w:tcW w:w="3041" w:type="dxa"/>
          </w:tcPr>
          <w:p>
            <w:pPr>
              <w:pBdr/>
              <w:spacing/>
              <w:ind/>
              <w:rPr/>
            </w:pPr>
            <w:r>
              <w:rPr>
                <w:sz w:val="20"/>
              </w:rPr>
              <w:t xml:space="preserve">Variables condicionales de contexto institucional</w:t>
            </w:r>
            <w:r/>
          </w:p>
        </w:tc>
        <w:tc>
          <w:tcPr>
            <w:shd w:val="clear" w:color="auto" w:fill="e3f2fd"/>
            <w:tcBorders/>
            <w:tcW w:w="3041" w:type="dxa"/>
          </w:tcPr>
          <w:p>
            <w:pPr>
              <w:pBdr/>
              <w:spacing/>
              <w:ind/>
              <w:rPr/>
            </w:pPr>
            <w:r>
              <w:rPr>
                <w:sz w:val="20"/>
              </w:rPr>
              <w:t xml:space="preserve">Tres variables requieren v</w:t>
            </w:r>
            <w:r>
              <w:rPr>
                <w:sz w:val="20"/>
              </w:rPr>
              <w:t xml:space="preserve">erificación empírica antes de decidir su inclusión: el servicio de ingreso (UCI/UTI), la especialidad médica y si el paciente fue derivado. Si el análisis muestra que reflejan capacidad instalada del hospital más que gravedad del paciente, serán excluidas.</w:t>
            </w:r>
            <w:r/>
          </w:p>
        </w:tc>
        <w:tc>
          <w:tcPr>
            <w:shd w:val="clear" w:color="auto" w:fill="e3f2fd"/>
            <w:tcBorders/>
            <w:tcW w:w="3041" w:type="dxa"/>
          </w:tcPr>
          <w:p>
            <w:pPr>
              <w:pBdr/>
              <w:spacing/>
              <w:ind/>
              <w:rPr/>
            </w:pPr>
            <w:r>
              <w:rPr>
                <w:sz w:val="20"/>
              </w:rPr>
              <w:t xml:space="preserve">Aprobado / Rechazado / Pendiente</w:t>
            </w:r>
            <w:r/>
          </w:p>
        </w:tc>
      </w:tr>
      <w:tr>
        <w:trPr/>
        <w:tc>
          <w:tcPr>
            <w:tcBorders/>
            <w:tcW w:w="3041" w:type="dxa"/>
          </w:tcPr>
          <w:p>
            <w:pPr>
              <w:pBdr/>
              <w:spacing/>
              <w:ind/>
              <w:rPr/>
            </w:pPr>
            <w:r>
              <w:rPr>
                <w:sz w:val="20"/>
              </w:rPr>
              <w:t xml:space="preserve">Análisis de equidad (variables socioeconómicas)</w:t>
            </w:r>
            <w:r/>
          </w:p>
        </w:tc>
        <w:tc>
          <w:tcPr>
            <w:tcBorders/>
            <w:tcW w:w="3041" w:type="dxa"/>
          </w:tcPr>
          <w:p>
            <w:pPr>
              <w:pBdr/>
              <w:spacing/>
              <w:ind/>
              <w:rPr/>
            </w:pPr>
            <w:r>
              <w:rPr>
                <w:sz w:val="20"/>
              </w:rPr>
              <w:t xml:space="preserve">Se propone r</w:t>
            </w:r>
            <w:r>
              <w:rPr>
                <w:sz w:val="20"/>
              </w:rPr>
              <w:t xml:space="preserve">eservar las variables de previsión FONASA, nacionalidad y nivel de privación comunal para un análisis posterior que verifique si el sistema genera resultados distintos según características socioeconómicas. Estas variables NO entrarían al modelo principal.</w:t>
            </w:r>
            <w:r/>
          </w:p>
        </w:tc>
        <w:tc>
          <w:tcPr>
            <w:tcBorders/>
            <w:tcW w:w="3041" w:type="dxa"/>
          </w:tcPr>
          <w:p>
            <w:pPr>
              <w:pBdr/>
              <w:spacing/>
              <w:ind/>
              <w:rPr/>
            </w:pPr>
            <w:r>
              <w:rPr>
                <w:sz w:val="20"/>
              </w:rPr>
              <w:t xml:space="preserve">Aprobado / Rechazado / Pendiente</w:t>
            </w:r>
            <w:r/>
          </w:p>
        </w:tc>
      </w:tr>
      <w:tr>
        <w:trPr/>
        <w:tc>
          <w:tcPr>
            <w:shd w:val="clear" w:color="auto" w:fill="e3f2fd"/>
            <w:tcBorders/>
            <w:tcW w:w="3041" w:type="dxa"/>
          </w:tcPr>
          <w:p>
            <w:pPr>
              <w:pBdr/>
              <w:spacing/>
              <w:ind/>
              <w:rPr/>
            </w:pPr>
            <w:r>
              <w:rPr>
                <w:sz w:val="20"/>
              </w:rPr>
              <w:t xml:space="preserve">Exclusión de la variable ETNIA</w:t>
            </w:r>
            <w:r/>
          </w:p>
        </w:tc>
        <w:tc>
          <w:tcPr>
            <w:shd w:val="clear" w:color="auto" w:fill="e3f2fd"/>
            <w:tcBorders/>
            <w:tcW w:w="3041" w:type="dxa"/>
          </w:tcPr>
          <w:p>
            <w:pPr>
              <w:pBdr/>
              <w:spacing/>
              <w:ind/>
              <w:rPr/>
            </w:pPr>
            <w:r>
              <w:rPr>
                <w:sz w:val="20"/>
              </w:rPr>
              <w:t xml:space="preserve">La variable de etnia del paciente NO se incluirá en el modelo ni en el análisis de equidad de esta tesis. Solo se registra su existencia en los datos. Exclusión motivada por la complejidad metodológica de su correcta interpretación.</w:t>
            </w:r>
            <w:r/>
          </w:p>
        </w:tc>
        <w:tc>
          <w:tcPr>
            <w:shd w:val="clear" w:color="auto" w:fill="e3f2fd"/>
            <w:tcBorders/>
            <w:tcW w:w="3041" w:type="dxa"/>
          </w:tcPr>
          <w:p>
            <w:pPr>
              <w:pBdr/>
              <w:spacing/>
              <w:ind/>
              <w:rPr/>
            </w:pPr>
            <w:r>
              <w:rPr>
                <w:sz w:val="20"/>
              </w:rPr>
              <w:t xml:space="preserve">Aprobado / Rechazado / Pendiente</w:t>
            </w:r>
            <w:r/>
          </w:p>
        </w:tc>
      </w:tr>
      <w:tr>
        <w:trPr/>
        <w:tc>
          <w:tcPr>
            <w:tcBorders/>
            <w:tcW w:w="3041" w:type="dxa"/>
          </w:tcPr>
          <w:p>
            <w:pPr>
              <w:pBdr/>
              <w:spacing/>
              <w:ind/>
              <w:rPr/>
            </w:pPr>
            <w:r>
              <w:rPr>
                <w:sz w:val="20"/>
              </w:rPr>
              <w:t xml:space="preserve">Análisis de sensibilidad COVID-19</w:t>
            </w:r>
            <w:r/>
          </w:p>
        </w:tc>
        <w:tc>
          <w:tcPr>
            <w:tcBorders/>
            <w:tcW w:w="3041" w:type="dxa"/>
          </w:tcPr>
          <w:p>
            <w:pPr>
              <w:pBdr/>
              <w:spacing/>
              <w:ind/>
              <w:rPr/>
            </w:pPr>
            <w:r>
              <w:rPr>
                <w:sz w:val="20"/>
              </w:rPr>
              <w:t xml:space="preserve">Se propone repetir el entrenamiento excluyendo los años 2020 y 2021 para verificar si los resultados del modelo cambian significativamente. Se reportaría como hallazgo complementario, no como resultado principal.</w:t>
            </w:r>
            <w:r/>
          </w:p>
        </w:tc>
        <w:tc>
          <w:tcPr>
            <w:tcBorders/>
            <w:tcW w:w="3041" w:type="dxa"/>
          </w:tcPr>
          <w:p>
            <w:pPr>
              <w:pBdr/>
              <w:spacing/>
              <w:ind/>
              <w:rPr/>
            </w:pPr>
            <w:r>
              <w:rPr>
                <w:sz w:val="20"/>
              </w:rPr>
              <w:t xml:space="preserve">Aprobado / Rechazado / Pendiente</w:t>
            </w:r>
            <w:r/>
          </w:p>
        </w:tc>
      </w:tr>
    </w:tbl>
    <w:p>
      <w:pPr>
        <w:pBdr/>
        <w:spacing/>
        <w:ind/>
        <w:rPr/>
      </w:pPr>
      <w:r/>
      <w:r/>
    </w:p>
    <w:p>
      <w:pPr>
        <w:pBdr/>
        <w:spacing/>
        <w:ind/>
        <w:jc w:val="center"/>
        <w:rPr/>
      </w:pPr>
      <w:r>
        <w:rPr>
          <w:i/>
          <w:color w:val="37474f"/>
          <w:sz w:val="18"/>
        </w:rPr>
        <w:t xml:space="preserve">Informe Técnico — Fase 1: Comprensión del Dominio</w:t>
        <w:br/>
        <w:t xml:space="preserve">Universidad de Santiago de Chile | Departamento de Ingeniería Informática | Septiembre 2026</w:t>
      </w:r>
      <w:r/>
    </w:p>
    <w:sectPr>
      <w:footnotePr/>
      <w:endnotePr/>
      <w:type w:val="nextPage"/>
      <w:pgSz w:h="15840" w:orient="portrait" w:w="12240"/>
      <w:pgMar w:top="1417" w:right="1417"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2026-09-26T18:58:02Z</dcterms:modified>
  <cp:category/>
</cp:coreProperties>
</file>