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7E1" w:rsidRPr="004157E1" w:rsidRDefault="004157E1" w:rsidP="004157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Caso de Uso 2 — Clasificación No Supervisada de Facies Sísmicas con LMVAE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(Estilo técnico–empresarial)</w:t>
      </w:r>
    </w:p>
    <w:p w:rsidR="004157E1" w:rsidRPr="004157E1" w:rsidRDefault="004157E1" w:rsidP="00415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Contexto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caracterización de facies sísmicas es un proceso esencial para comprender la arquitectura interna de los reservorios. A diferencia de la detección de fallas, la clasificación de facies depende de patrones más sutiles del volumen sísmico: litologías, texturas, geometrías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deposicionales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variaciones de estratigrafía fina.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Históricamente, este trabajo se realizaba mediante métodos supervisados que requieren etiquetas geológicas o clasificación manual previa, lo cual es costoso, lento y difícil de escalar.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 xml:space="preserve">La exploración moderna requiere </w:t>
      </w: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enfoques no supervisados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permitan identificar grupos y patrones directamente desde los volúmenes sísmicos, sin necesidad de datos etiquetados.</w:t>
      </w:r>
    </w:p>
    <w:p w:rsidR="004157E1" w:rsidRPr="004157E1" w:rsidRDefault="004157E1" w:rsidP="00415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7E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57E1" w:rsidRPr="004157E1" w:rsidRDefault="004157E1" w:rsidP="00415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Problemática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La clasificación de facies presenta varios desafíos:</w:t>
      </w:r>
    </w:p>
    <w:p w:rsidR="004157E1" w:rsidRPr="004157E1" w:rsidRDefault="004157E1" w:rsidP="00415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 existen etiquetas “verdaderas”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entrenar modelos supervisados en la mayoría de los proyectos.</w:t>
      </w:r>
    </w:p>
    <w:p w:rsidR="004157E1" w:rsidRPr="004157E1" w:rsidRDefault="004157E1" w:rsidP="00415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patrones de facies son </w:t>
      </w: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más complejos y sutiles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las fallas, lo que dificulta el uso de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CNNs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simples.</w:t>
      </w:r>
    </w:p>
    <w:p w:rsidR="004157E1" w:rsidRPr="004157E1" w:rsidRDefault="004157E1" w:rsidP="00415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separación espacial de facies requiere capturar </w:t>
      </w: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relaciones de alta dimensión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, no detectables con atributos tradicionales.</w:t>
      </w:r>
    </w:p>
    <w:p w:rsidR="004157E1" w:rsidRPr="004157E1" w:rsidRDefault="004157E1" w:rsidP="00415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modelos de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clustering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clásicos (PCA, k-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means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, GMM) no logran capturar la estructura real de los volúmenes.</w:t>
      </w:r>
    </w:p>
    <w:p w:rsidR="004157E1" w:rsidRPr="004157E1" w:rsidRDefault="004157E1" w:rsidP="00415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métodos avanzados —como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VAEs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modelos de mezcla— demandan </w:t>
      </w: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mucho poder de cómputo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, especialmente al trabajar con volúmenes 3D completos.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Esto genera la necesidad de un método no supervisado que pueda aprender representaciones útiles, separables y físicamente coherentes.</w:t>
      </w:r>
    </w:p>
    <w:p w:rsidR="004157E1" w:rsidRPr="004157E1" w:rsidRDefault="004157E1" w:rsidP="00415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7E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57E1" w:rsidRPr="004157E1" w:rsidRDefault="004157E1" w:rsidP="00415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lastRenderedPageBreak/>
        <w:t>Solución Propuesta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La solución combina:</w:t>
      </w:r>
    </w:p>
    <w:p w:rsidR="004157E1" w:rsidRPr="004157E1" w:rsidRDefault="004157E1" w:rsidP="00415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enfoque del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paper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Lognormal</w:t>
      </w:r>
      <w:proofErr w:type="spellEnd"/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Mixture-</w:t>
      </w:r>
      <w:proofErr w:type="spellStart"/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based</w:t>
      </w:r>
      <w:proofErr w:type="spellEnd"/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Variational</w:t>
      </w:r>
      <w:proofErr w:type="spellEnd"/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Autoencoder</w:t>
      </w:r>
      <w:proofErr w:type="spellEnd"/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(LMVAE)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clustering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supervisado.</w:t>
      </w:r>
    </w:p>
    <w:p w:rsidR="004157E1" w:rsidRPr="004157E1" w:rsidRDefault="004157E1" w:rsidP="00415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 pipeline propio basado en </w:t>
      </w: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volúmenes sísmicos sintéticos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, los mismos del Caso de Uso 1.</w:t>
      </w:r>
    </w:p>
    <w:p w:rsidR="004157E1" w:rsidRPr="004157E1" w:rsidRDefault="004157E1" w:rsidP="00415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 diseño centrado en </w:t>
      </w: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atributos linealmente independientes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, clave para separar las facies en el espacio latente.</w:t>
      </w:r>
    </w:p>
    <w:p w:rsidR="004157E1" w:rsidRPr="004157E1" w:rsidRDefault="004157E1" w:rsidP="00415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Fundamento técnico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LMVAE utiliza un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autoencoder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variacional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una mezcla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lognormal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que:</w:t>
      </w:r>
    </w:p>
    <w:p w:rsidR="004157E1" w:rsidRPr="004157E1" w:rsidRDefault="004157E1" w:rsidP="00415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Aprende una </w:t>
      </w: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representación latente compacta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volumen sísmico.</w:t>
      </w:r>
    </w:p>
    <w:p w:rsidR="004157E1" w:rsidRPr="004157E1" w:rsidRDefault="004157E1" w:rsidP="00415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Captura distribuciones complejas sin asumir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gaussianidad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4157E1" w:rsidRPr="004157E1" w:rsidRDefault="004157E1" w:rsidP="00415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Facilita la </w:t>
      </w:r>
      <w:proofErr w:type="spellStart"/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clusterización</w:t>
      </w:r>
      <w:proofErr w:type="spellEnd"/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directa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espacio latente, sin necesidad de etiquetas.</w:t>
      </w:r>
    </w:p>
    <w:p w:rsidR="004157E1" w:rsidRPr="004157E1" w:rsidRDefault="004157E1" w:rsidP="00415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Uso de cubos sintéticos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Tal como en el Caso 1, se emplearon cubos sísmicos sintéticos porque:</w:t>
      </w:r>
    </w:p>
    <w:p w:rsidR="004157E1" w:rsidRPr="004157E1" w:rsidRDefault="004157E1" w:rsidP="00415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Permiten controlar variaciones litológicas y estratigráficas.</w:t>
      </w:r>
    </w:p>
    <w:p w:rsidR="004157E1" w:rsidRPr="004157E1" w:rsidRDefault="004157E1" w:rsidP="00415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Son ideales para experimentación con diferentes geometrías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deposicionales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4157E1" w:rsidRPr="004157E1" w:rsidRDefault="004157E1" w:rsidP="00415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Generalizan muy bien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 datos reales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onshore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offshore.</w:t>
      </w:r>
    </w:p>
    <w:p w:rsidR="004157E1" w:rsidRPr="004157E1" w:rsidRDefault="004157E1" w:rsidP="00415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Evitan costos y restricciones de confidencialidad.</w:t>
      </w:r>
    </w:p>
    <w:p w:rsidR="004157E1" w:rsidRPr="004157E1" w:rsidRDefault="004157E1" w:rsidP="00415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7E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57E1" w:rsidRPr="004157E1" w:rsidRDefault="004157E1" w:rsidP="00415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Mejoras implementadas en el trabajo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El aporte propio introduce elementos claves:</w:t>
      </w:r>
    </w:p>
    <w:p w:rsidR="004157E1" w:rsidRPr="004157E1" w:rsidRDefault="004157E1" w:rsidP="00415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1. Atributos linealmente independientes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Para mejorar la calidad del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embedding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latente y la separación de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clusters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, se priorizó un conjunto de atributos:</w:t>
      </w:r>
    </w:p>
    <w:p w:rsidR="004157E1" w:rsidRPr="004157E1" w:rsidRDefault="004157E1" w:rsidP="00415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Estadísticos</w:t>
      </w:r>
      <w:proofErr w:type="spellEnd"/>
    </w:p>
    <w:p w:rsidR="004157E1" w:rsidRPr="004157E1" w:rsidRDefault="004157E1" w:rsidP="00415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Geométricos</w:t>
      </w:r>
      <w:proofErr w:type="spellEnd"/>
    </w:p>
    <w:p w:rsidR="004157E1" w:rsidRPr="004157E1" w:rsidRDefault="004157E1" w:rsidP="00415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Texturales</w:t>
      </w:r>
      <w:proofErr w:type="spellEnd"/>
    </w:p>
    <w:p w:rsidR="004157E1" w:rsidRPr="004157E1" w:rsidRDefault="004157E1" w:rsidP="00415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Derivados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</w:rPr>
        <w:t xml:space="preserve"> locales del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cubo</w:t>
      </w:r>
      <w:proofErr w:type="spellEnd"/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La condición de independencia lineal permite:</w:t>
      </w:r>
    </w:p>
    <w:p w:rsidR="004157E1" w:rsidRPr="004157E1" w:rsidRDefault="004157E1" w:rsidP="00415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lastRenderedPageBreak/>
        <w:t>Reducir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redundancia</w:t>
      </w:r>
      <w:proofErr w:type="spellEnd"/>
    </w:p>
    <w:p w:rsidR="004157E1" w:rsidRPr="004157E1" w:rsidRDefault="004157E1" w:rsidP="00415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Evitar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colinealidad</w:t>
      </w:r>
      <w:proofErr w:type="spellEnd"/>
    </w:p>
    <w:p w:rsidR="004157E1" w:rsidRPr="004157E1" w:rsidRDefault="004157E1" w:rsidP="00415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Maximizar la información útil para el modelo</w:t>
      </w:r>
    </w:p>
    <w:p w:rsidR="004157E1" w:rsidRPr="004157E1" w:rsidRDefault="004157E1" w:rsidP="004157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Mejorar la separabilidad de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clusters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el espacio latente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Esto fue fundamental para lograr que el LMVAE identifique facies geológicamente coherentes.</w:t>
      </w:r>
    </w:p>
    <w:p w:rsidR="004157E1" w:rsidRPr="004157E1" w:rsidRDefault="004157E1" w:rsidP="004157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2. Manejo del poder de cómputo requerido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A diferencia del Caso 1, este enfoque exige una infraestructura más robusta:</w:t>
      </w:r>
    </w:p>
    <w:p w:rsidR="004157E1" w:rsidRPr="004157E1" w:rsidRDefault="004157E1" w:rsidP="00415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7E1">
        <w:rPr>
          <w:rFonts w:ascii="Times New Roman" w:eastAsia="Times New Roman" w:hAnsi="Times New Roman" w:cs="Times New Roman"/>
          <w:sz w:val="24"/>
          <w:szCs w:val="24"/>
        </w:rPr>
        <w:t xml:space="preserve">GPUs con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memoria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extendida</w:t>
      </w:r>
      <w:proofErr w:type="spellEnd"/>
    </w:p>
    <w:p w:rsidR="004157E1" w:rsidRPr="004157E1" w:rsidRDefault="004157E1" w:rsidP="00415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Procesamiento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bloques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</w:rPr>
        <w:t xml:space="preserve"> 3D</w:t>
      </w:r>
    </w:p>
    <w:p w:rsidR="004157E1" w:rsidRPr="004157E1" w:rsidRDefault="004157E1" w:rsidP="00415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Técnicas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optimización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entrenamiento</w:t>
      </w:r>
      <w:proofErr w:type="spellEnd"/>
    </w:p>
    <w:p w:rsidR="004157E1" w:rsidRPr="004157E1" w:rsidRDefault="004157E1" w:rsidP="004157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7E1">
        <w:rPr>
          <w:rFonts w:ascii="Times New Roman" w:eastAsia="Times New Roman" w:hAnsi="Times New Roman" w:cs="Times New Roman"/>
          <w:sz w:val="24"/>
          <w:szCs w:val="24"/>
        </w:rPr>
        <w:t xml:space="preserve">Batch sizes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</w:rPr>
        <w:t>adaptativos</w:t>
      </w:r>
      <w:proofErr w:type="spellEnd"/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diseñó un pipeline que permite entrenar el LMVAE </w:t>
      </w: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 manera eficiente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, incluso combinando procesamiento distribuido cuando es necesario.</w:t>
      </w:r>
    </w:p>
    <w:p w:rsidR="004157E1" w:rsidRPr="004157E1" w:rsidRDefault="004157E1" w:rsidP="004157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7E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57E1" w:rsidRPr="004157E1" w:rsidRDefault="004157E1" w:rsidP="004157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Valor para el negocio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Este caso de uso aporta beneficios claros:</w:t>
      </w:r>
    </w:p>
    <w:p w:rsidR="004157E1" w:rsidRPr="004157E1" w:rsidRDefault="004157E1" w:rsidP="00415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Identificación automática de facies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, sin necesidad de etiquetas.</w:t>
      </w:r>
    </w:p>
    <w:p w:rsidR="004157E1" w:rsidRPr="004157E1" w:rsidRDefault="004157E1" w:rsidP="00415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Mejor entendimiento de heterogeneidades internas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reservorio.</w:t>
      </w:r>
    </w:p>
    <w:p w:rsidR="004157E1" w:rsidRPr="004157E1" w:rsidRDefault="004157E1" w:rsidP="00415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Reducción de tiempos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al evitar clasificaciones manuales o 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semisupervisadas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4157E1" w:rsidRPr="004157E1" w:rsidRDefault="004157E1" w:rsidP="00415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Mayor coherencia geológica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, gracias a la utilización de atributos independientes y embebidos de alta calidad.</w:t>
      </w:r>
    </w:p>
    <w:p w:rsidR="004157E1" w:rsidRPr="004157E1" w:rsidRDefault="004157E1" w:rsidP="00415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Capacidad de escalar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 múltiples cuencas y entornos (</w:t>
      </w:r>
      <w:proofErr w:type="spellStart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onshore</w:t>
      </w:r>
      <w:proofErr w:type="spellEnd"/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offshore) gracias al entrenamiento sobre sintéticos.</w:t>
      </w:r>
    </w:p>
    <w:p w:rsidR="004157E1" w:rsidRPr="004157E1" w:rsidRDefault="004157E1" w:rsidP="004157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Código libre</w:t>
      </w: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, lo que permite extinguir dependencias de software propietario y adaptar el pipeline según las necesidades del equipo.</w:t>
      </w:r>
    </w:p>
    <w:p w:rsidR="004157E1" w:rsidRPr="004157E1" w:rsidRDefault="004157E1" w:rsidP="004157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157E1">
        <w:rPr>
          <w:rFonts w:ascii="Times New Roman" w:eastAsia="Times New Roman" w:hAnsi="Times New Roman" w:cs="Times New Roman"/>
          <w:sz w:val="24"/>
          <w:szCs w:val="24"/>
          <w:lang w:val="es-ES"/>
        </w:rPr>
        <w:t>En conjunto, este enfoque transforma un proceso históricamente subjetivo y no escalable en una metodología robusta, reproducible y basada en modelos contemporáneos de aprendizaje no supervisado.</w:t>
      </w:r>
    </w:p>
    <w:p w:rsidR="00ED4C4B" w:rsidRPr="004157E1" w:rsidRDefault="004157E1">
      <w:pPr>
        <w:rPr>
          <w:lang w:val="es-ES"/>
        </w:rPr>
      </w:pPr>
      <w:bookmarkStart w:id="0" w:name="_GoBack"/>
      <w:r w:rsidRPr="004157E1">
        <w:rPr>
          <w:lang w:val="es-ES"/>
        </w:rPr>
        <w:lastRenderedPageBreak/>
        <w:drawing>
          <wp:inline distT="0" distB="0" distL="0" distR="0" wp14:anchorId="280DF061" wp14:editId="4EB43C05">
            <wp:extent cx="4077269" cy="266737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4157E1">
        <w:rPr>
          <w:lang w:val="es-ES"/>
        </w:rPr>
        <w:lastRenderedPageBreak/>
        <w:drawing>
          <wp:inline distT="0" distB="0" distL="0" distR="0" wp14:anchorId="702C73FC" wp14:editId="0CE67A44">
            <wp:extent cx="5612130" cy="68973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C4B" w:rsidRPr="004157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F6F78"/>
    <w:multiLevelType w:val="multilevel"/>
    <w:tmpl w:val="35FE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076FD"/>
    <w:multiLevelType w:val="multilevel"/>
    <w:tmpl w:val="2DB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427C4"/>
    <w:multiLevelType w:val="multilevel"/>
    <w:tmpl w:val="A1A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86D55"/>
    <w:multiLevelType w:val="multilevel"/>
    <w:tmpl w:val="5BE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A691A"/>
    <w:multiLevelType w:val="multilevel"/>
    <w:tmpl w:val="BD2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8639F"/>
    <w:multiLevelType w:val="multilevel"/>
    <w:tmpl w:val="1488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80FB1"/>
    <w:multiLevelType w:val="multilevel"/>
    <w:tmpl w:val="5CD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701D6"/>
    <w:multiLevelType w:val="multilevel"/>
    <w:tmpl w:val="2138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7E1"/>
    <w:rsid w:val="004157E1"/>
    <w:rsid w:val="00ED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F67F9"/>
  <w15:chartTrackingRefBased/>
  <w15:docId w15:val="{6DEC0252-6631-4195-A998-95D19E19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157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4157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4157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7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4157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4157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4157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5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4157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Felipe</cp:lastModifiedBy>
  <cp:revision>1</cp:revision>
  <dcterms:created xsi:type="dcterms:W3CDTF">2025-12-10T19:36:00Z</dcterms:created>
  <dcterms:modified xsi:type="dcterms:W3CDTF">2025-12-10T19:39:00Z</dcterms:modified>
</cp:coreProperties>
</file>