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4"/>
          <w:szCs w:val="44"/>
        </w:rPr>
        <w:t xml:space="preserve">Guía 1 — Fundamentos de Data Engineering en Databricks</w:t>
      </w:r>
    </w:p>
    <w:p>
      <w:pPr>
        <w:pBdr>
          <w:bottom w:val="single" w:color="2E75B6" w:sz="8" w:space="8"/>
        </w:pBdr>
        <w:spacing w:after="300"/>
      </w:pPr>
      <w:r>
        <w:rPr>
          <w:rFonts w:ascii="Arial" w:cs="Arial" w:eastAsia="Arial" w:hAnsi="Arial"/>
          <w:i/>
          <w:iCs/>
          <w:color w:val="595959"/>
          <w:sz w:val="24"/>
          <w:szCs w:val="24"/>
        </w:rPr>
        <w:t xml:space="preserve">Lakehouse, Unity Catalog, Lakeflow y la Arquitectura Medallion</w:t>
      </w:r>
    </w:p>
    <w:p>
      <w:pPr>
        <w:pBdr>
          <w:left w:val="single" w:color="2E75B6" w:sz="24" w:space="8"/>
        </w:pBdr>
        <w:shd w:fill="EAF1F8" w:val="clear"/>
        <w:spacing w:after="200" w:before="100"/>
        <w:ind w:left="100"/>
      </w:pPr>
      <w:r>
        <w:rPr>
          <w:rFonts w:ascii="Arial" w:cs="Arial" w:eastAsia="Arial" w:hAnsi="Arial"/>
          <w:b/>
          <w:bCs/>
          <w:color w:val="2E75B6"/>
          <w:sz w:val="22"/>
          <w:szCs w:val="22"/>
        </w:rPr>
        <w:t xml:space="preserve">Sobre esta serie:  </w:t>
      </w:r>
      <w:r>
        <w:rPr>
          <w:rFonts w:ascii="Arial" w:cs="Arial" w:eastAsia="Arial" w:hAnsi="Arial"/>
          <w:sz w:val="22"/>
          <w:szCs w:val="22"/>
        </w:rPr>
        <w:t xml:space="preserve">Esta es la primera de 5 guías conceptuales basadas en el curso “Build Data Pipelines with Apache Spark Declarative Pipelines” (Databricks Academy) que tenés guardado en tu OneDrive. Están pensadas para leerse en orden, cada una construye sobre la anterior.</w:t>
      </w:r>
    </w:p>
    <w:p>
      <w:pPr>
        <w:pStyle w:val="Heading1"/>
      </w:pPr>
      <w:r>
        <w:t xml:space="preserve">1. El problema que resuelve Databricks</w:t>
      </w:r>
    </w:p>
    <w:p>
      <w:pPr>
        <w:spacing w:after="140" w:line="276"/>
      </w:pPr>
      <w:r>
        <w:rPr>
          <w:rFonts w:ascii="Arial" w:cs="Arial" w:eastAsia="Arial" w:hAnsi="Arial"/>
          <w:sz w:val="22"/>
          <w:szCs w:val="22"/>
        </w:rPr>
        <w:t xml:space="preserve">Antes de entrar en herramientas puntuales, conviene entender el panorama completo. Un equipo de datos necesita, al mismo tiempo: almacenar datos crudos y transformados, gobernarlos (quién puede ver qué), transformarlos con calidad, y servirlos para BI, ML o IA generativa. Databricks propone una única plataforma (el “Lakehouse”) que resuelve las tres capas con piezas que se integran entre sí, en lugar de tener un Data Lake separado de un Data Warehouse.</w:t>
      </w:r>
    </w:p>
    <w:p>
      <w:pPr>
        <w:pStyle w:val="Heading2"/>
      </w:pPr>
      <w:r>
        <w:t xml:space="preserve">1.1 Las tres capas de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3960"/>
      </w:tblGrid>
      <w:tr>
        <w:trPr>
          <w:tblHeader/>
        </w:trPr>
        <w:tc>
          <w:tcPr>
            <w:tcW w:type="dxa" w:w="3200"/>
            <w:tcBorders>
              <w:top w:val="single" w:color="BFBFBF" w:sz="2"/>
              <w:left w:val="single" w:color="BFBFBF" w:sz="2"/>
              <w:bottom w:val="single" w:color="BFBFBF" w:sz="2"/>
              <w:right w:val="single" w:color="BFBFB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4200"/>
            <w:tcBorders>
              <w:top w:val="single" w:color="BFBFBF" w:sz="2"/>
              <w:left w:val="single" w:color="BFBFBF" w:sz="2"/>
              <w:bottom w:val="single" w:color="BFBFBF" w:sz="2"/>
              <w:right w:val="single" w:color="BFBFB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Qué resuelve</w:t>
            </w:r>
          </w:p>
        </w:tc>
        <w:tc>
          <w:tcPr>
            <w:tcW w:type="dxa" w:w="3960"/>
            <w:tcBorders>
              <w:top w:val="single" w:color="BFBFBF" w:sz="2"/>
              <w:left w:val="single" w:color="BFBFBF" w:sz="2"/>
              <w:bottom w:val="single" w:color="BFBFBF" w:sz="2"/>
              <w:right w:val="single" w:color="BFBFB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Tecnología típica</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Almacenamiento optimizado</w:t>
            </w:r>
          </w:p>
        </w:tc>
        <w:tc>
          <w:tcPr>
            <w:tcW w:type="dxa" w:w="42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Guardar los datos de forma eficiente y transaccional (ACID)</w:t>
            </w:r>
          </w:p>
        </w:tc>
        <w:tc>
          <w:tcPr>
            <w:tcW w:type="dxa" w:w="39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Delta Lake · Parquet · Apache Iceberg</w:t>
            </w:r>
          </w:p>
        </w:tc>
      </w:tr>
      <w:tr>
        <w:tc>
          <w:tcPr>
            <w:tcW w:type="dxa" w:w="3200"/>
            <w:tcBorders>
              <w:top w:val="single" w:color="BFBFBF" w:sz="2"/>
              <w:left w:val="single" w:color="BFBFBF" w:sz="2"/>
              <w:bottom w:val="single" w:color="BFBFBF" w:sz="2"/>
              <w:right w:val="single" w:color="BFBFBF" w:sz="2"/>
            </w:tcBorders>
            <w:shd w:fill="EAF1F8" w:val="clear"/>
            <w:tcMar>
              <w:top w:type="dxa" w:w="70"/>
              <w:left w:type="dxa" w:w="120"/>
              <w:bottom w:type="dxa" w:w="70"/>
              <w:right w:type="dxa" w:w="120"/>
            </w:tcMar>
          </w:tcPr>
          <w:p>
            <w:r>
              <w:rPr>
                <w:rFonts w:ascii="Arial" w:cs="Arial" w:eastAsia="Arial" w:hAnsi="Arial"/>
                <w:sz w:val="20"/>
                <w:szCs w:val="20"/>
              </w:rPr>
              <w:t xml:space="preserve">Gobierno unificado</w:t>
            </w:r>
          </w:p>
        </w:tc>
        <w:tc>
          <w:tcPr>
            <w:tcW w:type="dxa" w:w="4200"/>
            <w:tcBorders>
              <w:top w:val="single" w:color="BFBFBF" w:sz="2"/>
              <w:left w:val="single" w:color="BFBFBF" w:sz="2"/>
              <w:bottom w:val="single" w:color="BFBFBF" w:sz="2"/>
              <w:right w:val="single" w:color="BFBFBF" w:sz="2"/>
            </w:tcBorders>
            <w:shd w:fill="EAF1F8" w:val="clear"/>
            <w:tcMar>
              <w:top w:type="dxa" w:w="70"/>
              <w:left w:type="dxa" w:w="120"/>
              <w:bottom w:type="dxa" w:w="70"/>
              <w:right w:type="dxa" w:w="120"/>
            </w:tcMar>
          </w:tcPr>
          <w:p>
            <w:r>
              <w:rPr>
                <w:rFonts w:ascii="Arial" w:cs="Arial" w:eastAsia="Arial" w:hAnsi="Arial"/>
                <w:sz w:val="20"/>
                <w:szCs w:val="20"/>
              </w:rPr>
              <w:t xml:space="preserve">Control de acceso, auditoría, linaje de datos, calidad, descubrimiento</w:t>
            </w:r>
          </w:p>
        </w:tc>
        <w:tc>
          <w:tcPr>
            <w:tcW w:type="dxa" w:w="3960"/>
            <w:tcBorders>
              <w:top w:val="single" w:color="BFBFBF" w:sz="2"/>
              <w:left w:val="single" w:color="BFBFBF" w:sz="2"/>
              <w:bottom w:val="single" w:color="BFBFBF" w:sz="2"/>
              <w:right w:val="single" w:color="BFBFBF" w:sz="2"/>
            </w:tcBorders>
            <w:shd w:fill="EAF1F8" w:val="clear"/>
            <w:tcMar>
              <w:top w:type="dxa" w:w="70"/>
              <w:left w:type="dxa" w:w="120"/>
              <w:bottom w:type="dxa" w:w="70"/>
              <w:right w:type="dxa" w:w="120"/>
            </w:tcMar>
          </w:tcPr>
          <w:p>
            <w:r>
              <w:rPr>
                <w:rFonts w:ascii="Arial" w:cs="Arial" w:eastAsia="Arial" w:hAnsi="Arial"/>
                <w:sz w:val="20"/>
                <w:szCs w:val="20"/>
              </w:rPr>
              <w:t xml:space="preserve">Unity Catalog</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Ingesta, transformación y orquestación</w:t>
            </w:r>
          </w:p>
        </w:tc>
        <w:tc>
          <w:tcPr>
            <w:tcW w:type="dxa" w:w="42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Llevar los datos de la fuente al destino de forma confiable</w:t>
            </w:r>
          </w:p>
        </w:tc>
        <w:tc>
          <w:tcPr>
            <w:tcW w:type="dxa" w:w="39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Lakeflow (Connect + Declarative Pipelines + Jobs)</w:t>
            </w:r>
          </w:p>
        </w:tc>
      </w:tr>
    </w:tbl>
    <w:p>
      <w:pPr>
        <w:pStyle w:val="Heading1"/>
      </w:pPr>
      <w:r>
        <w:t xml:space="preserve">2. Lakeflow: el motor de Data Engineering</w:t>
      </w:r>
    </w:p>
    <w:p>
      <w:pPr>
        <w:spacing w:after="140" w:line="276"/>
      </w:pPr>
      <w:r>
        <w:rPr>
          <w:rFonts w:ascii="Arial" w:cs="Arial" w:eastAsia="Arial" w:hAnsi="Arial"/>
          <w:sz w:val="22"/>
          <w:szCs w:val="22"/>
        </w:rPr>
        <w:t xml:space="preserve">Lakeflow es el nombre que agrupa las tres piezas de Databricks dedicadas específicamente a mover y transformar datos:</w:t>
      </w:r>
    </w:p>
    <w:p>
      <w:pPr>
        <w:pStyle w:val="ListParagraph"/>
        <w:numPr>
          <w:ilvl w:val="0"/>
          <w:numId w:val="2"/>
        </w:numPr>
        <w:spacing w:after="80" w:line="270"/>
      </w:pPr>
      <w:r>
        <w:rPr>
          <w:rFonts w:ascii="Arial" w:cs="Arial" w:eastAsia="Arial" w:hAnsi="Arial"/>
          <w:b/>
          <w:bCs/>
          <w:sz w:val="22"/>
          <w:szCs w:val="22"/>
        </w:rPr>
        <w:t xml:space="preserve">Lakeflow Connect: </w:t>
      </w:r>
      <w:r>
        <w:rPr>
          <w:rFonts w:ascii="Arial" w:cs="Arial" w:eastAsia="Arial" w:hAnsi="Arial"/>
          <w:sz w:val="22"/>
          <w:szCs w:val="22"/>
        </w:rPr>
        <w:t xml:space="preserve">conectores de ingesta eficientes para bases de datos, SaaS (Salesforce, Workday), colas de mensajes (Kafka, Kinesis, Pub/Sub) y almacenamiento en la nube (S3, ADLS, GCS).</w:t>
      </w:r>
    </w:p>
    <w:p>
      <w:pPr>
        <w:pStyle w:val="ListParagraph"/>
        <w:numPr>
          <w:ilvl w:val="0"/>
          <w:numId w:val="2"/>
        </w:numPr>
        <w:spacing w:after="80" w:line="270"/>
      </w:pPr>
      <w:r>
        <w:rPr>
          <w:rFonts w:ascii="Arial" w:cs="Arial" w:eastAsia="Arial" w:hAnsi="Arial"/>
          <w:b/>
          <w:bCs/>
          <w:sz w:val="22"/>
          <w:szCs w:val="22"/>
        </w:rPr>
        <w:t xml:space="preserve">Apache Spark Declarative Pipelines (SDP): </w:t>
      </w:r>
      <w:r>
        <w:rPr>
          <w:rFonts w:ascii="Arial" w:cs="Arial" w:eastAsia="Arial" w:hAnsi="Arial"/>
          <w:sz w:val="22"/>
          <w:szCs w:val="22"/>
        </w:rPr>
        <w:t xml:space="preserve">el framework declarativo (antes llamado “DLT” / Delta Live Tables) para construir pipelines batch o streaming en SQL o Python, acelerando el desarrollo ETL. Es el corazón de las siguientes 3 guías.</w:t>
      </w:r>
    </w:p>
    <w:p>
      <w:pPr>
        <w:pStyle w:val="ListParagraph"/>
        <w:numPr>
          <w:ilvl w:val="0"/>
          <w:numId w:val="2"/>
        </w:numPr>
        <w:spacing w:after="80" w:line="270"/>
      </w:pPr>
      <w:r>
        <w:rPr>
          <w:rFonts w:ascii="Arial" w:cs="Arial" w:eastAsia="Arial" w:hAnsi="Arial"/>
          <w:b/>
          <w:bCs/>
          <w:sz w:val="22"/>
          <w:szCs w:val="22"/>
        </w:rPr>
        <w:t xml:space="preserve">Lakeflow Jobs: </w:t>
      </w:r>
      <w:r>
        <w:rPr>
          <w:rFonts w:ascii="Arial" w:cs="Arial" w:eastAsia="Arial" w:hAnsi="Arial"/>
          <w:sz w:val="22"/>
          <w:szCs w:val="22"/>
        </w:rPr>
        <w:t xml:space="preserve">el orquestador. Programa, encadena y monitorea tareas repetibles (incluidos los pipelines de SDP).</w:t>
      </w:r>
    </w:p>
    <w:p>
      <w:pPr>
        <w:pBdr>
          <w:left w:val="single" w:color="2E75B6" w:sz="24" w:space="8"/>
        </w:pBdr>
        <w:shd w:fill="EAF1F8" w:val="clear"/>
        <w:spacing w:after="200" w:before="100"/>
        <w:ind w:left="100"/>
      </w:pPr>
      <w:r>
        <w:rPr>
          <w:rFonts w:ascii="Arial" w:cs="Arial" w:eastAsia="Arial" w:hAnsi="Arial"/>
          <w:b/>
          <w:bCs/>
          <w:color w:val="2E75B6"/>
          <w:sz w:val="22"/>
          <w:szCs w:val="22"/>
        </w:rPr>
        <w:t xml:space="preserve">Idea clave:  </w:t>
      </w:r>
      <w:r>
        <w:rPr>
          <w:rFonts w:ascii="Arial" w:cs="Arial" w:eastAsia="Arial" w:hAnsi="Arial"/>
          <w:sz w:val="22"/>
          <w:szCs w:val="22"/>
        </w:rPr>
        <w:t xml:space="preserve">Todo corre sobre el motor de procesamiento Apache Spark + Structured Streaming, gobernado por Unity Catalog y apoyado en almacenamiento optimizado (Delta Lake). SDP no reemplaza a Spark: es una capa declarativa que genera y gestiona el plan de ejecución de Spark por vos.</w:t>
      </w:r>
    </w:p>
    <w:p>
      <w:pPr>
        <w:pStyle w:val="Heading1"/>
      </w:pPr>
      <w:r>
        <w:t xml:space="preserve">3. Unity Catalog: el modelo de gobierno</w:t>
      </w:r>
    </w:p>
    <w:p>
      <w:pPr>
        <w:spacing w:after="140" w:line="276"/>
      </w:pPr>
      <w:r>
        <w:rPr>
          <w:rFonts w:ascii="Arial" w:cs="Arial" w:eastAsia="Arial" w:hAnsi="Arial"/>
          <w:sz w:val="22"/>
          <w:szCs w:val="22"/>
        </w:rPr>
        <w:t xml:space="preserve">Unity Catalog organiza todos los datos y assets de IA con una jerarquía de 3 niveles, similar a una base de datos relacional pero a escala de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20"/>
            </w:pPr>
            <w:r>
              <w:rPr>
                <w:rFonts w:ascii="Consolas" w:cs="Consolas" w:eastAsia="Consolas" w:hAnsi="Consolas"/>
                <w:color w:val="1B1B1B"/>
                <w:sz w:val="18"/>
                <w:szCs w:val="18"/>
              </w:rPr>
              <w:t xml:space="preserve">catálogo (catalog)</w:t>
            </w:r>
          </w:p>
          <w:p>
            <w:pPr>
              <w:spacing w:after="20"/>
            </w:pPr>
            <w:r>
              <w:rPr>
                <w:rFonts w:ascii="Consolas" w:cs="Consolas" w:eastAsia="Consolas" w:hAnsi="Consolas"/>
                <w:color w:val="1B1B1B"/>
                <w:sz w:val="18"/>
                <w:szCs w:val="18"/>
              </w:rPr>
              <w:t xml:space="preserve">  └── esquema / base de datos (schema)</w:t>
            </w:r>
          </w:p>
          <w:p>
            <w:pPr>
              <w:spacing w:after="20"/>
            </w:pPr>
            <w:r>
              <w:rPr>
                <w:rFonts w:ascii="Consolas" w:cs="Consolas" w:eastAsia="Consolas" w:hAnsi="Consolas"/>
                <w:color w:val="1B1B1B"/>
                <w:sz w:val="18"/>
                <w:szCs w:val="18"/>
              </w:rPr>
              <w:t xml:space="preserve">        ├── tabla (table)</w:t>
            </w:r>
          </w:p>
          <w:p>
            <w:pPr>
              <w:spacing w:after="20"/>
            </w:pPr>
            <w:r>
              <w:rPr>
                <w:rFonts w:ascii="Consolas" w:cs="Consolas" w:eastAsia="Consolas" w:hAnsi="Consolas"/>
                <w:color w:val="1B1B1B"/>
                <w:sz w:val="18"/>
                <w:szCs w:val="18"/>
              </w:rPr>
              <w:t xml:space="preserve">        ├── vista (view)</w:t>
            </w:r>
          </w:p>
          <w:p>
            <w:pPr>
              <w:spacing w:after="20"/>
            </w:pPr>
            <w:r>
              <w:rPr>
                <w:rFonts w:ascii="Consolas" w:cs="Consolas" w:eastAsia="Consolas" w:hAnsi="Consolas"/>
                <w:color w:val="1B1B1B"/>
                <w:sz w:val="18"/>
                <w:szCs w:val="18"/>
              </w:rPr>
              <w:t xml:space="preserve">        └── volumen (volume)  → almacenamiento de archivos no tabulares</w:t>
            </w:r>
          </w:p>
        </w:tc>
      </w:tr>
    </w:tbl>
    <w:p>
      <w:pPr>
        <w:spacing w:after="140" w:line="276"/>
      </w:pPr>
      <w:r>
        <w:rPr>
          <w:rFonts w:ascii="Arial" w:cs="Arial" w:eastAsia="Arial" w:hAnsi="Arial"/>
          <w:sz w:val="22"/>
          <w:szCs w:val="22"/>
        </w:rPr>
        <w:t xml:space="preserve">En el curso, cada alumno trabaja sobre un catálogo propio (por ejemplo labuser_12345), con tres esquemas que representan las tres capas de la arquitectura medallion: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2"/>
              <w:left w:val="single" w:color="BFBFBF" w:sz="2"/>
              <w:bottom w:val="single" w:color="BFBFBF" w:sz="2"/>
              <w:right w:val="single" w:color="BFBFB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Esquema</w:t>
            </w:r>
          </w:p>
        </w:tc>
        <w:tc>
          <w:tcPr>
            <w:tcW w:type="dxa" w:w="6160"/>
            <w:tcBorders>
              <w:top w:val="single" w:color="BFBFBF" w:sz="2"/>
              <w:left w:val="single" w:color="BFBFBF" w:sz="2"/>
              <w:bottom w:val="single" w:color="BFBFBF" w:sz="2"/>
              <w:right w:val="single" w:color="BFBFB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sdp_1_bronze</w:t>
            </w:r>
          </w:p>
        </w:tc>
        <w:tc>
          <w:tcPr>
            <w:tcW w:type="dxa" w:w="61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Datos crudos ingeridos + volumen “source” con los archivos de origen (JSON/CSV)</w:t>
            </w:r>
          </w:p>
        </w:tc>
      </w:tr>
      <w:tr>
        <w:tc>
          <w:tcPr>
            <w:tcW w:type="dxa" w:w="3200"/>
            <w:tcBorders>
              <w:top w:val="single" w:color="BFBFBF" w:sz="2"/>
              <w:left w:val="single" w:color="BFBFBF" w:sz="2"/>
              <w:bottom w:val="single" w:color="BFBFBF" w:sz="2"/>
              <w:right w:val="single" w:color="BFBFBF" w:sz="2"/>
            </w:tcBorders>
            <w:shd w:fill="EAF1F8" w:val="clear"/>
            <w:tcMar>
              <w:top w:type="dxa" w:w="70"/>
              <w:left w:type="dxa" w:w="120"/>
              <w:bottom w:type="dxa" w:w="70"/>
              <w:right w:type="dxa" w:w="120"/>
            </w:tcMar>
          </w:tcPr>
          <w:p>
            <w:r>
              <w:rPr>
                <w:rFonts w:ascii="Arial" w:cs="Arial" w:eastAsia="Arial" w:hAnsi="Arial"/>
                <w:sz w:val="20"/>
                <w:szCs w:val="20"/>
              </w:rPr>
              <w:t xml:space="preserve">sdp_2_silver</w:t>
            </w:r>
          </w:p>
        </w:tc>
        <w:tc>
          <w:tcPr>
            <w:tcW w:type="dxa" w:w="6160"/>
            <w:tcBorders>
              <w:top w:val="single" w:color="BFBFBF" w:sz="2"/>
              <w:left w:val="single" w:color="BFBFBF" w:sz="2"/>
              <w:bottom w:val="single" w:color="BFBFBF" w:sz="2"/>
              <w:right w:val="single" w:color="BFBFBF" w:sz="2"/>
            </w:tcBorders>
            <w:shd w:fill="EAF1F8" w:val="clear"/>
            <w:tcMar>
              <w:top w:type="dxa" w:w="70"/>
              <w:left w:type="dxa" w:w="120"/>
              <w:bottom w:type="dxa" w:w="70"/>
              <w:right w:type="dxa" w:w="120"/>
            </w:tcMar>
          </w:tcPr>
          <w:p>
            <w:r>
              <w:rPr>
                <w:rFonts w:ascii="Arial" w:cs="Arial" w:eastAsia="Arial" w:hAnsi="Arial"/>
                <w:sz w:val="20"/>
                <w:szCs w:val="20"/>
              </w:rPr>
              <w:t xml:space="preserve">Datos limpios, validados y con tipos correctos</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sdp_3_gold</w:t>
            </w:r>
          </w:p>
        </w:tc>
        <w:tc>
          <w:tcPr>
            <w:tcW w:type="dxa" w:w="61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Datos agregados listos para consumo (reporting, ML, IA)</w:t>
            </w:r>
          </w:p>
        </w:tc>
      </w:tr>
    </w:tbl>
    <w:p>
      <w:pPr>
        <w:spacing w:after="140" w:line="276"/>
      </w:pPr>
      <w:r>
        <w:rPr>
          <w:rFonts w:ascii="Arial" w:cs="Arial" w:eastAsia="Arial" w:hAnsi="Arial"/>
          <w:sz w:val="22"/>
          <w:szCs w:val="22"/>
        </w:rPr>
        <w:t xml:space="preserve">Un volumen (volume) es la forma en que Unity Catalog gobierna archivos que no son tablas (PDFs, JSON, CSV, imágenes). Es exactamente el mismo concepto que usás en ARGOS para almacenar los pliegos antes de procesarlos: un volumen de Unity Catalog gobernado, versus una carpeta suelta en ADLS.</w:t>
      </w:r>
    </w:p>
    <w:p>
      <w:pPr>
        <w:pStyle w:val="Heading1"/>
      </w:pPr>
      <w:r>
        <w:t xml:space="preserve">4. Arquitectura Medallion (Bronze / Silver / Gold)</w:t>
      </w:r>
    </w:p>
    <w:p>
      <w:pPr>
        <w:spacing w:after="140" w:line="276"/>
      </w:pPr>
      <w:r>
        <w:rPr>
          <w:rFonts w:ascii="Arial" w:cs="Arial" w:eastAsia="Arial" w:hAnsi="Arial"/>
          <w:sz w:val="22"/>
          <w:szCs w:val="22"/>
        </w:rPr>
        <w:t xml:space="preserve">Es el patrón de organización de datos más usado en Lakehouse. No es exclusivo de Databricks, pero SDP está diseñado específicamente para implementarlo con el mínimo código posible.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2"/>
              <w:left w:val="single" w:color="BFBFBF" w:sz="2"/>
              <w:bottom w:val="single" w:color="BFBFBF" w:sz="2"/>
              <w:right w:val="single" w:color="BFBFB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4000"/>
            <w:tcBorders>
              <w:top w:val="single" w:color="BFBFBF" w:sz="2"/>
              <w:left w:val="single" w:color="BFBFBF" w:sz="2"/>
              <w:bottom w:val="single" w:color="BFBFBF" w:sz="2"/>
              <w:right w:val="single" w:color="BFBFB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Qué contiene</w:t>
            </w:r>
          </w:p>
        </w:tc>
        <w:tc>
          <w:tcPr>
            <w:tcW w:type="dxa" w:w="3560"/>
            <w:tcBorders>
              <w:top w:val="single" w:color="BFBFBF" w:sz="2"/>
              <w:left w:val="single" w:color="BFBFBF" w:sz="2"/>
              <w:bottom w:val="single" w:color="BFBFBF" w:sz="2"/>
              <w:right w:val="single" w:color="BFBFB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Transformación típica</w:t>
            </w:r>
          </w:p>
        </w:tc>
      </w:tr>
      <w:tr>
        <w:tc>
          <w:tcPr>
            <w:tcW w:type="dxa" w:w="18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Bronze</w:t>
            </w:r>
          </w:p>
        </w:tc>
        <w:tc>
          <w:tcPr>
            <w:tcW w:type="dxa" w:w="40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Datos tal cual llegan de la fuente, + columnas de metadata (hora de ingesta, archivo origen)</w:t>
            </w:r>
          </w:p>
        </w:tc>
        <w:tc>
          <w:tcPr>
            <w:tcW w:type="dxa" w:w="3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Ninguna (o mínima) — “as-is”</w:t>
            </w:r>
          </w:p>
        </w:tc>
      </w:tr>
      <w:tr>
        <w:tc>
          <w:tcPr>
            <w:tcW w:type="dxa" w:w="1800"/>
            <w:tcBorders>
              <w:top w:val="single" w:color="BFBFBF" w:sz="2"/>
              <w:left w:val="single" w:color="BFBFBF" w:sz="2"/>
              <w:bottom w:val="single" w:color="BFBFBF" w:sz="2"/>
              <w:right w:val="single" w:color="BFBFBF" w:sz="2"/>
            </w:tcBorders>
            <w:shd w:fill="EAF1F8" w:val="clear"/>
            <w:tcMar>
              <w:top w:type="dxa" w:w="70"/>
              <w:left w:type="dxa" w:w="120"/>
              <w:bottom w:type="dxa" w:w="70"/>
              <w:right w:type="dxa" w:w="120"/>
            </w:tcMar>
          </w:tcPr>
          <w:p>
            <w:r>
              <w:rPr>
                <w:rFonts w:ascii="Arial" w:cs="Arial" w:eastAsia="Arial" w:hAnsi="Arial"/>
                <w:sz w:val="20"/>
                <w:szCs w:val="20"/>
              </w:rPr>
              <w:t xml:space="preserve">Silver</w:t>
            </w:r>
          </w:p>
        </w:tc>
        <w:tc>
          <w:tcPr>
            <w:tcW w:type="dxa" w:w="4000"/>
            <w:tcBorders>
              <w:top w:val="single" w:color="BFBFBF" w:sz="2"/>
              <w:left w:val="single" w:color="BFBFBF" w:sz="2"/>
              <w:bottom w:val="single" w:color="BFBFBF" w:sz="2"/>
              <w:right w:val="single" w:color="BFBFBF" w:sz="2"/>
            </w:tcBorders>
            <w:shd w:fill="EAF1F8" w:val="clear"/>
            <w:tcMar>
              <w:top w:type="dxa" w:w="70"/>
              <w:left w:type="dxa" w:w="120"/>
              <w:bottom w:type="dxa" w:w="70"/>
              <w:right w:type="dxa" w:w="120"/>
            </w:tcMar>
          </w:tcPr>
          <w:p>
            <w:r>
              <w:rPr>
                <w:rFonts w:ascii="Arial" w:cs="Arial" w:eastAsia="Arial" w:hAnsi="Arial"/>
                <w:sz w:val="20"/>
                <w:szCs w:val="20"/>
              </w:rPr>
              <w:t xml:space="preserve">Datos limpios: tipos correctos, columnas filtradas, validaciones de calidad aplicadas</w:t>
            </w:r>
          </w:p>
        </w:tc>
        <w:tc>
          <w:tcPr>
            <w:tcW w:type="dxa" w:w="3560"/>
            <w:tcBorders>
              <w:top w:val="single" w:color="BFBFBF" w:sz="2"/>
              <w:left w:val="single" w:color="BFBFBF" w:sz="2"/>
              <w:bottom w:val="single" w:color="BFBFBF" w:sz="2"/>
              <w:right w:val="single" w:color="BFBFBF" w:sz="2"/>
            </w:tcBorders>
            <w:shd w:fill="EAF1F8" w:val="clear"/>
            <w:tcMar>
              <w:top w:type="dxa" w:w="70"/>
              <w:left w:type="dxa" w:w="120"/>
              <w:bottom w:type="dxa" w:w="70"/>
              <w:right w:type="dxa" w:w="120"/>
            </w:tcMar>
          </w:tcPr>
          <w:p>
            <w:r>
              <w:rPr>
                <w:rFonts w:ascii="Arial" w:cs="Arial" w:eastAsia="Arial" w:hAnsi="Arial"/>
                <w:sz w:val="20"/>
                <w:szCs w:val="20"/>
              </w:rPr>
              <w:t xml:space="preserve">Casteo de tipos, filtros, joins, reglas de calidad (“expectations”)</w:t>
            </w:r>
          </w:p>
        </w:tc>
      </w:tr>
      <w:tr>
        <w:tc>
          <w:tcPr>
            <w:tcW w:type="dxa" w:w="18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Gold</w:t>
            </w:r>
          </w:p>
        </w:tc>
        <w:tc>
          <w:tcPr>
            <w:tcW w:type="dxa" w:w="40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Agregados de negocio listos para consumo: reporting, IA, dashboards</w:t>
            </w:r>
          </w:p>
        </w:tc>
        <w:tc>
          <w:tcPr>
            <w:tcW w:type="dxa" w:w="3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Agregaciones, joins finales, métricas de negocio</w:t>
            </w:r>
          </w:p>
        </w:tc>
      </w:tr>
    </w:tbl>
    <w:p>
      <w:pPr>
        <w:pBdr>
          <w:left w:val="single" w:color="2E75B6" w:sz="24" w:space="8"/>
        </w:pBdr>
        <w:shd w:fill="EAF1F8" w:val="clear"/>
        <w:spacing w:after="200" w:before="100"/>
        <w:ind w:left="100"/>
      </w:pPr>
      <w:r>
        <w:rPr>
          <w:rFonts w:ascii="Arial" w:cs="Arial" w:eastAsia="Arial" w:hAnsi="Arial"/>
          <w:b/>
          <w:bCs/>
          <w:color w:val="2E75B6"/>
          <w:sz w:val="22"/>
          <w:szCs w:val="22"/>
        </w:rPr>
        <w:t xml:space="preserve">Paralelismo con ARGOS:  </w:t>
      </w:r>
      <w:r>
        <w:rPr>
          <w:rFonts w:ascii="Arial" w:cs="Arial" w:eastAsia="Arial" w:hAnsi="Arial"/>
          <w:sz w:val="22"/>
          <w:szCs w:val="22"/>
        </w:rPr>
        <w:t xml:space="preserve">Tu propio proyecto ya usa este mismo patrón: Bronze (PDFs/licitaciones crudas ingeridas desde BAC/Comprar.gob.ar), Silver (texto extraído + clasificación de pliegos técnicos vía OCR/LLM) y Gold (entidades estructuradas listas para consulta). Este curso te da el marco teórico con el que ya estás trabajando en la práctica.</w:t>
      </w:r>
    </w:p>
    <w:p>
      <w:pPr>
        <w:pStyle w:val="Heading1"/>
      </w:pPr>
      <w:r>
        <w:t xml:space="preserve">5. Cómo se conectan los conceptos entre sí</w:t>
      </w:r>
    </w:p>
    <w:p>
      <w:pPr>
        <w:spacing w:after="140" w:line="276"/>
      </w:pPr>
      <w:r>
        <w:rPr>
          <w:rFonts w:ascii="Arial" w:cs="Arial" w:eastAsia="Arial" w:hAnsi="Arial"/>
          <w:sz w:val="22"/>
          <w:szCs w:val="22"/>
        </w:rPr>
        <w:t xml:space="preserve">Antes de pasar a la Guía 2, es importante fijar el mapa mental completo:</w:t>
      </w:r>
    </w:p>
    <w:p>
      <w:pPr>
        <w:pStyle w:val="ListParagraph"/>
        <w:numPr>
          <w:ilvl w:val="0"/>
          <w:numId w:val="3"/>
        </w:numPr>
        <w:spacing w:after="100" w:line="270"/>
      </w:pPr>
      <w:r>
        <w:rPr>
          <w:rFonts w:ascii="Arial" w:cs="Arial" w:eastAsia="Arial" w:hAnsi="Arial"/>
          <w:sz w:val="22"/>
          <w:szCs w:val="22"/>
        </w:rPr>
        <w:t xml:space="preserve">Los datos llegan desde una fuente (archivos en la nube, streaming, bases de datos) — vía Lakeflow Connect.</w:t>
      </w:r>
    </w:p>
    <w:p>
      <w:pPr>
        <w:pStyle w:val="ListParagraph"/>
        <w:numPr>
          <w:ilvl w:val="0"/>
          <w:numId w:val="3"/>
        </w:numPr>
        <w:spacing w:after="100" w:line="270"/>
      </w:pPr>
      <w:r>
        <w:rPr>
          <w:rFonts w:ascii="Arial" w:cs="Arial" w:eastAsia="Arial" w:hAnsi="Arial"/>
          <w:sz w:val="22"/>
          <w:szCs w:val="22"/>
        </w:rPr>
        <w:t xml:space="preserve">Se ingieren y transforman con Spark Declarative Pipelines, en modo batch o streaming, siguiendo bronze → silver → gold.</w:t>
      </w:r>
    </w:p>
    <w:p>
      <w:pPr>
        <w:pStyle w:val="ListParagraph"/>
        <w:numPr>
          <w:ilvl w:val="0"/>
          <w:numId w:val="3"/>
        </w:numPr>
        <w:spacing w:after="100" w:line="270"/>
      </w:pPr>
      <w:r>
        <w:rPr>
          <w:rFonts w:ascii="Arial" w:cs="Arial" w:eastAsia="Arial" w:hAnsi="Arial"/>
          <w:sz w:val="22"/>
          <w:szCs w:val="22"/>
        </w:rPr>
        <w:t xml:space="preserve">Todo el proceso queda gobernado y catalogado en Unity Catalog (catálogo → esquema → tabla/volumen).</w:t>
      </w:r>
    </w:p>
    <w:p>
      <w:pPr>
        <w:pStyle w:val="ListParagraph"/>
        <w:numPr>
          <w:ilvl w:val="0"/>
          <w:numId w:val="3"/>
        </w:numPr>
        <w:spacing w:after="100" w:line="270"/>
      </w:pPr>
      <w:r>
        <w:rPr>
          <w:rFonts w:ascii="Arial" w:cs="Arial" w:eastAsia="Arial" w:hAnsi="Arial"/>
          <w:sz w:val="22"/>
          <w:szCs w:val="22"/>
        </w:rPr>
        <w:t xml:space="preserve">El almacenamiento físico subyacente es Delta Lake (transaccional, versionado, columnar).</w:t>
      </w:r>
    </w:p>
    <w:p>
      <w:pPr>
        <w:pStyle w:val="ListParagraph"/>
        <w:numPr>
          <w:ilvl w:val="0"/>
          <w:numId w:val="3"/>
        </w:numPr>
        <w:spacing w:after="100" w:line="270"/>
      </w:pPr>
      <w:r>
        <w:rPr>
          <w:rFonts w:ascii="Arial" w:cs="Arial" w:eastAsia="Arial" w:hAnsi="Arial"/>
          <w:sz w:val="22"/>
          <w:szCs w:val="22"/>
        </w:rPr>
        <w:t xml:space="preserve">Lakeflow Jobs orquesta y programa la ejecución recurrente de todo lo anterior.</w:t>
      </w:r>
    </w:p>
    <w:p>
      <w:pPr>
        <w:pStyle w:val="Heading1"/>
      </w:pPr>
      <w:r>
        <w:t xml:space="preserve">6. Buenas prácticas de esta guía</w:t>
      </w:r>
    </w:p>
    <w:p>
      <w:pPr>
        <w:pStyle w:val="ListParagraph"/>
        <w:numPr>
          <w:ilvl w:val="0"/>
          <w:numId w:val="2"/>
        </w:numPr>
        <w:spacing w:after="80" w:line="270"/>
      </w:pPr>
      <w:r>
        <w:rPr>
          <w:rFonts w:ascii="Arial" w:cs="Arial" w:eastAsia="Arial" w:hAnsi="Arial"/>
          <w:sz w:val="22"/>
          <w:szCs w:val="22"/>
        </w:rPr>
        <w:t xml:space="preserve">Usá catálogos y esquemas por proyecto/entorno (dev/prod), nunca mezcles datos de distintos proyectos en el mismo esquema.</w:t>
      </w:r>
    </w:p>
    <w:p>
      <w:pPr>
        <w:pStyle w:val="ListParagraph"/>
        <w:numPr>
          <w:ilvl w:val="0"/>
          <w:numId w:val="2"/>
        </w:numPr>
        <w:spacing w:after="80" w:line="270"/>
      </w:pPr>
      <w:r>
        <w:rPr>
          <w:rFonts w:ascii="Arial" w:cs="Arial" w:eastAsia="Arial" w:hAnsi="Arial"/>
          <w:sz w:val="22"/>
          <w:szCs w:val="22"/>
        </w:rPr>
        <w:t xml:space="preserve">Preferí Volumes de Unity Catalog a rutas sueltas en el storage: te da control de acceso y auditoría gratis.</w:t>
      </w:r>
    </w:p>
    <w:p>
      <w:pPr>
        <w:pStyle w:val="ListParagraph"/>
        <w:numPr>
          <w:ilvl w:val="0"/>
          <w:numId w:val="2"/>
        </w:numPr>
        <w:spacing w:after="80" w:line="270"/>
      </w:pPr>
      <w:r>
        <w:rPr>
          <w:rFonts w:ascii="Arial" w:cs="Arial" w:eastAsia="Arial" w:hAnsi="Arial"/>
          <w:sz w:val="22"/>
          <w:szCs w:val="22"/>
        </w:rPr>
        <w:t xml:space="preserve">Adoptá la nomenclatura snake_case y sufijos _bronze/_silver/_gold en los nombres de tabla desde el día uno; es mucho más caro renombrar después.</w:t>
      </w:r>
    </w:p>
    <w:p>
      <w:pPr>
        <w:pStyle w:val="ListParagraph"/>
        <w:numPr>
          <w:ilvl w:val="0"/>
          <w:numId w:val="2"/>
        </w:numPr>
        <w:spacing w:after="80" w:line="270"/>
      </w:pPr>
      <w:r>
        <w:rPr>
          <w:rFonts w:ascii="Arial" w:cs="Arial" w:eastAsia="Arial" w:hAnsi="Arial"/>
          <w:sz w:val="22"/>
          <w:szCs w:val="22"/>
        </w:rPr>
        <w:t xml:space="preserve">Serverless (V5 en este curso) es la opción recomendada para empezar: no gestionás clusters y tenés optimizaciones automáticas incluidas.</w:t>
      </w:r>
    </w:p>
    <w:p>
      <w:pPr>
        <w:pStyle w:val="Heading1"/>
      </w:pPr>
      <w:r>
        <w:t xml:space="preserve">7. Qué sigue</w:t>
      </w:r>
    </w:p>
    <w:p>
      <w:pPr>
        <w:spacing w:after="140" w:line="276"/>
      </w:pPr>
      <w:r>
        <w:rPr>
          <w:rFonts w:ascii="Arial" w:cs="Arial" w:eastAsia="Arial" w:hAnsi="Arial"/>
          <w:sz w:val="22"/>
          <w:szCs w:val="22"/>
        </w:rPr>
        <w:t xml:space="preserve">En la Guía 2 vamos a entrar de lleno en Apache Spark Declarative Pipelines (SDP): por qué reemplaza al ETL tradicional y a Structured Streaming “a mano”, y cuáles son sus tres tipos de datasets (Streaming Tables, Materialized Views, Views).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ARGOS / Formación Databricks — Felipe Carballo · Página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pPr>
    <w:r>
      <w:rPr>
        <w:rFonts w:ascii="Arial" w:cs="Arial" w:eastAsia="Arial" w:hAnsi="Arial"/>
        <w:color w:val="595959"/>
        <w:sz w:val="16"/>
        <w:szCs w:val="16"/>
      </w:rPr>
      <w:t xml:space="preserve">Databricks Data Engineer — Guía 1 de 5: Fundamentos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2E75B6"/>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2026-08-21T20:28:01.786Z</dcterms:created>
  <dcterms:modified xsi:type="dcterms:W3CDTF">2026-08-21T20:28:01.790Z</dcterms:modified>
</cp:coreProperties>
</file>

<file path=docProps/custom.xml><?xml version="1.0" encoding="utf-8"?>
<Properties xmlns="http://schemas.openxmlformats.org/officeDocument/2006/custom-properties" xmlns:vt="http://schemas.openxmlformats.org/officeDocument/2006/docPropsVTypes"/>
</file>