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ys7vfw1rrtu9"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A">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C">
            <w:pPr>
              <w:spacing w:after="240" w:before="240" w:lineRule="auto"/>
              <w:jc w:val="both"/>
              <w:rPr>
                <w:i w:val="1"/>
                <w:iCs w:val="1"/>
                <w:sz w:val="20"/>
                <w:szCs w:val="20"/>
              </w:rPr>
            </w:pPr>
            <w:r w:rsidDel="00000000" w:rsidR="00000000" w:rsidRPr="00000000">
              <w:rPr>
                <w:i w:val="1"/>
                <w:iCs w:val="1"/>
                <w:sz w:val="20"/>
                <w:szCs w:val="20"/>
                <w:rtl w:val="0"/>
              </w:rPr>
              <w:t xml:space="preserve">Durante la Fase 2 del proyecto SAPE CSS, hemos ejecutado con éxito las iteraciones correspondientes al Sprint 1 y Sprint 2 bajo la metodología ágil Scrum. En el </w:t>
            </w:r>
            <w:r w:rsidDel="00000000" w:rsidR="00000000" w:rsidRPr="00000000">
              <w:rPr>
                <w:b w:val="1"/>
                <w:bCs w:val="1"/>
                <w:i w:val="1"/>
                <w:iCs w:val="1"/>
                <w:sz w:val="20"/>
                <w:szCs w:val="20"/>
                <w:rtl w:val="0"/>
              </w:rPr>
              <w:t xml:space="preserve">Sprint 1 (Levantamiento de infraestructura y datos)</w:t>
            </w:r>
            <w:r w:rsidDel="00000000" w:rsidR="00000000" w:rsidRPr="00000000">
              <w:rPr>
                <w:i w:val="1"/>
                <w:iCs w:val="1"/>
                <w:sz w:val="20"/>
                <w:szCs w:val="20"/>
                <w:rtl w:val="0"/>
              </w:rPr>
              <w:t xml:space="preserve">, logramos establecer la arquitectura base: configuramos los contenedores en Docker (PostgreSQL), implementamos la integración continua (CI) e integramos el sistema de Autenticación y Roles mediante Spatie (diferenciando vistas entre Profesor Jefe y Profesor de Asignatura). Además, se programó la lógica ETL para la importación masiva de nóminas y calificaciones (réplica SIGE) y la generación de datos sintéticos, asegurando que el sistema tuviera una base de datos operativa.</w:t>
            </w:r>
          </w:p>
          <w:p w:rsidR="00000000" w:rsidDel="00000000" w:rsidP="00000000" w:rsidRDefault="00000000" w:rsidRPr="00000000" w14:paraId="0000000D">
            <w:pPr>
              <w:spacing w:after="240" w:before="240" w:lineRule="auto"/>
              <w:jc w:val="both"/>
              <w:rPr>
                <w:i w:val="1"/>
                <w:iCs w:val="1"/>
                <w:sz w:val="20"/>
                <w:szCs w:val="20"/>
              </w:rPr>
            </w:pPr>
            <w:r w:rsidDel="00000000" w:rsidR="00000000" w:rsidRPr="00000000">
              <w:rPr>
                <w:i w:val="1"/>
                <w:iCs w:val="1"/>
                <w:sz w:val="20"/>
                <w:szCs w:val="20"/>
                <w:rtl w:val="0"/>
              </w:rPr>
              <w:t xml:space="preserve">Posteriormente, en el </w:t>
            </w:r>
            <w:r w:rsidDel="00000000" w:rsidR="00000000" w:rsidRPr="00000000">
              <w:rPr>
                <w:b w:val="1"/>
                <w:bCs w:val="1"/>
                <w:i w:val="1"/>
                <w:iCs w:val="1"/>
                <w:sz w:val="20"/>
                <w:szCs w:val="20"/>
                <w:rtl w:val="0"/>
              </w:rPr>
              <w:t xml:space="preserve">Sprint 2 (Motor de IA y Privacidad)</w:t>
            </w:r>
            <w:r w:rsidDel="00000000" w:rsidR="00000000" w:rsidRPr="00000000">
              <w:rPr>
                <w:i w:val="1"/>
                <w:iCs w:val="1"/>
                <w:sz w:val="20"/>
                <w:szCs w:val="20"/>
                <w:rtl w:val="0"/>
              </w:rPr>
              <w:t xml:space="preserve">, cumplimos el objetivo de conectar la API de inteligencia artificial (Gemini 3.5-flash) para habilitar el "Chatbot Pedagógico", permitiendo a los docentes obtener estrategias adaptadas al rendimiento de sus alumnos. También se aplicaron estrictamente las normativas de privacidad (Ley 19.628) desarrollando la lógica de tokenización y enmascaramiento de los RUTs y nombres de los estudiantes antes de enviar cualquier consulta a la IA. Finalmente, aseguramos la integridad transaccional (Rollback) en los procesos ETL y adaptamos la interfaz (React/Tailwind) para que fuera responsiva en dispositivos móviles (SPA).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0F">
            <w:pPr>
              <w:jc w:val="both"/>
              <w:rPr>
                <w:rFonts w:ascii="Calibri" w:cs="Calibri" w:eastAsia="Calibri" w:hAnsi="Calibri"/>
                <w:b w:val="1"/>
                <w:bCs w:val="1"/>
                <w:i w:val="1"/>
                <w:iCs w:val="1"/>
                <w:sz w:val="20"/>
                <w:szCs w:val="20"/>
              </w:rPr>
            </w:pPr>
            <w:r w:rsidDel="00000000" w:rsidR="00000000" w:rsidRPr="00000000">
              <w:rPr>
                <w:rFonts w:ascii="Calibri" w:cs="Calibri" w:eastAsia="Calibri" w:hAnsi="Calibri"/>
                <w:i w:val="1"/>
                <w:iCs w:val="1"/>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1">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Opcional en caso de ajuste</w:t>
            </w:r>
          </w:p>
        </w:tc>
      </w:tr>
      <w:tr>
        <w:trPr>
          <w:cantSplit w:val="0"/>
          <w:trHeight w:val="3248.65201822916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3">
            <w:pPr>
              <w:spacing w:after="240" w:before="240" w:lineRule="auto"/>
              <w:jc w:val="both"/>
              <w:rPr>
                <w:sz w:val="20"/>
                <w:szCs w:val="20"/>
              </w:rPr>
            </w:pPr>
            <w:r w:rsidDel="00000000" w:rsidR="00000000" w:rsidRPr="00000000">
              <w:rPr>
                <w:sz w:val="20"/>
                <w:szCs w:val="20"/>
                <w:rtl w:val="0"/>
              </w:rPr>
              <w:t xml:space="preserve">Las evidencias presentadas para este informe incluyen:</w:t>
            </w:r>
          </w:p>
          <w:p w:rsidR="00000000" w:rsidDel="00000000" w:rsidP="00000000" w:rsidRDefault="00000000" w:rsidRPr="00000000" w14:paraId="00000014">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Burndown Charts y Sprint Backlogs: Extraídos de la plantilla PMOInformatica, que demuestran el control, seguimiento y cumplimiento de las horas planificadas vs. ejecutadas en los Sprints 1 y 2.</w:t>
            </w:r>
          </w:p>
          <w:p w:rsidR="00000000" w:rsidDel="00000000" w:rsidP="00000000" w:rsidRDefault="00000000" w:rsidRPr="00000000" w14:paraId="00000015">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Repositorio / Código Fuente: Evidencia de los archivos de configuración (</w:t>
            </w:r>
            <w:r w:rsidDel="00000000" w:rsidR="00000000" w:rsidRPr="00000000">
              <w:rPr>
                <w:sz w:val="20"/>
                <w:szCs w:val="20"/>
                <w:rtl w:val="0"/>
              </w:rPr>
              <w:t xml:space="preserve">docker-compose.yml</w:t>
            </w:r>
            <w:r w:rsidDel="00000000" w:rsidR="00000000" w:rsidRPr="00000000">
              <w:rPr>
                <w:sz w:val="20"/>
                <w:szCs w:val="20"/>
                <w:rtl w:val="0"/>
              </w:rPr>
              <w:t xml:space="preserve">), los Controladores de conexión a la API de IA (Gemini) y los modelos de datos en Laravel.</w:t>
            </w:r>
          </w:p>
          <w:p w:rsidR="00000000" w:rsidDel="00000000" w:rsidP="00000000" w:rsidRDefault="00000000" w:rsidRPr="00000000" w14:paraId="00000016">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Capturas de pantalla del sistema operativo: Vistas del panel del Profesor Jefe y Profesor de Asignatura diferenciados por roles, el funcionamiento del Chatbot Pedagógico procesando formato Markdown, y las pruebas de diseño responsivo (mobile). Se resguardó la calidad técnica aplicando contenedores (Docker) para evitar problemas de dependencias locales y asegurando la privacidad de los datos mediante técnicas de enmascaramiento en el código antes de la interacción con la IA.</w:t>
            </w:r>
          </w:p>
        </w:tc>
      </w:tr>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18">
      <w:pPr>
        <w:rPr>
          <w:color w:val="595959"/>
          <w:sz w:val="24"/>
          <w:szCs w:val="24"/>
        </w:rPr>
      </w:pPr>
      <w:r w:rsidDel="00000000" w:rsidR="00000000" w:rsidRPr="00000000">
        <w:rPr>
          <w:rtl w:val="0"/>
        </w:rPr>
      </w:r>
    </w:p>
    <w:sdt>
      <w:sdtPr>
        <w:lock w:val="contentLocked"/>
        <w:id w:val="1120508089"/>
        <w:tag w:val="goog_rdk_0"/>
      </w:sdtPr>
      <w:sdtContent>
        <w:tbl>
          <w:tblPr>
            <w:tblStyle w:val="Table3"/>
            <w:tblW w:w="1117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095"/>
            <w:gridCol w:w="915"/>
            <w:gridCol w:w="1320"/>
            <w:gridCol w:w="1185"/>
            <w:gridCol w:w="1455"/>
            <w:gridCol w:w="1605"/>
            <w:gridCol w:w="1305"/>
            <w:tblGridChange w:id="0">
              <w:tblGrid>
                <w:gridCol w:w="2295"/>
                <w:gridCol w:w="1095"/>
                <w:gridCol w:w="915"/>
                <w:gridCol w:w="1320"/>
                <w:gridCol w:w="1185"/>
                <w:gridCol w:w="1455"/>
                <w:gridCol w:w="1605"/>
                <w:gridCol w:w="1305"/>
              </w:tblGrid>
            </w:tblGridChange>
          </w:tblGrid>
          <w:tr>
            <w:trPr>
              <w:cantSplit w:val="0"/>
              <w:tblHeader w:val="0"/>
            </w:trPr>
            <w:tc>
              <w:tcPr>
                <w:vAlign w:val="center"/>
              </w:tcPr>
              <w:p w:rsidR="00000000" w:rsidDel="00000000" w:rsidP="00000000" w:rsidRDefault="00000000" w:rsidRPr="00000000" w14:paraId="00000019">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1A">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1B">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1C">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1D">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1E">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1F">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20">
                <w:pPr>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Desarrollo de Software /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[INDG-25] Orquestación Docker y Configuración BD PostgreSQL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PC, Docker Desktop, DBeaver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José Valenzuela,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Conflictos de puertos locales (5432) y volúmenes antiguos que bloqueaban la 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 ejecutaron comandos de limpieza de volúmenes (down -v) y se detuvieron servicios locales de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Gestión de Bases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HUF-01 y HUF-02: Importación ETL y Datos Sintéticos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Laravel, maatwebsite/excel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16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El uso de Factories y Seeders en Laravel agilizó las pruebas del frontend sin depender de datos reales de inmediato.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Ninguno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Seguridad y 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HUF-10: Autenticación y Roles Spatie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Laravel, Spatie Permission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Problemas iniciales al cargar relaciones de la BD (ej. calificaciones) según el rol del profesor.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 ajustó el Controlador en Laravel (with()) para asegurar la carga completa de datos hacia React.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Integración de Sistemas Externos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HUF-03: Chatbot Pedagógico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Gemini API, React Markdown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José Valenzuela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Errores 404 y 503 al conectar inicialmente con la API de Gemini.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Cambio a un modelo disponible (gemini-3.5-flash) y mejora en el manejo de excepciones de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Seguridad de la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HUNF-02: Privacidad y Tokenización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Laravel (Lógica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Felipe Catalán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La clara definición de la Ley 19.628 guió exactamente qué campos de la BD debían ocultarse.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Ninguno.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Desarrollo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HUNF-03: Diseño Responsivo (SPA)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React, Tailwind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Felipe Verdugo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Tailwind CSS permitió adaptar rápidamente las vistas a mobile con clases utilitarias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Ninguno. </w:t>
                </w:r>
              </w:p>
            </w:tc>
          </w:tr>
        </w:tbl>
      </w:sdtContent>
    </w:sdt>
    <w:p w:rsidR="00000000" w:rsidDel="00000000" w:rsidP="00000000" w:rsidRDefault="00000000" w:rsidRPr="00000000" w14:paraId="00000051">
      <w:pPr>
        <w:rPr>
          <w:color w:val="595959"/>
          <w:sz w:val="24"/>
          <w:szCs w:val="24"/>
        </w:rPr>
      </w:pPr>
      <w:r w:rsidDel="00000000" w:rsidR="00000000" w:rsidRPr="00000000">
        <w:rPr>
          <w:rtl w:val="0"/>
        </w:rPr>
      </w:r>
    </w:p>
    <w:p w:rsidR="00000000" w:rsidDel="00000000" w:rsidP="00000000" w:rsidRDefault="00000000" w:rsidRPr="00000000" w14:paraId="00000052">
      <w:pPr>
        <w:rPr>
          <w:color w:val="595959"/>
          <w:sz w:val="24"/>
          <w:szCs w:val="24"/>
        </w:rPr>
      </w:pPr>
      <w:r w:rsidDel="00000000" w:rsidR="00000000" w:rsidRPr="00000000">
        <w:rPr>
          <w:rtl w:val="0"/>
        </w:rPr>
      </w:r>
    </w:p>
    <w:p w:rsidR="00000000" w:rsidDel="00000000" w:rsidP="00000000" w:rsidRDefault="00000000" w:rsidRPr="00000000" w14:paraId="00000053">
      <w:pPr>
        <w:rPr>
          <w:color w:val="595959"/>
          <w:sz w:val="24"/>
          <w:szCs w:val="24"/>
        </w:rPr>
      </w:pPr>
      <w:r w:rsidDel="00000000" w:rsidR="00000000" w:rsidRPr="00000000">
        <w:rPr>
          <w:rtl w:val="0"/>
        </w:rPr>
      </w:r>
    </w:p>
    <w:p w:rsidR="00000000" w:rsidDel="00000000" w:rsidP="00000000" w:rsidRDefault="00000000" w:rsidRPr="00000000" w14:paraId="00000054">
      <w:pPr>
        <w:rPr>
          <w:color w:val="595959"/>
          <w:sz w:val="24"/>
          <w:szCs w:val="24"/>
        </w:rPr>
      </w:pPr>
      <w:r w:rsidDel="00000000" w:rsidR="00000000" w:rsidRPr="00000000">
        <w:rPr>
          <w:rtl w:val="0"/>
        </w:rPr>
      </w:r>
    </w:p>
    <w:p w:rsidR="00000000" w:rsidDel="00000000" w:rsidP="00000000" w:rsidRDefault="00000000" w:rsidRPr="00000000" w14:paraId="00000055">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9">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A">
            <w:pPr>
              <w:spacing w:after="240" w:before="240" w:lineRule="auto"/>
              <w:jc w:val="both"/>
              <w:rPr>
                <w:b w:val="1"/>
                <w:bCs w:val="1"/>
                <w:sz w:val="20"/>
                <w:szCs w:val="20"/>
              </w:rPr>
            </w:pPr>
            <w:r w:rsidDel="00000000" w:rsidR="00000000" w:rsidRPr="00000000">
              <w:rPr>
                <w:b w:val="1"/>
                <w:bCs w:val="1"/>
                <w:sz w:val="20"/>
                <w:szCs w:val="20"/>
                <w:rtl w:val="0"/>
              </w:rPr>
              <w:t xml:space="preserve">Dificultades:</w:t>
            </w:r>
          </w:p>
          <w:p w:rsidR="00000000" w:rsidDel="00000000" w:rsidP="00000000" w:rsidRDefault="00000000" w:rsidRPr="00000000" w14:paraId="0000005B">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Conflictos de Infraestructura (Docker):</w:t>
            </w:r>
            <w:r w:rsidDel="00000000" w:rsidR="00000000" w:rsidRPr="00000000">
              <w:rPr>
                <w:sz w:val="20"/>
                <w:szCs w:val="20"/>
                <w:rtl w:val="0"/>
              </w:rPr>
              <w:t xml:space="preserve"> Tuvimos problemas de autenticación fallida al conectar DBeaver con PostgreSQL debido a que Docker recordaba credenciales de volúmenes antiguos y servicios locales de Windows estaban ocupando el puerto 5432. Lo solucionamos deteniendo los servicios nativos y usando comandos de limpieza profunda en Docker (</w:t>
            </w:r>
            <w:r w:rsidDel="00000000" w:rsidR="00000000" w:rsidRPr="00000000">
              <w:rPr>
                <w:sz w:val="20"/>
                <w:szCs w:val="20"/>
                <w:rtl w:val="0"/>
              </w:rPr>
              <w:t xml:space="preserve">docker compose down -v</w:t>
            </w:r>
            <w:r w:rsidDel="00000000" w:rsidR="00000000" w:rsidRPr="00000000">
              <w:rPr>
                <w:sz w:val="20"/>
                <w:szCs w:val="20"/>
                <w:rtl w:val="0"/>
              </w:rPr>
              <w:t xml:space="preserve">).</w:t>
            </w:r>
          </w:p>
          <w:p w:rsidR="00000000" w:rsidDel="00000000" w:rsidP="00000000" w:rsidRDefault="00000000" w:rsidRPr="00000000" w14:paraId="0000005C">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Conexión API Externa (IA):</w:t>
            </w:r>
            <w:r w:rsidDel="00000000" w:rsidR="00000000" w:rsidRPr="00000000">
              <w:rPr>
                <w:sz w:val="20"/>
                <w:szCs w:val="20"/>
                <w:rtl w:val="0"/>
              </w:rPr>
              <w:t xml:space="preserve"> Experimentamos errores de conexión (404/503) con la API de Gemini al inicio del Sprint 2. Lo solucionamos investigando la documentación, cambiando al modelo </w:t>
            </w:r>
            <w:r w:rsidDel="00000000" w:rsidR="00000000" w:rsidRPr="00000000">
              <w:rPr>
                <w:sz w:val="20"/>
                <w:szCs w:val="20"/>
                <w:rtl w:val="0"/>
              </w:rPr>
              <w:t xml:space="preserve">gemini-3.5-flash</w:t>
            </w:r>
            <w:r w:rsidDel="00000000" w:rsidR="00000000" w:rsidRPr="00000000">
              <w:rPr>
                <w:sz w:val="20"/>
                <w:szCs w:val="20"/>
                <w:rtl w:val="0"/>
              </w:rPr>
              <w:t xml:space="preserve"> y mejorando el manejo de errores en el código para que el sistema no colapsara si la IA tardaba en responder.</w:t>
            </w:r>
          </w:p>
          <w:p w:rsidR="00000000" w:rsidDel="00000000" w:rsidP="00000000" w:rsidRDefault="00000000" w:rsidRPr="00000000" w14:paraId="0000005D">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Carga de Relaciones Complejas:</w:t>
            </w:r>
            <w:r w:rsidDel="00000000" w:rsidR="00000000" w:rsidRPr="00000000">
              <w:rPr>
                <w:sz w:val="20"/>
                <w:szCs w:val="20"/>
                <w:rtl w:val="0"/>
              </w:rPr>
              <w:t xml:space="preserve"> Al separar las vistas por roles, tuvimos un fallo temporal donde el Profesor de Asignatura no veía las calificaciones porque no se estaban exportando correctamente desde el backend. Lo solucionamos aplicando </w:t>
            </w:r>
            <w:r w:rsidDel="00000000" w:rsidR="00000000" w:rsidRPr="00000000">
              <w:rPr>
                <w:sz w:val="20"/>
                <w:szCs w:val="20"/>
                <w:rtl w:val="0"/>
              </w:rPr>
              <w:t xml:space="preserve">eager loading</w:t>
            </w:r>
            <w:r w:rsidDel="00000000" w:rsidR="00000000" w:rsidRPr="00000000">
              <w:rPr>
                <w:sz w:val="20"/>
                <w:szCs w:val="20"/>
                <w:rtl w:val="0"/>
              </w:rPr>
              <w:t xml:space="preserve"> (usando </w:t>
            </w:r>
            <w:r w:rsidDel="00000000" w:rsidR="00000000" w:rsidRPr="00000000">
              <w:rPr>
                <w:sz w:val="20"/>
                <w:szCs w:val="20"/>
                <w:rtl w:val="0"/>
              </w:rPr>
              <w:t xml:space="preserve">with()</w:t>
            </w:r>
            <w:r w:rsidDel="00000000" w:rsidR="00000000" w:rsidRPr="00000000">
              <w:rPr>
                <w:sz w:val="20"/>
                <w:szCs w:val="20"/>
                <w:rtl w:val="0"/>
              </w:rPr>
              <w:t xml:space="preserve">) en los controladores de Laravel.</w:t>
            </w:r>
          </w:p>
          <w:p w:rsidR="00000000" w:rsidDel="00000000" w:rsidP="00000000" w:rsidRDefault="00000000" w:rsidRPr="00000000" w14:paraId="0000005E">
            <w:pPr>
              <w:spacing w:after="240" w:before="240" w:lineRule="auto"/>
              <w:jc w:val="both"/>
              <w:rPr>
                <w:rFonts w:ascii="Calibri" w:cs="Calibri" w:eastAsia="Calibri" w:hAnsi="Calibri"/>
                <w:i w:val="1"/>
                <w:iCs w:val="1"/>
                <w:color w:val="548dd4"/>
                <w:sz w:val="20"/>
                <w:szCs w:val="20"/>
              </w:rPr>
            </w:pPr>
            <w:r w:rsidDel="00000000" w:rsidR="00000000" w:rsidRPr="00000000">
              <w:rPr>
                <w:b w:val="1"/>
                <w:bCs w:val="1"/>
                <w:sz w:val="20"/>
                <w:szCs w:val="20"/>
                <w:rtl w:val="0"/>
              </w:rPr>
              <w:t xml:space="preserve">Facilitadores:</w:t>
            </w:r>
            <w:r w:rsidDel="00000000" w:rsidR="00000000" w:rsidRPr="00000000">
              <w:rPr>
                <w:sz w:val="20"/>
                <w:szCs w:val="20"/>
                <w:rtl w:val="0"/>
              </w:rPr>
              <w:t xml:space="preserve"> El uso estricto del marco de trabajo Scrum (a través de la plantilla PMOInformatica) y el Burndown Chart facilitó enormemente la visibilidad del avance diario. Además, utilizar tecnologías modernas como Tailwind CSS agilizó el desarrollo responsivo, y las herramientas nativas de Laravel (Seeders/Factories) nos permitieron probar la plataforma rápidamente sin tener que esperar a finalizar el desarrollo del módulo de importación masiva (ETL).</w:t>
            </w:r>
            <w:r w:rsidDel="00000000" w:rsidR="00000000" w:rsidRPr="00000000">
              <w:rPr>
                <w:rtl w:val="0"/>
              </w:rPr>
            </w:r>
          </w:p>
        </w:tc>
      </w:tr>
    </w:tbl>
    <w:p w:rsidR="00000000" w:rsidDel="00000000" w:rsidP="00000000" w:rsidRDefault="00000000" w:rsidRPr="00000000" w14:paraId="0000005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0">
            <w:pPr>
              <w:jc w:val="both"/>
              <w:rPr>
                <w:rFonts w:ascii="Calibri" w:cs="Calibri" w:eastAsia="Calibri" w:hAnsi="Calibri"/>
                <w:sz w:val="20"/>
                <w:szCs w:val="20"/>
              </w:rPr>
            </w:pPr>
            <w:r w:rsidDel="00000000" w:rsidR="00000000" w:rsidRPr="00000000">
              <w:rPr>
                <w:b w:val="1"/>
                <w:bCs w:val="1"/>
                <w:sz w:val="20"/>
                <w:szCs w:val="20"/>
                <w:rtl w:val="0"/>
              </w:rPr>
              <w:t xml:space="preserve">Actividades ajustadas o eliminadas:</w:t>
            </w:r>
            <w:r w:rsidDel="00000000" w:rsidR="00000000" w:rsidRPr="00000000">
              <w:rPr>
                <w:sz w:val="20"/>
                <w:szCs w:val="20"/>
                <w:rtl w:val="0"/>
              </w:rPr>
              <w:t xml:space="preserve"> El plan de trabajo original no requirió la eliminación de ninguna historia de usuario comprometida en los Sprints 1 y 2. Sin embargo, se ajustó el orden técnico de ejecución: se priorizó la resolución de los problemas de orquestación de Docker (limpieza de volúmenes) y el ajuste de controladores (carga de relaciones) antes de avanzar con el diseño responsivo, ya que sin un flujo de datos correcto desde la base de datos, no se podía maquetar el frontend con precisión. </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i w:val="1"/>
          <w:iCs w:val="1"/>
          <w:color w:val="548dd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0" w:line="240" w:lineRule="auto"/>
        <w:jc w:val="both"/>
        <w:rPr>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5">
            <w:pPr>
              <w:jc w:val="both"/>
              <w:rPr>
                <w:rFonts w:ascii="Calibri" w:cs="Calibri" w:eastAsia="Calibri" w:hAnsi="Calibri"/>
                <w:sz w:val="20"/>
                <w:szCs w:val="20"/>
              </w:rPr>
            </w:pPr>
            <w:r w:rsidDel="00000000" w:rsidR="00000000" w:rsidRPr="00000000">
              <w:rPr>
                <w:b w:val="1"/>
                <w:bCs w:val="1"/>
                <w:sz w:val="20"/>
                <w:szCs w:val="20"/>
                <w:rtl w:val="0"/>
              </w:rPr>
              <w:t xml:space="preserve">Actividades que no has iniciado o están retrasadas:</w:t>
            </w:r>
            <w:r w:rsidDel="00000000" w:rsidR="00000000" w:rsidRPr="00000000">
              <w:rPr>
                <w:sz w:val="20"/>
                <w:szCs w:val="20"/>
                <w:rtl w:val="0"/>
              </w:rPr>
              <w:t xml:space="preserve"> Actualmente, todas las actividades planificadas para los Sprints 1 y 2 (según el Product Backlog y los Sprint Backlogs respectivos) se encuentran completadas ("Done"). Las funcionalidades pendientes, como la "Detección de Riesgo Escolar" o el "Dashboard Institucional", corresponden explícitamente a historias de usuario que están planificadas para los próximos Sprints finales, por lo que el proyecto se encuentra alineado con la carta Gantt y sin retrasos a la fecha. </w:t>
            </w: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D">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LtAZsycs5MQem5oRmkT4mffRw==">CgMxLjAaHwoBMBIaChgICVIUChJ0YWJsZS51a3RwZTY5bnlkeW4yDmgueXM3dmZ3MXJydHU5OAByITFWMEczSGZaVkF0NHI3VVFZRGsxTmJRN2FUVTRwOC1yQg==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